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7410a884979803b17119f752d420069566c40e6"/>
    <w:p>
      <w:pPr>
        <w:pStyle w:val="Title"/>
        <w:widowControl/>
      </w:pPr>
      <w:r>
        <w:t xml:space="preserve">BGS implementation and comparison at fifth points</w:t>
      </w:r>
    </w:p>
    <w:p>
      <w:pPr>
        <w:pStyle w:val="FirstParagraph"/>
        <w:widowControl/>
      </w:pPr>
      <w:r>
        <w:t xml:space="preserve">Research continuation for David, 30 September 2026</w:t>
      </w:r>
    </w:p>
    <w:p>
      <w:pPr>
        <w:pStyle w:val="BodyText"/>
        <w:widowControl/>
      </w:pPr>
      <w:r>
        <w:t xml:space="preserve">The bounded BGS experiment is complete on Linux. Native value shifting and recursive block-value construction accelerate the accepted tenth-point boundary products, and a shared BGS matrix recurrence supplies a substantially stronger comparison than the archived matrix tree. At</w:t>
      </w:r>
      <w:r>
        <w:t xml:space="preserve"> </w:t>
      </w:r>
      <m:oMath>
        <m:r>
          <m:t>p</m:t>
        </m:r>
        <m:r>
          <m:rPr>
            <m:sty m:val="p"/>
          </m:rPr>
          <m:t>=</m:t>
        </m:r>
        <m:r>
          <m:t>1</m:t>
        </m:r>
        <m:r>
          <m:rPr>
            <m:sty m:val="p"/>
          </m:rPr>
          <m:t>,</m:t>
        </m:r>
        <m:r>
          <m:t>000</m:t>
        </m:r>
        <m:r>
          <m:rPr>
            <m:sty m:val="p"/>
          </m:rPr>
          <m:t>,</m:t>
        </m:r>
        <m:r>
          <m:t>000</m:t>
        </m:r>
        <m:r>
          <m:rPr>
            <m:sty m:val="p"/>
          </m:rPr>
          <m:t>,</m:t>
        </m:r>
        <m:r>
          <m:t>009</m:t>
        </m:r>
      </m:oMath>
      <w:r>
        <w:t xml:space="preserve">, the complete Cartier–Miller BGS query took 26.71 ms for one answer and 31.38 ms for the pair. The matched native tree took 48.91 ms and 73.13 ms, factors of 1.83 and 2.33. These are uncached complete-workload measurements of the supplied implementations, with setup included. Windows compilation and performance remain to be confirmed separately.</w:t>
      </w:r>
    </w:p>
    <w:p>
      <w:pPr>
        <w:pStyle w:val="BodyText"/>
        <w:widowControl/>
      </w:pPr>
      <w:r>
        <w:t xml:space="preserve">The target is the original rational sum reduced modulo a prime</w:t>
      </w:r>
      <w:r>
        <w:t xml:space="preserve"> </w:t>
      </w:r>
      <m:oMath>
        <m:r>
          <m:t>p</m:t>
        </m:r>
        <m:r>
          <m:rPr>
            <m:sty m:val="p"/>
          </m:rPr>
          <m:t>≥</m:t>
        </m:r>
        <m:r>
          <m:t>19</m:t>
        </m:r>
      </m:oMath>
      <w:r>
        <w:t xml:space="preserve">, with</w:t>
      </w:r>
      <w:r>
        <w:t xml:space="preserve"> </w:t>
      </w:r>
      <m:oMath>
        <m:r>
          <m:t>p</m:t>
        </m:r>
        <m:r>
          <m:rPr>
            <m:sty m:val="p"/>
          </m:rPr>
          <m:t>≡</m:t>
        </m:r>
        <m:r>
          <m:t>4</m:t>
        </m:r>
        <m:r>
          <m:t> </m:t>
        </m:r>
        <m:r>
          <m:rPr>
            <m:sty m:val="p"/>
          </m:rPr>
          <m:t>(</m:t>
        </m:r>
        <m:r>
          <m:rPr>
            <m:sty m:val="p"/>
          </m:rPr>
          <m:t>mod</m:t>
        </m:r>
        <m:r>
          <m:t> </m:t>
        </m:r>
        <m:r>
          <m:t>5</m:t>
        </m:r>
        <m:r>
          <m:rPr>
            <m:sty m:val="p"/>
          </m:rPr>
          <m:t>)</m:t>
        </m:r>
      </m:oMath>
      <w:r>
        <w:t xml:space="preserve">,</w:t>
      </w:r>
      <w:r>
        <w:t xml:space="preserve"> </w:t>
      </w:r>
      <m:oMath>
        <m:r>
          <m:t>L</m:t>
        </m:r>
        <m:r>
          <m:rPr>
            <m:sty m:val="p"/>
          </m:rPr>
          <m:t>=</m:t>
        </m:r>
        <m:d>
          <m:dPr>
            <m:begChr m:val="("/>
            <m:endChr m:val=")"/>
            <m:sepChr m:val=""/>
            <m:grow/>
          </m:dPr>
          <m:e>
            <m:r>
              <m:t>p</m:t>
            </m:r>
            <m:r>
              <m:rPr>
                <m:sty m:val="p"/>
              </m:rPr>
              <m:t>+</m:t>
            </m:r>
            <m:r>
              <m:t>1</m:t>
            </m:r>
          </m:e>
        </m:d>
        <m:r>
          <m:rPr>
            <m:sty m:val="p"/>
          </m:rPr>
          <m:t>/</m:t>
        </m:r>
        <m:r>
          <m:t>5</m:t>
        </m:r>
      </m:oMath>
      <w:r>
        <w:t xml:space="preserve">, and stopping point</w:t>
      </w:r>
      <w:r>
        <w:t xml:space="preserve"> </w:t>
      </w:r>
      <m:oMath>
        <m:r>
          <m:t>n</m:t>
        </m:r>
        <m:r>
          <m:rPr>
            <m:sty m:val="p"/>
          </m:rPr>
          <m:t>=</m:t>
        </m:r>
        <m:r>
          <m:t>L</m:t>
        </m:r>
      </m:oMath>
      <w:r>
        <w:t xml:space="preserve"> </w:t>
      </w:r>
      <w:r>
        <w:t xml:space="preserve">or</w:t>
      </w:r>
      <w:r>
        <w:t xml:space="preserve"> </w:t>
      </w:r>
      <m:oMath>
        <m:r>
          <m:t>2</m:t>
        </m:r>
        <m:r>
          <m:t>L</m:t>
        </m:r>
      </m:oMath>
      <w:r>
        <w:t xml:space="preserve">. Write</w:t>
      </w:r>
      <w:r>
        <w:t xml:space="preserve"> </w:t>
      </w:r>
      <m:oMath>
        <m:sSub>
          <m:e>
            <m:r>
              <m:t>a</m:t>
            </m:r>
          </m:e>
          <m:sub>
            <m:r>
              <m:t>n</m:t>
            </m:r>
          </m:sub>
        </m:sSub>
        <m:r>
          <m:rPr>
            <m:sty m:val="p"/>
          </m:rPr>
          <m:t>=</m:t>
        </m:r>
        <m:d>
          <m:dPr>
            <m:begChr m:val="("/>
            <m:endChr m:val=")"/>
            <m:sepChr m:val=""/>
            <m:grow/>
          </m:dPr>
          <m:e>
            <m:f>
              <m:fPr>
                <m:type m:val="noBar"/>
              </m:fPr>
              <m:num>
                <m:r>
                  <m:t>2</m:t>
                </m:r>
                <m:r>
                  <m:t>n</m:t>
                </m:r>
              </m:num>
              <m:den>
                <m:r>
                  <m:t>n</m:t>
                </m:r>
              </m:den>
            </m:f>
          </m:e>
        </m:d>
        <m:sSup>
          <m:e>
            <m:r>
              <m:t>8</m:t>
            </m:r>
          </m:e>
          <m:sup>
            <m:r>
              <m:rPr>
                <m:sty m:val="p"/>
              </m:rPr>
              <m:t>−</m:t>
            </m:r>
            <m:r>
              <m:t>n</m:t>
            </m:r>
          </m:sup>
        </m:sSup>
      </m:oMath>
      <w:r>
        <w:t xml:space="preserve"> </w:t>
      </w:r>
      <w:r>
        <w:t xml:space="preserve">and</w:t>
      </w:r>
      <w:r>
        <w:t xml:space="preserve"> </w:t>
      </w:r>
      <m:oMath>
        <m:sSub>
          <m:e>
            <m:r>
              <m:t>B</m:t>
            </m:r>
          </m:e>
          <m:sub>
            <m:r>
              <m:t>n</m:t>
            </m:r>
          </m:sub>
        </m:sSub>
        <m:r>
          <m:rPr>
            <m:sty m:val="p"/>
          </m:rPr>
          <m:t>=</m:t>
        </m:r>
        <m:nary>
          <m:naryPr>
            <m:chr m:val="∑"/>
            <m:limLoc m:val="undOvr"/>
            <m:subHide m:val="off"/>
            <m:supHide m:val="off"/>
          </m:naryPr>
          <m:sub>
            <m:r>
              <m:t>i</m:t>
            </m:r>
            <m:r>
              <m:rPr>
                <m:sty m:val="p"/>
              </m:rPr>
              <m:t>=</m:t>
            </m:r>
            <m:r>
              <m:t>0</m:t>
            </m:r>
          </m:sub>
          <m:sup>
            <m:r>
              <m:t>n</m:t>
            </m:r>
            <m:r>
              <m:rPr>
                <m:sty m:val="p"/>
              </m:rPr>
              <m:t>−</m:t>
            </m:r>
            <m:r>
              <m:t>1</m:t>
            </m:r>
          </m:sup>
          <m:e>
            <m:sSub>
              <m:e>
                <m:r>
                  <m:t>a</m:t>
                </m:r>
              </m:e>
              <m:sub>
                <m:r>
                  <m:t>i</m:t>
                </m:r>
              </m:sub>
            </m:sSub>
          </m:e>
        </m:nary>
      </m:oMath>
      <w:r>
        <w:t xml:space="preserve">. Reconstruction is</w:t>
      </w:r>
    </w:p>
    <w:p>
      <w:pPr>
        <w:pStyle w:val="BodyText"/>
        <w:keepLines/>
        <w:widowControl/>
      </w:pPr>
      <m:oMathPara>
        <m:oMathParaPr>
          <m:jc m:val="center"/>
        </m:oMathParaPr>
        <m:oMath>
          <m:sSub>
            <m:e>
              <m:r>
                <m:t>U</m:t>
              </m:r>
            </m:e>
            <m:sub>
              <m:r>
                <m:t>p</m:t>
              </m:r>
            </m:sub>
          </m:sSub>
          <m:d>
            <m:dPr>
              <m:begChr m:val="("/>
              <m:endChr m:val=")"/>
              <m:sepChr m:val=""/>
              <m:grow/>
            </m:dPr>
            <m:e>
              <m:r>
                <m:t>n</m:t>
              </m:r>
            </m:e>
          </m:d>
          <m:r>
            <m:rPr>
              <m:sty m:val="p"/>
            </m:rPr>
            <m:t>=</m:t>
          </m:r>
          <m:r>
            <m:t>4</m:t>
          </m:r>
          <m:sSub>
            <m:e>
              <m:r>
                <m:t>B</m:t>
              </m:r>
            </m:e>
            <m:sub>
              <m:r>
                <m:t>n</m:t>
              </m:r>
            </m:sub>
          </m:sSub>
          <m:r>
            <m:rPr>
              <m:sty m:val="p"/>
            </m:rPr>
            <m:t>−</m:t>
          </m:r>
          <m:r>
            <m:t>2</m:t>
          </m:r>
          <m:r>
            <m:t>n</m:t>
          </m:r>
          <m:d>
            <m:dPr>
              <m:begChr m:val="("/>
              <m:endChr m:val=")"/>
              <m:sepChr m:val=""/>
              <m:grow/>
            </m:dPr>
            <m:e>
              <m:r>
                <m:t>2</m:t>
              </m:r>
              <m:r>
                <m:t>n</m:t>
              </m:r>
              <m:r>
                <m:rPr>
                  <m:sty m:val="p"/>
                </m:rPr>
                <m:t>+</m:t>
              </m:r>
              <m:r>
                <m:t>5</m:t>
              </m:r>
            </m:e>
          </m:d>
          <m:sSub>
            <m:e>
              <m:r>
                <m:t>a</m:t>
              </m:r>
            </m:e>
            <m:sub>
              <m:r>
                <m:t>n</m:t>
              </m:r>
            </m:sub>
          </m:sSub>
          <m:r>
            <m:t> </m:t>
          </m:r>
          <m:r>
            <m:rPr>
              <m:sty m:val="p"/>
            </m:rPr>
            <m:t>(</m:t>
          </m:r>
          <m:r>
            <m:rPr>
              <m:sty m:val="p"/>
            </m:rPr>
            <m:t>mod</m:t>
          </m:r>
          <m:r>
            <m:t> </m:t>
          </m:r>
          <m:r>
            <m:t>p</m:t>
          </m:r>
          <m:r>
            <m:rPr>
              <m:sty m:val="p"/>
            </m:rPr>
            <m:t>)</m:t>
          </m:r>
          <m:r>
            <m:rPr>
              <m:sty m:val="p"/>
            </m:rPr>
            <m:t>.</m:t>
          </m:r>
        </m:oMath>
      </m:oMathPara>
    </w:p>
    <w:p>
      <w:pPr>
        <w:pStyle w:val="FirstParagraph"/>
        <w:widowControl/>
      </w:pPr>
      <w:r>
        <w:t xml:space="preserve">The unchanged maximal genus-two Miller pass supplies the prefixes, and the accepted tenth-point formulas supply the boundary products. This branch preserves their mathematical normalization and proof provenance. It implements established Bostan–Gaudry–Schost ideas; no new BGS theorem or novelty claim is made. The research record remains unrefereed.</w:t>
      </w:r>
    </w:p>
    <w:p>
      <w:pPr>
        <w:pStyle w:val="BodyText"/>
        <w:widowControl/>
      </w:pPr>
      <w:r>
        <w:t xml:space="preserve">The tables give complete hot-query medians in milliseconds. The first table is for</w:t>
      </w:r>
      <w:r>
        <w:t xml:space="preserve"> </w:t>
      </w:r>
      <m:oMath>
        <m:sSub>
          <m:e>
            <m:r>
              <m:t>U</m:t>
            </m:r>
          </m:e>
          <m:sub>
            <m:r>
              <m:t>p</m:t>
            </m:r>
          </m:sub>
        </m:sSub>
        <m:d>
          <m:dPr>
            <m:begChr m:val="("/>
            <m:endChr m:val=")"/>
            <m:sepChr m:val=""/>
            <m:grow/>
          </m:dPr>
          <m:e>
            <m:r>
              <m:t>L</m:t>
            </m:r>
          </m:e>
        </m:d>
      </m:oMath>
      <w:r>
        <w:t xml:space="preserve">.</w:t>
      </w:r>
    </w:p>
    <w:tbl>
      <w:tblPr>
        <w:tblStyle w:val="Table"/>
        <w:tblW w:type="pct" w:w="5000"/>
        <w:tblLayout w:type="fixed"/>
        <w:tblLook w:firstRow="1" w:lastRow="0" w:firstColumn="0" w:lastColumn="0" w:noHBand="0" w:noVBand="0" w:val="0020"/>
        <w:jc w:val="start"/>
      </w:tblPr>
      <w:tblGrid>
        <w:gridCol w:w="2016"/>
        <w:gridCol w:w="1872"/>
        <w:gridCol w:w="1872"/>
        <w:gridCol w:w="1872"/>
        <w:gridCol w:w="1872"/>
      </w:tblGrid>
      <w:tr>
        <w:trPr>
          <w:tblHeader w:val="true"/>
          <w:cantSplit/>
          <w:tblHeader/>
        </w:trPr>
        <w:tc>
          <w:tcPr>
            <w:tcW w:type="dxa" w:w="2016"/>
            <w:shd w:fill="EAF0F7"/>
          </w:tcPr>
          <w:p>
            <w:pPr>
              <w:pStyle w:val="Compact"/>
              <w:spacing w:before="60" w:after="60"/>
              <w:jc w:val="right"/>
            </w:pPr>
            <w:r>
              <w:rPr>
                <w:b/>
                <w:sz w:val="21"/>
              </w:rPr>
              <w:t xml:space="preserve">Prime</w:t>
            </w:r>
            <w:r>
              <w:rPr>
                <w:b/>
                <w:sz w:val="21"/>
              </w:rPr>
              <w:t xml:space="preserve"> </w:t>
            </w:r>
            <m:oMath>
              <m:r>
                <m:t>p</m:t>
              </m:r>
            </m:oMath>
          </w:p>
        </w:tc>
        <w:tc>
          <w:tcPr>
            <w:tcW w:type="dxa" w:w="1872"/>
            <w:shd w:fill="EAF0F7"/>
          </w:tcPr>
          <w:p>
            <w:pPr>
              <w:pStyle w:val="Compact"/>
              <w:spacing w:before="60" w:after="60"/>
              <w:jc w:val="right"/>
            </w:pPr>
            <w:r>
              <w:rPr>
                <w:b/>
                <w:sz w:val="21"/>
              </w:rPr>
              <w:t xml:space="preserve">Cartier Miller BGS</w:t>
            </w:r>
          </w:p>
        </w:tc>
        <w:tc>
          <w:tcPr>
            <w:tcW w:type="dxa" w:w="1872"/>
            <w:shd w:fill="EAF0F7"/>
          </w:tcPr>
          <w:p>
            <w:pPr>
              <w:pStyle w:val="Compact"/>
              <w:spacing w:before="60" w:after="60"/>
              <w:jc w:val="right"/>
            </w:pPr>
            <w:r>
              <w:rPr>
                <w:b/>
                <w:sz w:val="21"/>
              </w:rPr>
              <w:t xml:space="preserve">Matched native tree</w:t>
            </w:r>
          </w:p>
        </w:tc>
        <w:tc>
          <w:tcPr>
            <w:tcW w:type="dxa" w:w="1872"/>
            <w:shd w:fill="EAF0F7"/>
          </w:tcPr>
          <w:p>
            <w:pPr>
              <w:pStyle w:val="Compact"/>
              <w:spacing w:before="60" w:after="60"/>
              <w:jc w:val="right"/>
            </w:pPr>
            <w:r>
              <w:rPr>
                <w:b/>
                <w:sz w:val="21"/>
              </w:rPr>
              <w:t xml:space="preserve">Forward matrix BGS</w:t>
            </w:r>
          </w:p>
        </w:tc>
        <w:tc>
          <w:tcPr>
            <w:tcW w:type="dxa" w:w="1872"/>
            <w:shd w:fill="EAF0F7"/>
          </w:tcPr>
          <w:p>
            <w:pPr>
              <w:pStyle w:val="Compact"/>
              <w:spacing w:before="60" w:after="60"/>
              <w:jc w:val="right"/>
            </w:pPr>
            <w:r>
              <w:rPr>
                <w:b/>
                <w:sz w:val="21"/>
              </w:rPr>
              <w:t xml:space="preserve">Preserved tenth tree</w:t>
            </w:r>
          </w:p>
        </w:tc>
      </w:tr>
      <w:tr>
        <w:trPr>
          <w:cantSplit/>
        </w:trPr>
        <w:tc>
          <w:tcPr>
            <w:tcW w:type="dxa" w:w="2016"/>
          </w:tcPr>
          <w:p>
            <w:pPr>
              <w:pStyle w:val="Compact"/>
              <w:spacing w:before="60" w:after="60"/>
              <w:jc w:val="right"/>
            </w:pPr>
            <w:r>
              <w:rPr>
                <w:b w:val="0"/>
                <w:sz w:val="21"/>
              </w:rPr>
              <w:t xml:space="preserve">100,019</w:t>
            </w:r>
          </w:p>
        </w:tc>
        <w:tc>
          <w:tcPr>
            <w:tcW w:type="dxa" w:w="1872"/>
          </w:tcPr>
          <w:p>
            <w:pPr>
              <w:pStyle w:val="Compact"/>
              <w:spacing w:before="60" w:after="60"/>
              <w:jc w:val="right"/>
            </w:pPr>
            <w:r>
              <w:rPr>
                <w:b w:val="0"/>
                <w:sz w:val="21"/>
              </w:rPr>
              <w:t xml:space="preserve">2.740</w:t>
            </w:r>
          </w:p>
        </w:tc>
        <w:tc>
          <w:tcPr>
            <w:tcW w:type="dxa" w:w="1872"/>
          </w:tcPr>
          <w:p>
            <w:pPr>
              <w:pStyle w:val="Compact"/>
              <w:spacing w:before="60" w:after="60"/>
              <w:jc w:val="right"/>
            </w:pPr>
            <w:r>
              <w:rPr>
                <w:b w:val="0"/>
                <w:sz w:val="21"/>
              </w:rPr>
              <w:t xml:space="preserve">2.591</w:t>
            </w:r>
          </w:p>
        </w:tc>
        <w:tc>
          <w:tcPr>
            <w:tcW w:type="dxa" w:w="1872"/>
          </w:tcPr>
          <w:p>
            <w:pPr>
              <w:pStyle w:val="Compact"/>
              <w:spacing w:before="60" w:after="60"/>
              <w:jc w:val="right"/>
            </w:pPr>
            <w:r>
              <w:rPr>
                <w:b w:val="0"/>
                <w:sz w:val="21"/>
              </w:rPr>
              <w:t xml:space="preserve">0.076</w:t>
            </w:r>
          </w:p>
        </w:tc>
        <w:tc>
          <w:tcPr>
            <w:tcW w:type="dxa" w:w="1872"/>
          </w:tcPr>
          <w:p>
            <w:pPr>
              <w:pStyle w:val="Compact"/>
              <w:spacing w:before="60" w:after="60"/>
              <w:jc w:val="right"/>
            </w:pPr>
            <w:r>
              <w:rPr>
                <w:b w:val="0"/>
                <w:sz w:val="21"/>
              </w:rPr>
              <w:t xml:space="preserve">2.650</w:t>
            </w:r>
          </w:p>
        </w:tc>
      </w:tr>
      <w:tr>
        <w:trPr>
          <w:cantSplit/>
        </w:trPr>
        <w:tc>
          <w:tcPr>
            <w:tcW w:type="dxa" w:w="2016"/>
          </w:tcPr>
          <w:p>
            <w:pPr>
              <w:pStyle w:val="Compact"/>
              <w:spacing w:before="60" w:after="60"/>
              <w:jc w:val="right"/>
            </w:pPr>
            <w:r>
              <w:rPr>
                <w:b w:val="0"/>
                <w:sz w:val="21"/>
              </w:rPr>
              <w:t xml:space="preserve">1,000,039</w:t>
            </w:r>
          </w:p>
        </w:tc>
        <w:tc>
          <w:tcPr>
            <w:tcW w:type="dxa" w:w="1872"/>
          </w:tcPr>
          <w:p>
            <w:pPr>
              <w:pStyle w:val="Compact"/>
              <w:spacing w:before="60" w:after="60"/>
              <w:jc w:val="right"/>
            </w:pPr>
            <w:r>
              <w:rPr>
                <w:b w:val="0"/>
                <w:sz w:val="21"/>
              </w:rPr>
              <w:t xml:space="preserve">3.637</w:t>
            </w:r>
          </w:p>
        </w:tc>
        <w:tc>
          <w:tcPr>
            <w:tcW w:type="dxa" w:w="1872"/>
          </w:tcPr>
          <w:p>
            <w:pPr>
              <w:pStyle w:val="Compact"/>
              <w:spacing w:before="60" w:after="60"/>
              <w:jc w:val="right"/>
            </w:pPr>
            <w:r>
              <w:rPr>
                <w:b w:val="0"/>
                <w:sz w:val="21"/>
              </w:rPr>
              <w:t xml:space="preserve">3.515</w:t>
            </w:r>
          </w:p>
        </w:tc>
        <w:tc>
          <w:tcPr>
            <w:tcW w:type="dxa" w:w="1872"/>
          </w:tcPr>
          <w:p>
            <w:pPr>
              <w:pStyle w:val="Compact"/>
              <w:spacing w:before="60" w:after="60"/>
              <w:jc w:val="right"/>
            </w:pPr>
            <w:r>
              <w:rPr>
                <w:b w:val="0"/>
                <w:sz w:val="21"/>
              </w:rPr>
              <w:t xml:space="preserve">0.358</w:t>
            </w:r>
          </w:p>
        </w:tc>
        <w:tc>
          <w:tcPr>
            <w:tcW w:type="dxa" w:w="1872"/>
          </w:tcPr>
          <w:p>
            <w:pPr>
              <w:pStyle w:val="Compact"/>
              <w:spacing w:before="60" w:after="60"/>
              <w:jc w:val="right"/>
            </w:pPr>
            <w:r>
              <w:rPr>
                <w:b w:val="0"/>
                <w:sz w:val="21"/>
              </w:rPr>
              <w:t xml:space="preserve">3.739</w:t>
            </w:r>
          </w:p>
        </w:tc>
      </w:tr>
      <w:tr>
        <w:trPr>
          <w:cantSplit/>
        </w:trPr>
        <w:tc>
          <w:tcPr>
            <w:tcW w:type="dxa" w:w="2016"/>
          </w:tcPr>
          <w:p>
            <w:pPr>
              <w:pStyle w:val="Compact"/>
              <w:spacing w:before="60" w:after="60"/>
              <w:jc w:val="right"/>
            </w:pPr>
            <w:r>
              <w:rPr>
                <w:b w:val="0"/>
                <w:sz w:val="21"/>
              </w:rPr>
              <w:t xml:space="preserve">10,000,019</w:t>
            </w:r>
          </w:p>
        </w:tc>
        <w:tc>
          <w:tcPr>
            <w:tcW w:type="dxa" w:w="1872"/>
          </w:tcPr>
          <w:p>
            <w:pPr>
              <w:pStyle w:val="Compact"/>
              <w:spacing w:before="60" w:after="60"/>
              <w:jc w:val="right"/>
            </w:pPr>
            <w:r>
              <w:rPr>
                <w:b w:val="0"/>
                <w:sz w:val="21"/>
              </w:rPr>
              <w:t xml:space="preserve">5.121</w:t>
            </w:r>
          </w:p>
        </w:tc>
        <w:tc>
          <w:tcPr>
            <w:tcW w:type="dxa" w:w="1872"/>
          </w:tcPr>
          <w:p>
            <w:pPr>
              <w:pStyle w:val="Compact"/>
              <w:spacing w:before="60" w:after="60"/>
              <w:jc w:val="right"/>
            </w:pPr>
            <w:r>
              <w:rPr>
                <w:b w:val="0"/>
                <w:sz w:val="21"/>
              </w:rPr>
              <w:t xml:space="preserve">4.819</w:t>
            </w:r>
          </w:p>
        </w:tc>
        <w:tc>
          <w:tcPr>
            <w:tcW w:type="dxa" w:w="1872"/>
          </w:tcPr>
          <w:p>
            <w:pPr>
              <w:pStyle w:val="Compact"/>
              <w:spacing w:before="60" w:after="60"/>
              <w:jc w:val="right"/>
            </w:pPr>
            <w:r>
              <w:rPr>
                <w:b w:val="0"/>
                <w:sz w:val="21"/>
              </w:rPr>
              <w:t xml:space="preserve">1.753</w:t>
            </w:r>
          </w:p>
        </w:tc>
        <w:tc>
          <w:tcPr>
            <w:tcW w:type="dxa" w:w="1872"/>
          </w:tcPr>
          <w:p>
            <w:pPr>
              <w:pStyle w:val="Compact"/>
              <w:spacing w:before="60" w:after="60"/>
              <w:jc w:val="right"/>
            </w:pPr>
            <w:r>
              <w:rPr>
                <w:b w:val="0"/>
                <w:sz w:val="21"/>
              </w:rPr>
              <w:t xml:space="preserve">5.584</w:t>
            </w:r>
          </w:p>
        </w:tc>
      </w:tr>
      <w:tr>
        <w:trPr>
          <w:cantSplit/>
        </w:trPr>
        <w:tc>
          <w:tcPr>
            <w:tcW w:type="dxa" w:w="2016"/>
          </w:tcPr>
          <w:p>
            <w:pPr>
              <w:pStyle w:val="Compact"/>
              <w:spacing w:before="60" w:after="60"/>
              <w:jc w:val="right"/>
            </w:pPr>
            <w:r>
              <w:rPr>
                <w:b w:val="0"/>
                <w:sz w:val="21"/>
              </w:rPr>
              <w:t xml:space="preserve">100,000,039</w:t>
            </w:r>
          </w:p>
        </w:tc>
        <w:tc>
          <w:tcPr>
            <w:tcW w:type="dxa" w:w="1872"/>
          </w:tcPr>
          <w:p>
            <w:pPr>
              <w:pStyle w:val="Compact"/>
              <w:spacing w:before="60" w:after="60"/>
              <w:jc w:val="right"/>
            </w:pPr>
            <w:r>
              <w:rPr>
                <w:b w:val="0"/>
                <w:sz w:val="21"/>
              </w:rPr>
              <w:t xml:space="preserve">9.539</w:t>
            </w:r>
          </w:p>
        </w:tc>
        <w:tc>
          <w:tcPr>
            <w:tcW w:type="dxa" w:w="1872"/>
          </w:tcPr>
          <w:p>
            <w:pPr>
              <w:pStyle w:val="Compact"/>
              <w:spacing w:before="60" w:after="60"/>
              <w:jc w:val="right"/>
            </w:pPr>
            <w:r>
              <w:rPr>
                <w:b w:val="0"/>
                <w:sz w:val="21"/>
              </w:rPr>
              <w:t xml:space="preserve">12.700</w:t>
            </w:r>
          </w:p>
        </w:tc>
        <w:tc>
          <w:tcPr>
            <w:tcW w:type="dxa" w:w="1872"/>
          </w:tcPr>
          <w:p>
            <w:pPr>
              <w:pStyle w:val="Compact"/>
              <w:spacing w:before="60" w:after="60"/>
              <w:jc w:val="right"/>
            </w:pPr>
            <w:r>
              <w:rPr>
                <w:b w:val="0"/>
                <w:sz w:val="21"/>
              </w:rPr>
              <w:t xml:space="preserve">9.673</w:t>
            </w:r>
          </w:p>
        </w:tc>
        <w:tc>
          <w:tcPr>
            <w:tcW w:type="dxa" w:w="1872"/>
          </w:tcPr>
          <w:p>
            <w:pPr>
              <w:pStyle w:val="Compact"/>
              <w:spacing w:before="60" w:after="60"/>
              <w:jc w:val="right"/>
            </w:pPr>
            <w:r>
              <w:rPr>
                <w:b w:val="0"/>
                <w:sz w:val="21"/>
              </w:rPr>
              <w:t xml:space="preserve">13.996</w:t>
            </w:r>
          </w:p>
        </w:tc>
      </w:tr>
      <w:tr>
        <w:trPr>
          <w:cantSplit/>
        </w:trPr>
        <w:tc>
          <w:tcPr>
            <w:tcW w:type="dxa" w:w="2016"/>
          </w:tcPr>
          <w:p>
            <w:pPr>
              <w:pStyle w:val="Compact"/>
              <w:spacing w:before="60" w:after="60"/>
              <w:jc w:val="right"/>
            </w:pPr>
            <w:r>
              <w:rPr>
                <w:b w:val="0"/>
                <w:sz w:val="21"/>
              </w:rPr>
              <w:t xml:space="preserve">1,000,000,009</w:t>
            </w:r>
          </w:p>
        </w:tc>
        <w:tc>
          <w:tcPr>
            <w:tcW w:type="dxa" w:w="1872"/>
          </w:tcPr>
          <w:p>
            <w:pPr>
              <w:pStyle w:val="Compact"/>
              <w:spacing w:before="60" w:after="60"/>
              <w:jc w:val="right"/>
            </w:pPr>
            <w:r>
              <w:rPr>
                <w:b w:val="0"/>
                <w:sz w:val="21"/>
              </w:rPr>
              <w:t xml:space="preserve">26.711</w:t>
            </w:r>
          </w:p>
        </w:tc>
        <w:tc>
          <w:tcPr>
            <w:tcW w:type="dxa" w:w="1872"/>
          </w:tcPr>
          <w:p>
            <w:pPr>
              <w:pStyle w:val="Compact"/>
              <w:spacing w:before="60" w:after="60"/>
              <w:jc w:val="right"/>
            </w:pPr>
            <w:r>
              <w:rPr>
                <w:b w:val="0"/>
                <w:sz w:val="21"/>
              </w:rPr>
              <w:t xml:space="preserve">48.910</w:t>
            </w:r>
          </w:p>
        </w:tc>
        <w:tc>
          <w:tcPr>
            <w:tcW w:type="dxa" w:w="1872"/>
          </w:tcPr>
          <w:p>
            <w:pPr>
              <w:pStyle w:val="Compact"/>
              <w:spacing w:before="60" w:after="60"/>
              <w:jc w:val="right"/>
            </w:pPr>
            <w:r>
              <w:rPr>
                <w:b w:val="0"/>
                <w:sz w:val="21"/>
              </w:rPr>
              <w:t xml:space="preserve">41.082</w:t>
            </w:r>
          </w:p>
        </w:tc>
        <w:tc>
          <w:tcPr>
            <w:tcW w:type="dxa" w:w="1872"/>
          </w:tcPr>
          <w:p>
            <w:pPr>
              <w:pStyle w:val="Compact"/>
              <w:spacing w:before="60" w:after="60"/>
              <w:jc w:val="right"/>
            </w:pPr>
            <w:r>
              <w:rPr>
                <w:b w:val="0"/>
                <w:sz w:val="21"/>
              </w:rPr>
              <w:t xml:space="preserve">56.950</w:t>
            </w:r>
          </w:p>
        </w:tc>
      </w:tr>
    </w:tbl>
    <w:p>
      <w:pPr>
        <w:pStyle w:val="BodyText"/>
        <w:widowControl/>
      </w:pPr>
      <w:r>
        <w:t xml:space="preserve">The second table is for the shared pair</w:t>
      </w:r>
      <w:r>
        <w:t xml:space="preserve"> </w:t>
      </w:r>
      <m:oMath>
        <m:d>
          <m:dPr>
            <m:begChr m:val="("/>
            <m:endChr m:val=")"/>
            <m:sepChr m:val=""/>
            <m:grow/>
          </m:dPr>
          <m:e>
            <m:sSub>
              <m:e>
                <m:r>
                  <m:t>U</m:t>
                </m:r>
              </m:e>
              <m:sub>
                <m:r>
                  <m:t>p</m:t>
                </m:r>
              </m:sub>
            </m:sSub>
            <m:d>
              <m:dPr>
                <m:begChr m:val="("/>
                <m:endChr m:val=")"/>
                <m:sepChr m:val=""/>
                <m:grow/>
              </m:dPr>
              <m:e>
                <m:r>
                  <m:t>L</m:t>
                </m:r>
              </m:e>
            </m:d>
            <m:r>
              <m:rPr>
                <m:sty m:val="p"/>
              </m:rPr>
              <m:t>,</m:t>
            </m:r>
            <m:sSub>
              <m:e>
                <m:r>
                  <m:t>U</m:t>
                </m:r>
              </m:e>
              <m:sub>
                <m:r>
                  <m:t>p</m:t>
                </m:r>
              </m:sub>
            </m:sSub>
            <m:d>
              <m:dPr>
                <m:begChr m:val="("/>
                <m:endChr m:val=")"/>
                <m:sepChr m:val=""/>
                <m:grow/>
              </m:dPr>
              <m:e>
                <m:r>
                  <m:t>2</m:t>
                </m:r>
                <m:r>
                  <m:t>L</m:t>
                </m:r>
              </m:e>
            </m:d>
          </m:e>
        </m:d>
      </m:oMath>
      <w:r>
        <w:t xml:space="preserve">.</w:t>
      </w:r>
    </w:p>
    <w:tbl>
      <w:tblPr>
        <w:tblStyle w:val="Table"/>
        <w:tblW w:type="pct" w:w="5000"/>
        <w:tblLayout w:type="fixed"/>
        <w:tblLook w:firstRow="1" w:lastRow="0" w:firstColumn="0" w:lastColumn="0" w:noHBand="0" w:noVBand="0" w:val="0020"/>
        <w:jc w:val="start"/>
      </w:tblPr>
      <w:tblGrid>
        <w:gridCol w:w="2016"/>
        <w:gridCol w:w="1872"/>
        <w:gridCol w:w="1872"/>
        <w:gridCol w:w="1872"/>
        <w:gridCol w:w="1872"/>
      </w:tblGrid>
      <w:tr>
        <w:trPr>
          <w:tblHeader w:val="true"/>
          <w:cantSplit/>
          <w:tblHeader/>
        </w:trPr>
        <w:tc>
          <w:tcPr>
            <w:tcW w:type="dxa" w:w="2016"/>
            <w:shd w:fill="EAF0F7"/>
          </w:tcPr>
          <w:p>
            <w:pPr>
              <w:pStyle w:val="Compact"/>
              <w:spacing w:before="60" w:after="60"/>
              <w:jc w:val="right"/>
            </w:pPr>
            <w:r>
              <w:rPr>
                <w:b/>
                <w:sz w:val="21"/>
              </w:rPr>
              <w:t xml:space="preserve">Prime</w:t>
            </w:r>
            <w:r>
              <w:rPr>
                <w:b/>
                <w:sz w:val="21"/>
              </w:rPr>
              <w:t xml:space="preserve"> </w:t>
            </w:r>
            <m:oMath>
              <m:r>
                <m:t>p</m:t>
              </m:r>
            </m:oMath>
          </w:p>
        </w:tc>
        <w:tc>
          <w:tcPr>
            <w:tcW w:type="dxa" w:w="1872"/>
            <w:shd w:fill="EAF0F7"/>
          </w:tcPr>
          <w:p>
            <w:pPr>
              <w:pStyle w:val="Compact"/>
              <w:spacing w:before="60" w:after="60"/>
              <w:jc w:val="right"/>
            </w:pPr>
            <w:r>
              <w:rPr>
                <w:b/>
                <w:sz w:val="21"/>
              </w:rPr>
              <w:t xml:space="preserve">Cartier Miller BGS</w:t>
            </w:r>
          </w:p>
        </w:tc>
        <w:tc>
          <w:tcPr>
            <w:tcW w:type="dxa" w:w="1872"/>
            <w:shd w:fill="EAF0F7"/>
          </w:tcPr>
          <w:p>
            <w:pPr>
              <w:pStyle w:val="Compact"/>
              <w:spacing w:before="60" w:after="60"/>
              <w:jc w:val="right"/>
            </w:pPr>
            <w:r>
              <w:rPr>
                <w:b/>
                <w:sz w:val="21"/>
              </w:rPr>
              <w:t xml:space="preserve">Matched native tree</w:t>
            </w:r>
          </w:p>
        </w:tc>
        <w:tc>
          <w:tcPr>
            <w:tcW w:type="dxa" w:w="1872"/>
            <w:shd w:fill="EAF0F7"/>
          </w:tcPr>
          <w:p>
            <w:pPr>
              <w:pStyle w:val="Compact"/>
              <w:spacing w:before="60" w:after="60"/>
              <w:jc w:val="right"/>
            </w:pPr>
            <w:r>
              <w:rPr>
                <w:b/>
                <w:sz w:val="21"/>
              </w:rPr>
              <w:t xml:space="preserve">Forward matrix BGS</w:t>
            </w:r>
          </w:p>
        </w:tc>
        <w:tc>
          <w:tcPr>
            <w:tcW w:type="dxa" w:w="1872"/>
            <w:shd w:fill="EAF0F7"/>
          </w:tcPr>
          <w:p>
            <w:pPr>
              <w:pStyle w:val="Compact"/>
              <w:spacing w:before="60" w:after="60"/>
              <w:jc w:val="right"/>
            </w:pPr>
            <w:r>
              <w:rPr>
                <w:b/>
                <w:sz w:val="21"/>
              </w:rPr>
              <w:t xml:space="preserve">Preserved tenth tree</w:t>
            </w:r>
          </w:p>
        </w:tc>
      </w:tr>
      <w:tr>
        <w:trPr>
          <w:cantSplit/>
        </w:trPr>
        <w:tc>
          <w:tcPr>
            <w:tcW w:type="dxa" w:w="2016"/>
          </w:tcPr>
          <w:p>
            <w:pPr>
              <w:pStyle w:val="Compact"/>
              <w:spacing w:before="60" w:after="60"/>
              <w:jc w:val="right"/>
            </w:pPr>
            <w:r>
              <w:rPr>
                <w:b w:val="0"/>
                <w:sz w:val="21"/>
              </w:rPr>
              <w:t xml:space="preserve">100,019</w:t>
            </w:r>
          </w:p>
        </w:tc>
        <w:tc>
          <w:tcPr>
            <w:tcW w:type="dxa" w:w="1872"/>
          </w:tcPr>
          <w:p>
            <w:pPr>
              <w:pStyle w:val="Compact"/>
              <w:spacing w:before="60" w:after="60"/>
              <w:jc w:val="right"/>
            </w:pPr>
            <w:r>
              <w:rPr>
                <w:b w:val="0"/>
                <w:sz w:val="21"/>
              </w:rPr>
              <w:t xml:space="preserve">2.641</w:t>
            </w:r>
          </w:p>
        </w:tc>
        <w:tc>
          <w:tcPr>
            <w:tcW w:type="dxa" w:w="1872"/>
          </w:tcPr>
          <w:p>
            <w:pPr>
              <w:pStyle w:val="Compact"/>
              <w:spacing w:before="60" w:after="60"/>
              <w:jc w:val="right"/>
            </w:pPr>
            <w:r>
              <w:rPr>
                <w:b w:val="0"/>
                <w:sz w:val="21"/>
              </w:rPr>
              <w:t xml:space="preserve">2.714</w:t>
            </w:r>
          </w:p>
        </w:tc>
        <w:tc>
          <w:tcPr>
            <w:tcW w:type="dxa" w:w="1872"/>
          </w:tcPr>
          <w:p>
            <w:pPr>
              <w:pStyle w:val="Compact"/>
              <w:spacing w:before="60" w:after="60"/>
              <w:jc w:val="right"/>
            </w:pPr>
            <w:r>
              <w:rPr>
                <w:b w:val="0"/>
                <w:sz w:val="21"/>
              </w:rPr>
              <w:t xml:space="preserve">0.113</w:t>
            </w:r>
          </w:p>
        </w:tc>
        <w:tc>
          <w:tcPr>
            <w:tcW w:type="dxa" w:w="1872"/>
          </w:tcPr>
          <w:p>
            <w:pPr>
              <w:pStyle w:val="Compact"/>
              <w:spacing w:before="60" w:after="60"/>
              <w:jc w:val="right"/>
            </w:pPr>
            <w:r>
              <w:rPr>
                <w:b w:val="0"/>
                <w:sz w:val="21"/>
              </w:rPr>
              <w:t xml:space="preserve">2.886</w:t>
            </w:r>
          </w:p>
        </w:tc>
      </w:tr>
      <w:tr>
        <w:trPr>
          <w:cantSplit/>
        </w:trPr>
        <w:tc>
          <w:tcPr>
            <w:tcW w:type="dxa" w:w="2016"/>
          </w:tcPr>
          <w:p>
            <w:pPr>
              <w:pStyle w:val="Compact"/>
              <w:spacing w:before="60" w:after="60"/>
              <w:jc w:val="right"/>
            </w:pPr>
            <w:r>
              <w:rPr>
                <w:b w:val="0"/>
                <w:sz w:val="21"/>
              </w:rPr>
              <w:t xml:space="preserve">1,000,039</w:t>
            </w:r>
          </w:p>
        </w:tc>
        <w:tc>
          <w:tcPr>
            <w:tcW w:type="dxa" w:w="1872"/>
          </w:tcPr>
          <w:p>
            <w:pPr>
              <w:pStyle w:val="Compact"/>
              <w:spacing w:before="60" w:after="60"/>
              <w:jc w:val="right"/>
            </w:pPr>
            <w:r>
              <w:rPr>
                <w:b w:val="0"/>
                <w:sz w:val="21"/>
              </w:rPr>
              <w:t xml:space="preserve">3.655</w:t>
            </w:r>
          </w:p>
        </w:tc>
        <w:tc>
          <w:tcPr>
            <w:tcW w:type="dxa" w:w="1872"/>
          </w:tcPr>
          <w:p>
            <w:pPr>
              <w:pStyle w:val="Compact"/>
              <w:spacing w:before="60" w:after="60"/>
              <w:jc w:val="right"/>
            </w:pPr>
            <w:r>
              <w:rPr>
                <w:b w:val="0"/>
                <w:sz w:val="21"/>
              </w:rPr>
              <w:t xml:space="preserve">3.377</w:t>
            </w:r>
          </w:p>
        </w:tc>
        <w:tc>
          <w:tcPr>
            <w:tcW w:type="dxa" w:w="1872"/>
          </w:tcPr>
          <w:p>
            <w:pPr>
              <w:pStyle w:val="Compact"/>
              <w:spacing w:before="60" w:after="60"/>
              <w:jc w:val="right"/>
            </w:pPr>
            <w:r>
              <w:rPr>
                <w:b w:val="0"/>
                <w:sz w:val="21"/>
              </w:rPr>
              <w:t xml:space="preserve">0.550</w:t>
            </w:r>
          </w:p>
        </w:tc>
        <w:tc>
          <w:tcPr>
            <w:tcW w:type="dxa" w:w="1872"/>
          </w:tcPr>
          <w:p>
            <w:pPr>
              <w:pStyle w:val="Compact"/>
              <w:spacing w:before="60" w:after="60"/>
              <w:jc w:val="right"/>
            </w:pPr>
            <w:r>
              <w:rPr>
                <w:b w:val="0"/>
                <w:sz w:val="21"/>
              </w:rPr>
              <w:t xml:space="preserve">3.850</w:t>
            </w:r>
          </w:p>
        </w:tc>
      </w:tr>
      <w:tr>
        <w:trPr>
          <w:cantSplit/>
        </w:trPr>
        <w:tc>
          <w:tcPr>
            <w:tcW w:type="dxa" w:w="2016"/>
          </w:tcPr>
          <w:p>
            <w:pPr>
              <w:pStyle w:val="Compact"/>
              <w:spacing w:before="60" w:after="60"/>
              <w:jc w:val="right"/>
            </w:pPr>
            <w:r>
              <w:rPr>
                <w:b w:val="0"/>
                <w:sz w:val="21"/>
              </w:rPr>
              <w:t xml:space="preserve">10,000,019</w:t>
            </w:r>
          </w:p>
        </w:tc>
        <w:tc>
          <w:tcPr>
            <w:tcW w:type="dxa" w:w="1872"/>
          </w:tcPr>
          <w:p>
            <w:pPr>
              <w:pStyle w:val="Compact"/>
              <w:spacing w:before="60" w:after="60"/>
              <w:jc w:val="right"/>
            </w:pPr>
            <w:r>
              <w:rPr>
                <w:b w:val="0"/>
                <w:sz w:val="21"/>
              </w:rPr>
              <w:t xml:space="preserve">5.273</w:t>
            </w:r>
          </w:p>
        </w:tc>
        <w:tc>
          <w:tcPr>
            <w:tcW w:type="dxa" w:w="1872"/>
          </w:tcPr>
          <w:p>
            <w:pPr>
              <w:pStyle w:val="Compact"/>
              <w:spacing w:before="60" w:after="60"/>
              <w:jc w:val="right"/>
            </w:pPr>
            <w:r>
              <w:rPr>
                <w:b w:val="0"/>
                <w:sz w:val="21"/>
              </w:rPr>
              <w:t xml:space="preserve">5.875</w:t>
            </w:r>
          </w:p>
        </w:tc>
        <w:tc>
          <w:tcPr>
            <w:tcW w:type="dxa" w:w="1872"/>
          </w:tcPr>
          <w:p>
            <w:pPr>
              <w:pStyle w:val="Compact"/>
              <w:spacing w:before="60" w:after="60"/>
              <w:jc w:val="right"/>
            </w:pPr>
            <w:r>
              <w:rPr>
                <w:b w:val="0"/>
                <w:sz w:val="21"/>
              </w:rPr>
              <w:t xml:space="preserve">2.885</w:t>
            </w:r>
          </w:p>
        </w:tc>
        <w:tc>
          <w:tcPr>
            <w:tcW w:type="dxa" w:w="1872"/>
          </w:tcPr>
          <w:p>
            <w:pPr>
              <w:pStyle w:val="Compact"/>
              <w:spacing w:before="60" w:after="60"/>
              <w:jc w:val="right"/>
            </w:pPr>
            <w:r>
              <w:rPr>
                <w:b w:val="0"/>
                <w:sz w:val="21"/>
              </w:rPr>
              <w:t xml:space="preserve">6.538</w:t>
            </w:r>
          </w:p>
        </w:tc>
      </w:tr>
      <w:tr>
        <w:trPr>
          <w:cantSplit/>
        </w:trPr>
        <w:tc>
          <w:tcPr>
            <w:tcW w:type="dxa" w:w="2016"/>
          </w:tcPr>
          <w:p>
            <w:pPr>
              <w:pStyle w:val="Compact"/>
              <w:spacing w:before="60" w:after="60"/>
              <w:jc w:val="right"/>
            </w:pPr>
            <w:r>
              <w:rPr>
                <w:b w:val="0"/>
                <w:sz w:val="21"/>
              </w:rPr>
              <w:t xml:space="preserve">100,000,039</w:t>
            </w:r>
          </w:p>
        </w:tc>
        <w:tc>
          <w:tcPr>
            <w:tcW w:type="dxa" w:w="1872"/>
          </w:tcPr>
          <w:p>
            <w:pPr>
              <w:pStyle w:val="Compact"/>
              <w:spacing w:before="60" w:after="60"/>
              <w:jc w:val="right"/>
            </w:pPr>
            <w:r>
              <w:rPr>
                <w:b w:val="0"/>
                <w:sz w:val="21"/>
              </w:rPr>
              <w:t xml:space="preserve">11.298</w:t>
            </w:r>
          </w:p>
        </w:tc>
        <w:tc>
          <w:tcPr>
            <w:tcW w:type="dxa" w:w="1872"/>
          </w:tcPr>
          <w:p>
            <w:pPr>
              <w:pStyle w:val="Compact"/>
              <w:spacing w:before="60" w:after="60"/>
              <w:jc w:val="right"/>
            </w:pPr>
            <w:r>
              <w:rPr>
                <w:b w:val="0"/>
                <w:sz w:val="21"/>
              </w:rPr>
              <w:t xml:space="preserve">15.349</w:t>
            </w:r>
          </w:p>
        </w:tc>
        <w:tc>
          <w:tcPr>
            <w:tcW w:type="dxa" w:w="1872"/>
          </w:tcPr>
          <w:p>
            <w:pPr>
              <w:pStyle w:val="Compact"/>
              <w:spacing w:before="60" w:after="60"/>
              <w:jc w:val="right"/>
            </w:pPr>
            <w:r>
              <w:rPr>
                <w:b w:val="0"/>
                <w:sz w:val="21"/>
              </w:rPr>
              <w:t xml:space="preserve">14.737</w:t>
            </w:r>
          </w:p>
        </w:tc>
        <w:tc>
          <w:tcPr>
            <w:tcW w:type="dxa" w:w="1872"/>
          </w:tcPr>
          <w:p>
            <w:pPr>
              <w:pStyle w:val="Compact"/>
              <w:spacing w:before="60" w:after="60"/>
              <w:jc w:val="right"/>
            </w:pPr>
            <w:r>
              <w:rPr>
                <w:b w:val="0"/>
                <w:sz w:val="21"/>
              </w:rPr>
              <w:t xml:space="preserve">18.418</w:t>
            </w:r>
          </w:p>
        </w:tc>
      </w:tr>
      <w:tr>
        <w:trPr>
          <w:cantSplit/>
        </w:trPr>
        <w:tc>
          <w:tcPr>
            <w:tcW w:type="dxa" w:w="2016"/>
          </w:tcPr>
          <w:p>
            <w:pPr>
              <w:pStyle w:val="Compact"/>
              <w:spacing w:before="60" w:after="60"/>
              <w:jc w:val="right"/>
            </w:pPr>
            <w:r>
              <w:rPr>
                <w:b w:val="0"/>
                <w:sz w:val="21"/>
              </w:rPr>
              <w:t xml:space="preserve">1,000,000,009</w:t>
            </w:r>
          </w:p>
        </w:tc>
        <w:tc>
          <w:tcPr>
            <w:tcW w:type="dxa" w:w="1872"/>
          </w:tcPr>
          <w:p>
            <w:pPr>
              <w:pStyle w:val="Compact"/>
              <w:spacing w:before="60" w:after="60"/>
              <w:jc w:val="right"/>
            </w:pPr>
            <w:r>
              <w:rPr>
                <w:b w:val="0"/>
                <w:sz w:val="21"/>
              </w:rPr>
              <w:t xml:space="preserve">31.381</w:t>
            </w:r>
          </w:p>
        </w:tc>
        <w:tc>
          <w:tcPr>
            <w:tcW w:type="dxa" w:w="1872"/>
          </w:tcPr>
          <w:p>
            <w:pPr>
              <w:pStyle w:val="Compact"/>
              <w:spacing w:before="60" w:after="60"/>
              <w:jc w:val="right"/>
            </w:pPr>
            <w:r>
              <w:rPr>
                <w:b w:val="0"/>
                <w:sz w:val="21"/>
              </w:rPr>
              <w:t xml:space="preserve">73.131</w:t>
            </w:r>
          </w:p>
        </w:tc>
        <w:tc>
          <w:tcPr>
            <w:tcW w:type="dxa" w:w="1872"/>
          </w:tcPr>
          <w:p>
            <w:pPr>
              <w:pStyle w:val="Compact"/>
              <w:spacing w:before="60" w:after="60"/>
              <w:jc w:val="right"/>
            </w:pPr>
            <w:r>
              <w:rPr>
                <w:b w:val="0"/>
                <w:sz w:val="21"/>
              </w:rPr>
              <w:t xml:space="preserve">55.115</w:t>
            </w:r>
          </w:p>
        </w:tc>
        <w:tc>
          <w:tcPr>
            <w:tcW w:type="dxa" w:w="1872"/>
          </w:tcPr>
          <w:p>
            <w:pPr>
              <w:pStyle w:val="Compact"/>
              <w:spacing w:before="60" w:after="60"/>
              <w:jc w:val="right"/>
            </w:pPr>
            <w:r>
              <w:rPr>
                <w:b w:val="0"/>
                <w:sz w:val="21"/>
              </w:rPr>
              <w:t xml:space="preserve">80.175</w:t>
            </w:r>
          </w:p>
        </w:tc>
      </w:tr>
    </w:tbl>
    <w:p>
      <w:pPr>
        <w:pStyle w:val="BodyText"/>
        <w:widowControl/>
      </w:pPr>
      <w:r>
        <w:t xml:space="preserve">The forward matrix BGS method is particularly effective on smaller inputs, where the Python Miller prefix setup dominates the hybrid. Around</w:t>
      </w:r>
      <w:r>
        <w:t xml:space="preserve"> </w:t>
      </w:r>
      <m:oMath>
        <m:sSup>
          <m:e>
            <m:r>
              <m:t>10</m:t>
            </m:r>
          </m:e>
          <m:sup>
            <m:r>
              <m:t>8</m:t>
            </m:r>
          </m:sup>
        </m:sSup>
      </m:oMath>
      <w:r>
        <w:t xml:space="preserve"> </w:t>
      </w:r>
      <w:r>
        <w:t xml:space="preserve">the single-query times are close enough that a portable crossover cannot be inferred. At</w:t>
      </w:r>
      <w:r>
        <w:t xml:space="preserve"> </w:t>
      </w:r>
      <m:oMath>
        <m:sSup>
          <m:e>
            <m:r>
              <m:t>10</m:t>
            </m:r>
          </m:e>
          <m:sup>
            <m:r>
              <m:t>9</m:t>
            </m:r>
          </m:sup>
        </m:sSup>
      </m:oMath>
      <w:r>
        <w:t xml:space="preserve">, Cartier–Miller BGS beats the shared matrix BGS times of 41.08 ms and 55.12 ms by factors of 1.54 and 1.76. The reduced scalar products and the Miller prefix remain useful after both routes receive BGS. The experiment supports workload-dependent method selection, not a universal winner or a Windows dispatch threshold.</w:t>
      </w:r>
    </w:p>
    <w:p>
      <w:pPr>
        <w:pStyle w:val="BodyText"/>
        <w:widowControl/>
      </w:pPr>
      <w:r>
        <w:t xml:space="preserve">The preceding complete hybrid, using unreduced half-integer products and Python-managed trees, took 200.23 ms and 310.68 ms at the largest prime. The archived matrix tree took 257.40 ms singly and 666.67 ms as two separate paired calls; that paired comparison is not an optimized shared baseline. The new shared native recurrence took 1064.47 ms and 2094.06 ms. The six-channel complementary BGS matrix, sharing interpolation plans across the forward and reflected tails, took 83.72 ms for the pair and did not improve on the three-channel forward matrix there. Full-row FLINT controls were measured only at the first two primes, with a two-million-coefficient cap. All measured methods agreed on complete output values, including</w:t>
      </w:r>
      <w:r>
        <w:t xml:space="preserve"> </w:t>
      </w:r>
      <m:oMath>
        <m:d>
          <m:dPr>
            <m:begChr m:val="("/>
            <m:endChr m:val=")"/>
            <m:sepChr m:val=""/>
            <m:grow/>
          </m:dPr>
          <m:e>
            <m:r>
              <m:t>554260736</m:t>
            </m:r>
            <m:r>
              <m:rPr>
                <m:sty m:val="p"/>
              </m:rPr>
              <m:t>,</m:t>
            </m:r>
            <m:r>
              <m:t>983053758</m:t>
            </m:r>
          </m:e>
        </m:d>
      </m:oMath>
      <w:r>
        <w:t xml:space="preserve"> </w:t>
      </w:r>
      <w:r>
        <w:t xml:space="preserve">at the largest prime.</w:t>
      </w:r>
    </w:p>
    <w:p>
      <w:pPr>
        <w:pStyle w:val="BodyText"/>
        <w:widowControl/>
      </w:pPr>
      <w:r>
        <w:t xml:space="preserve">The matched native tree uses the same tenth-point intervals, C accumulation and tails, FLINT wheel, ceiling-square-root width rule, and reconstruction as the scalar BGS path. Their difference is how block values are built and evaluated. The preserved collaborator implementation is also measured unchanged. This separates the BGS effect from additional Python-to-native changes. Matrix BGS and the recurrence are project implementations; FLINT supplies polynomial arithmetic rather than a ready-made Cartier–Miller method. This bounded suite is not a comparison with every current Magma, Sage, PARI or FLINT factorial implementation, and establishes no global state-of-the-art claim.</w:t>
      </w:r>
    </w:p>
    <w:p>
      <w:pPr>
        <w:pStyle w:val="BodyText"/>
        <w:widowControl/>
      </w:pPr>
      <w:r>
        <w:t xml:space="preserve">The BGS path constructs block samples directly through a halving chain, sharing reciprocal and factorial tables across matrix channels. Lagrange interpolation reduces each shifted sample batch to a native middle product. Overlapping interpolation nodes reuse known samples; zero reciprocal placeholders never become divisions. A ceiling square root ensures that the final grid has enough block samples, and checkpoint-straddling blocks and tails are handled explicitly. DERIVATION.md proves the shift identity, block invariant, matrix direction and complementary endpoint formula. Under the usual multiplication-cost assumptions, the complete fixed-genus workload has the conservative field-operation bound</w:t>
      </w:r>
    </w:p>
    <w:p>
      <w:pPr>
        <w:pStyle w:val="BodyText"/>
        <w:keepLines/>
        <w:widowControl/>
      </w:pPr>
      <m:oMathPara>
        <m:oMathParaPr>
          <m:jc m:val="center"/>
        </m:oMathParaPr>
        <m:oMath>
          <m:r>
            <m:t>O</m:t>
          </m:r>
          <m:d>
            <m:dPr>
              <m:begChr m:val="("/>
              <m:endChr m:val=")"/>
              <m:sepChr m:val=""/>
              <m:grow/>
            </m:dPr>
            <m:e>
              <m:r>
                <m:rPr>
                  <m:sty m:val="p"/>
                  <m:scr m:val="sans-serif"/>
                </m:rPr>
                <m:t>M</m:t>
              </m:r>
              <m:d>
                <m:dPr>
                  <m:begChr m:val="("/>
                  <m:endChr m:val=")"/>
                  <m:sepChr m:val=""/>
                  <m:grow/>
                </m:dPr>
                <m:e>
                  <m:rad>
                    <m:radPr>
                      <m:degHide m:val="on"/>
                    </m:radPr>
                    <m:deg/>
                    <m:e>
                      <m:r>
                        <m:t>p</m:t>
                      </m:r>
                    </m:e>
                  </m:rad>
                </m:e>
              </m:d>
              <m:r>
                <m:rPr>
                  <m:sty m:val="p"/>
                </m:rPr>
                <m:t>+</m:t>
              </m:r>
              <m:sSup>
                <m:e>
                  <m:r>
                    <m:rPr>
                      <m:sty m:val="p"/>
                    </m:rPr>
                    <m:t>log</m:t>
                  </m:r>
                </m:e>
                <m:sup>
                  <m:r>
                    <m:t>2</m:t>
                  </m:r>
                </m:sup>
              </m:sSup>
              <m:r>
                <m:t>p</m:t>
              </m:r>
            </m:e>
          </m:d>
          <m:r>
            <m:rPr>
              <m:sty m:val="p"/>
            </m:rPr>
            <m:t>.</m:t>
          </m:r>
        </m:oMath>
      </m:oMathPara>
    </w:p>
    <w:p>
      <w:pPr>
        <w:pStyle w:val="FirstParagraph"/>
        <w:widowControl/>
      </w:pPr>
      <w:r>
        <w:t xml:space="preserve">The extra term charges the implementation’s per-plan batch inverses. This removes the generic product/remainder-tree logarithmic factor while retaining square-root dependence. The current executable caps the width at 65536. It is a word-prime experiment, not a growing-precision bit-complexity result or a sub-square-root boundary method.</w:t>
      </w:r>
    </w:p>
    <w:p>
      <w:pPr>
        <w:pStyle w:val="BodyText"/>
        <w:widowControl/>
      </w:pPr>
      <w:r>
        <w:t xml:space="preserve">Every characteristic-</w:t>
      </w:r>
      <m:oMath>
        <m:r>
          <m:t>p</m:t>
        </m:r>
      </m:oMath>
      <w:r>
        <w:t xml:space="preserve"> </w:t>
      </w:r>
      <w:r>
        <w:t xml:space="preserve">division has a stated unit condition:</w:t>
      </w:r>
      <w:r>
        <w:t xml:space="preserve"> </w:t>
      </w:r>
      <m:oMath>
        <m:r>
          <m:t>4</m:t>
        </m:r>
        <m:r>
          <m:t>L</m:t>
        </m:r>
        <m:r>
          <m:rPr>
            <m:sty m:val="p"/>
          </m:rPr>
          <m:t>&lt;</m:t>
        </m:r>
        <m:r>
          <m:t>p</m:t>
        </m:r>
      </m:oMath>
      <w:r>
        <w:t xml:space="preserve">, interpolation degree below</w:t>
      </w:r>
      <w:r>
        <w:t xml:space="preserve"> </w:t>
      </w:r>
      <m:oMath>
        <m:r>
          <m:t>p</m:t>
        </m:r>
      </m:oMath>
      <w:r>
        <w:t xml:space="preserve">, nonzero grid step, and omission of zero shift denominators. Prefixes stop at</w:t>
      </w:r>
      <w:r>
        <w:t xml:space="preserve"> </w:t>
      </w:r>
      <m:oMath>
        <m:r>
          <m:t>n</m:t>
        </m:r>
        <m:r>
          <m:rPr>
            <m:sty m:val="p"/>
          </m:rPr>
          <m:t>−</m:t>
        </m:r>
        <m:r>
          <m:t>1</m:t>
        </m:r>
      </m:oMath>
      <w:r>
        <w:t xml:space="preserve">; the boundary is at</w:t>
      </w:r>
      <w:r>
        <w:t xml:space="preserve"> </w:t>
      </w:r>
      <m:oMath>
        <m:r>
          <m:t>n</m:t>
        </m:r>
      </m:oMath>
      <w:r>
        <w:t xml:space="preserve">. The special</w:t>
      </w:r>
      <w:r>
        <w:t xml:space="preserve"> </w:t>
      </w:r>
      <m:oMath>
        <m:r>
          <m:t>p</m:t>
        </m:r>
        <m:r>
          <m:rPr>
            <m:sty m:val="p"/>
          </m:rPr>
          <m:t>=</m:t>
        </m:r>
        <m:r>
          <m:t>29</m:t>
        </m:r>
      </m:oMath>
      <w:r>
        <w:t xml:space="preserve"> </w:t>
      </w:r>
      <w:r>
        <w:t xml:space="preserve">zero correction multiplier is never inverted. The Miller curve</w:t>
      </w:r>
      <w:r>
        <w:t xml:space="preserve"> </w:t>
      </w:r>
      <m:oMath>
        <m:sSup>
          <m:e>
            <m:r>
              <m:t>y</m:t>
            </m:r>
          </m:e>
          <m:sup>
            <m:r>
              <m:t>2</m:t>
            </m:r>
          </m:sup>
        </m:sSup>
        <m:r>
          <m:rPr>
            <m:sty m:val="p"/>
          </m:rPr>
          <m:t>=</m:t>
        </m:r>
        <m:r>
          <m:t>1</m:t>
        </m:r>
        <m:r>
          <m:rPr>
            <m:sty m:val="p"/>
          </m:rPr>
          <m:t>−</m:t>
        </m:r>
        <m:sSup>
          <m:e>
            <m:r>
              <m:t>x</m:t>
            </m:r>
          </m:e>
          <m:sup>
            <m:r>
              <m:t>5</m:t>
            </m:r>
          </m:sup>
        </m:sSup>
        <m:r>
          <m:rPr>
            <m:sty m:val="p"/>
          </m:rPr>
          <m:t>/</m:t>
        </m:r>
        <m:r>
          <m:t>2</m:t>
        </m:r>
      </m:oMath>
      <w:r>
        <w:t xml:space="preserve"> </w:t>
      </w:r>
      <w:r>
        <w:t xml:space="preserve">is smooth because</w:t>
      </w:r>
      <w:r>
        <w:t xml:space="preserve"> </w:t>
      </w:r>
      <m:oMath>
        <m:r>
          <m:t>p</m:t>
        </m:r>
        <m:r>
          <m:rPr>
            <m:sty m:val="p"/>
          </m:rPr>
          <m:t>&gt;</m:t>
        </m:r>
        <m:r>
          <m:t>5</m:t>
        </m:r>
      </m:oMath>
      <w:r>
        <w:t xml:space="preserve">; its known maximal-family rational-point annihilator is</w:t>
      </w:r>
      <w:r>
        <w:t xml:space="preserve"> </w:t>
      </w:r>
      <m:oMath>
        <m:r>
          <m:t>p</m:t>
        </m:r>
        <m:r>
          <m:rPr>
            <m:sty m:val="p"/>
          </m:rPr>
          <m:t>+</m:t>
        </m:r>
        <m:r>
          <m:t>1</m:t>
        </m:r>
      </m:oMath>
      <w:r>
        <w:t xml:space="preserve">, with no trace or point-counting oracle. Local valuations, logarithmic jets and any quadratic-algebra restart remain as in the preserved proof and code. All arithmetic and outputs here are modulo</w:t>
      </w:r>
      <w:r>
        <w:t xml:space="preserve"> </w:t>
      </w:r>
      <m:oMath>
        <m:r>
          <m:t>p</m:t>
        </m:r>
      </m:oMath>
      <w:r>
        <w:t xml:space="preserve">, with no lifted precision or Witt coefficient recovery.</w:t>
      </w:r>
    </w:p>
    <w:p>
      <w:pPr>
        <w:pStyle w:val="BodyText"/>
        <w:widowControl/>
      </w:pPr>
      <w:r>
        <w:t xml:space="preserve">The final finite audit passed 1344 polynomial-shift cases against independent Horner evaluation, 1410 boundary comparisons, 3865 complete-output comparisons, and 46 controls using the original recurrence over exact rational numbers. Independent full binomial sums cover all 73 admissible primes through 2000; another 486 primes complete the boundary and cross-method checks below 20000. Counts overlap. These tests validate the implementation on stated finite sets; the derivation supplies the mathematical argument for its identities. They do not confer external peer review or Windows validation.</w:t>
      </w:r>
    </w:p>
    <w:p>
      <w:pPr>
        <w:pStyle w:val="BodyText"/>
        <w:widowControl/>
      </w:pPr>
      <w:r>
        <w:t xml:space="preserve">Measurements used AMD EPYC 9V74 80-Core Processor, Python 3.12.14, GCC 13.3.0, python-flint 0.9.0 and FLINT 3.6.0 on Linux, with the default FLINT thread setting of one. Seven shuffled interleaved samples were used for new BGS and scalar paths, and three for the direct and archived matrix controls. No simultaneous numerical audit ran during the final benchmark. Imports, the one-time ABI probe, compilation and separately performed prime validation are outside hot timings. Curve and field setup, Miller work, interpolation tables, convolutions or trees, accumulation, tails, inversions and reconstruction are inside. Fresh-process single medians, including startup and validation, were 105.0 ms for Cartier–Miller BGS, 129.0 ms for the preserved tenth tree, and 118.2 ms for matrix BGS.</w:t>
      </w:r>
    </w:p>
    <w:p>
      <w:pPr>
        <w:pStyle w:val="BodyText"/>
        <w:widowControl/>
      </w:pPr>
      <w:r>
        <w:t xml:space="preserve">At the largest prime, absolute fresh-process peak RSS was 27.9 MiB singly and 28.7 MiB paired for Cartier–Miller BGS, versus 28.6 and 29.2 MiB for the matched tree. Common interpreter and imports are included. These are modest process-memory differences, not evidence for a dramatic memory reduction. Raw samples, ranges, operation counts, source and binary hashes, and all memory observations remain in the JSON record. Machine load and allocator variation limit portable timing conclusions.</w:t>
      </w:r>
    </w:p>
    <w:p>
      <w:pPr>
        <w:pStyle w:val="BodyText"/>
        <w:widowControl/>
      </w:pPr>
      <w:r>
        <w:t xml:space="preserve">The portable source bundle includes a Windows x64 build and exact audit script, a separately named Windows benchmark, a browser-readable comparison, the mathematical derivation, source notes, original ZIPs and an integrity verifier. Setup uses a private standard Python environment and installed Visual Studio C++ tools; it does not alter QGIS, OSGeo4W, Bench 0.1 or Studio. The pinned private FLINT ABI and MSVC intrinsic path require the Windows run before integration. Double-click setup_windows.bat, then benchmark_windows.bat after the audit passes; retain the resulting JSON and build log. Earlier archive precedence, cubic-cutoff correction,</w:t>
      </w:r>
      <w:r>
        <w:t xml:space="preserve"> </w:t>
      </w:r>
      <m:oMath>
        <m:r>
          <m:t>p</m:t>
        </m:r>
        <m:r>
          <m:rPr>
            <m:sty m:val="p"/>
          </m:rPr>
          <m:t>=</m:t>
        </m:r>
        <m:r>
          <m:t>5</m:t>
        </m:r>
      </m:oMath>
      <w:r>
        <w:t xml:space="preserve"> </w:t>
      </w:r>
      <w:r>
        <w:t xml:space="preserve">finite status and original report dates are preserved.</w:t>
      </w:r>
    </w:p>
    <w:p>
      <w:pPr>
        <w:pStyle w:val="BodyText"/>
        <w:widowControl/>
      </w:pPr>
      <w:r>
        <w:t xml:space="preserve">In plain language, we now build the multiplication blocks without repeatedly building large polynomial trees. We also gave the competing recurrence the same stronger technique. That makes the comparison fairer: the recurrence wins many smaller jobs, while our reduced products and short Miller prefix retain an advantage on the largest tested jobs. This improves the supported tool without resolving the separate Witt coefficient, sums modulo</w:t>
      </w:r>
      <w:r>
        <w:t xml:space="preserve"> </w:t>
      </w:r>
      <m:oMath>
        <m:sSup>
          <m:e>
            <m:r>
              <m:t>p</m:t>
            </m:r>
          </m:e>
          <m:sup>
            <m:r>
              <m:t>2</m:t>
            </m:r>
          </m:sup>
        </m:sSup>
      </m:oMath>
      <w:r>
        <w:t xml:space="preserve">, arbitrary stopping points, factoring, point counting or BBP problems.</w:t>
      </w:r>
    </w:p>
    <w:p>
      <w:pPr>
        <w:pStyle w:val="BodyText"/>
        <w:widowControl/>
      </w:pPr>
      <w:r>
        <w:t xml:space="preserve">BGS source: Bostan, Gaudry and Schost, SIAM Journal on Computing 36 (2007), 1777–1806, Theorems 5 and 8, https://specfun.inria.fr/bostan/publications/BoGaSc07.pdf. Exact FLINT source locations and preserved project proof provenance are recorded in SOURCES.md. The archive includes the fuller mathematical derivation and raw implementation evidence.</w:t>
      </w:r>
    </w:p>
    <w:bookmarkEnd w:id="20"/>
    <w:sectPr>
      <w:pgSz w:w="12240" w:h="15840"/>
      <w:pgMar w:top="1080" w:bottom="1080" w:left="1152" w:right="115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line="259" w:lineRule="auto" w:after="140"/>
    </w:pPr>
    <w:rPr>
      <w:rFonts w:ascii="Calibri" w:hAnsi="Calibri"/>
      <w:color w:val="000000"/>
      <w:sz w:val="22"/>
    </w:rPr>
  </w:style>
  <w:style w:styleId="BodyText" w:type="paragraph">
    <w:name w:val="Body Text"/>
    <w:basedOn w:val="Normal"/>
    <w:link w:val="BodyTextChar"/>
    <w:pPr>
      <w:spacing w:after="140" w:before="180" w:line="259" w:lineRule="auto"/>
    </w:pPr>
    <w:qFormat/>
    <w:rPr>
      <w:rFonts w:ascii="Calibri" w:hAnsi="Calibri"/>
      <w:color w:val="000000"/>
      <w:sz w:val="22"/>
    </w:rPr>
  </w:style>
  <w:style w:customStyle="1" w:styleId="FirstParagraph" w:type="paragraph">
    <w:name w:val="First Paragraph"/>
    <w:basedOn w:val="BodyText"/>
    <w:next w:val="BodyText"/>
    <w:qFormat/>
    <w:pPr>
      <w:spacing w:line="259" w:lineRule="auto" w:after="140"/>
    </w:pPr>
    <w:rPr>
      <w:rFonts w:ascii="Calibri" w:hAnsi="Calibri"/>
      <w:color w:val="000000"/>
      <w:sz w:val="22"/>
    </w:rPr>
  </w:style>
  <w:style w:customStyle="1" w:styleId="Compact" w:type="paragraph">
    <w:name w:val="Compact"/>
    <w:basedOn w:val="BodyText"/>
    <w:qFormat/>
    <w:pPr>
      <w:spacing w:after="36" w:before="36"/>
    </w:pPr>
    <w:rPr>
      <w:color w:val="000000"/>
    </w:r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val="000000"/>
      <w:sz w:val="46"/>
      <w:szCs w:val="36"/>
    </w:rPr>
  </w:style>
  <w:style w:styleId="Subtitle" w:type="paragraph">
    <w:name w:val="Subtitle"/>
    <w:basedOn w:val="Title"/>
    <w:next w:val="BodyText"/>
    <w:qFormat/>
    <w:pPr>
      <w:keepNext/>
      <w:keepLines/>
      <w:spacing w:after="240" w:before="240"/>
      <w:jc w:val="center"/>
    </w:pPr>
    <w:rPr>
      <w:color w:val="000000"/>
      <w:sz w:val="30"/>
      <w:szCs w:val="30"/>
    </w:rPr>
  </w:style>
  <w:style w:customStyle="1" w:styleId="Author" w:type="paragraph">
    <w:name w:val="Author"/>
    <w:next w:val="BodyText"/>
    <w:qFormat/>
    <w:pPr>
      <w:keepNext/>
      <w:keepLines/>
      <w:jc w:val="center"/>
    </w:pPr>
    <w:rPr>
      <w:color w:val="000000"/>
    </w:rPr>
  </w:style>
  <w:style w:styleId="Date" w:type="paragraph">
    <w:name w:val="Date"/>
    <w:next w:val="BodyText"/>
    <w:qFormat/>
    <w:pPr>
      <w:keepNext/>
      <w:keepLines/>
      <w:jc w:val="center"/>
    </w:pPr>
    <w:rPr>
      <w:color w:val="000000"/>
    </w:rPr>
  </w:style>
  <w:style w:customStyle="1" w:styleId="AbstractTitle" w:type="paragraph">
    <w:name w:val="Abstract Title"/>
    <w:basedOn w:val="Normal"/>
    <w:next w:val="Abstract"/>
    <w:qFormat/>
    <w:pPr>
      <w:keepNext/>
      <w:keepLines/>
      <w:jc w:val="center"/>
      <w:spacing w:after="0" w:before="300"/>
    </w:pPr>
    <w:rPr>
      <w:color w:val="000000"/>
      <w:sz w:val="20"/>
      <w:szCs w:val="20"/>
      <w:b/>
    </w:rPr>
  </w:style>
  <w:style w:customStyle="1" w:styleId="Abstract" w:type="paragraph">
    <w:name w:val="Abstract"/>
    <w:basedOn w:val="Normal"/>
    <w:next w:val="BodyText"/>
    <w:qFormat/>
    <w:pPr>
      <w:keepNext/>
      <w:keepLines/>
      <w:spacing w:after="300" w:before="100"/>
    </w:pPr>
    <w:rPr>
      <w:color w:val="000000"/>
      <w:sz w:val="20"/>
      <w:szCs w:val="20"/>
    </w:rPr>
  </w:style>
  <w:style w:styleId="Bibliography" w:type="paragraph">
    <w:name w:val="Bibliography"/>
    <w:basedOn w:val="Normal"/>
    <w:next w:val="Bibliography"/>
    <w:qFormat/>
    <w:pPr/>
    <w:rPr>
      <w:color w:val="000000"/>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val="000000"/>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val="000000"/>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val="000000"/>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val="000000"/>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val="000000"/>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val="000000"/>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val="000000"/>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val="000000"/>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val="000000"/>
      <w:sz w:val="24"/>
      <w:szCs w:val="24"/>
    </w:rPr>
  </w:style>
  <w:style w:styleId="BlockText" w:type="paragraph">
    <w:name w:val="Block Text"/>
    <w:basedOn w:val="BodyText"/>
    <w:next w:val="BodyText"/>
    <w:uiPriority w:val="9"/>
    <w:unhideWhenUsed/>
    <w:qFormat/>
    <w:pPr>
      <w:spacing w:after="100" w:before="100"/>
      <w:ind w:firstLine="0" w:left="480" w:right="480"/>
    </w:pPr>
    <w:rPr>
      <w:color w:val="000000"/>
    </w:rPr>
  </w:style>
  <w:style w:styleId="FootnoteText" w:type="paragraph">
    <w:name w:val="Footnote Text"/>
    <w:basedOn w:val="Normal"/>
    <w:next w:val="FootnoteText"/>
    <w:uiPriority w:val="9"/>
    <w:unhideWhenUsed/>
    <w:qFormat/>
    <w:rPr>
      <w:color w:val="000000"/>
    </w:r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color w:val="000000"/>
    </w:rPr>
  </w:style>
  <w:style w:customStyle="1" w:styleId="Definition" w:type="paragraph">
    <w:name w:val="Definition"/>
    <w:basedOn w:val="Normal"/>
    <w:rPr>
      <w:color w:val="000000"/>
    </w:rPr>
  </w:style>
  <w:style w:styleId="Caption" w:type="paragraph">
    <w:name w:val="Caption"/>
    <w:basedOn w:val="Normal"/>
    <w:link w:val="BodyTextChar"/>
    <w:pPr>
      <w:spacing w:after="120" w:before="0"/>
    </w:pPr>
    <w:rPr>
      <w:i/>
      <w:color w:val="000000"/>
    </w:rPr>
  </w:style>
  <w:style w:customStyle="1" w:styleId="TableCaption" w:type="paragraph">
    <w:name w:val="Table Caption"/>
    <w:basedOn w:val="Caption"/>
    <w:pPr>
      <w:keepNext/>
    </w:pPr>
    <w:rPr>
      <w:color w:val="000000"/>
    </w:rPr>
  </w:style>
  <w:style w:customStyle="1" w:styleId="ImageCaption" w:type="paragraph">
    <w:name w:val="Image Caption"/>
    <w:basedOn w:val="Caption"/>
    <w:rPr>
      <w:color w:val="000000"/>
    </w:rPr>
  </w:style>
  <w:style w:customStyle="1" w:styleId="Figure" w:type="paragraph">
    <w:name w:val="Figure"/>
    <w:basedOn w:val="Normal"/>
    <w:rPr>
      <w:color w:val="000000"/>
    </w:rPr>
  </w:style>
  <w:style w:customStyle="1" w:styleId="CaptionedFigure" w:type="paragraph">
    <w:name w:val="Captioned Figure"/>
    <w:basedOn w:val="Figure"/>
    <w:pPr>
      <w:keepNext/>
    </w:pPr>
    <w:rPr>
      <w:color w:val="000000"/>
    </w:r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val="000000"/>
    </w:rPr>
  </w:style>
  <w:style w:type="paragraph" w:customStyle="1" w:styleId="SourceCode">
    <w:name w:val="Source Code"/>
    <w:basedOn w:val="Normal"/>
    <w:link w:val="VerbatimChar"/>
    <w:pPr>
      <w:wordWrap w:val="off"/>
    </w:pPr>
    <w:rPr>
      <w:color w:val="000000"/>
    </w:r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BGS implementation and comparison at fifth points</dc:title>
  <dc:creator>Codex research continuation for David</dc:creator>
  <cp:keywords/>
  <dcterms:created xsi:type="dcterms:W3CDTF">2026-09-30T20:32:49Z</dcterms:created>
  <dcterms:modified xsi:type="dcterms:W3CDTF">2026-09-30T20:32:49Z</dcterms:modified>
  <dc:subject>Bounded native BGS implementation and complete Linux workloads</dc:subject>
</cp:coreProperties>
</file>

<file path=docProps/custom.xml><?xml version="1.0" encoding="utf-8"?>
<Properties xmlns="http://schemas.openxmlformats.org/officeDocument/2006/custom-properties" xmlns:vt="http://schemas.openxmlformats.org/officeDocument/2006/docPropsVTypes"/>
</file>