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60"/>
        <w:jc w:val="center"/>
      </w:pPr>
      <w:r>
        <w:rPr>
          <w:rFonts w:ascii="Aptos" w:hAnsi="Aptos" w:eastAsia="Aptos"/>
          <w:b/>
          <w:color w:val="000000"/>
          <w:sz w:val="44"/>
        </w:rPr>
        <w:t>Expression des besoins gestion des réclamations</w:t>
      </w:r>
    </w:p>
    <w:p>
      <w:pPr>
        <w:spacing w:after="320"/>
        <w:jc w:val="center"/>
      </w:pPr>
      <w:r>
        <w:rPr>
          <w:rFonts w:ascii="Aptos" w:hAnsi="Aptos" w:eastAsia="Aptos"/>
          <w:b/>
          <w:color w:val="4F7D2B"/>
          <w:sz w:val="24"/>
        </w:rPr>
        <w:t>Agence Nationale des Bourses du Gabon</w:t>
      </w:r>
    </w:p>
    <w:p>
      <w:pPr>
        <w:spacing w:before="280" w:after="120"/>
      </w:pPr>
      <w:r>
        <w:rPr>
          <w:rFonts w:ascii="Aptos" w:hAnsi="Aptos" w:eastAsia="Aptos"/>
          <w:b/>
          <w:color w:val="000000"/>
          <w:sz w:val="28"/>
        </w:rPr>
        <w:t>Objet et périmètre</w:t>
      </w:r>
    </w:p>
    <w:p>
      <w:pPr>
        <w:spacing w:after="120" w:line="269" w:lineRule="auto"/>
        <w:keepNext/>
      </w:pPr>
      <w:r>
        <w:rPr>
          <w:rFonts w:ascii="Aptos" w:hAnsi="Aptos" w:eastAsia="Aptos"/>
          <w:b w:val="0"/>
          <w:i w:val="0"/>
          <w:color w:val="555555"/>
          <w:sz w:val="21"/>
        </w:rPr>
        <w:t>Ce document formalise les besoins de l'application dédiée au suivi des réclamations. Il couvre le dépôt, l'orientation, le traitement, la réponse, le suivi des délais, la traçabilité et le pilotage des réclamations. Les demandes d'information sont exclues du périmètre.</w:t>
      </w:r>
    </w:p>
    <w:p>
      <w:pPr>
        <w:spacing w:after="120" w:line="269" w:lineRule="auto"/>
      </w:pPr>
      <w:r>
        <w:rPr>
          <w:rFonts w:ascii="Aptos" w:hAnsi="Aptos" w:eastAsia="Aptos"/>
          <w:b w:val="0"/>
          <w:i/>
          <w:color w:val="555555"/>
          <w:sz w:val="21"/>
        </w:rPr>
        <w:t>Référence de cadrage : Cahier des charges de digitalisation du suivi des réclamations, février 2026. Les exigences ci-dessous sont formulées comme des besoins cibles de l'application.</w:t>
      </w:r>
    </w:p>
    <w:p>
      <w:pPr>
        <w:spacing w:before="280" w:after="120"/>
      </w:pPr>
      <w:r>
        <w:rPr>
          <w:rFonts w:ascii="Aptos" w:hAnsi="Aptos" w:eastAsia="Aptos"/>
          <w:b/>
          <w:color w:val="000000"/>
          <w:sz w:val="28"/>
        </w:rPr>
        <w:t>Besoins fonctionnels</w:t>
      </w:r>
    </w:p>
    <w:p>
      <w:pPr>
        <w:spacing w:after="120" w:line="269" w:lineRule="auto"/>
        <w:keepNext/>
      </w:pPr>
      <w:r>
        <w:rPr>
          <w:rFonts w:ascii="Aptos" w:hAnsi="Aptos" w:eastAsia="Aptos"/>
          <w:b w:val="0"/>
          <w:i w:val="0"/>
          <w:color w:val="555555"/>
          <w:sz w:val="21"/>
        </w:rPr>
        <w:t>Les besoins fonctionnels décrivent les actions que l'application doit permettre de réaliser pour gérer une réclamation de bout en bout.</w:t>
      </w:r>
    </w:p>
    <w:tbl>
      <w:tblPr>
        <w:tblW w:type="auto" w:w="0"/>
        <w:jc w:val="center"/>
        <w:tblLayout w:type="fixed"/>
        <w:tblLook w:firstColumn="1" w:firstRow="1" w:lastColumn="0" w:lastRow="0" w:noHBand="0" w:noVBand="1" w:val="04A0"/>
      </w:tblPr>
      <w:tblGrid>
        <w:gridCol w:w="2839"/>
        <w:gridCol w:w="2839"/>
        <w:gridCol w:w="2839"/>
        <w:gridCol w:w="2839"/>
        <w:gridCol w:w="2839"/>
      </w:tblGrid>
      <w:tr>
        <w:trPr>
          <w:tblHeader w:val="true"/>
        </w:trPr>
        <w:tc>
          <w:tcPr>
            <w:tcW w:type="dxa" w:w="708"/>
            <w:shd w:fill="1F4E79"/>
            <w:vAlign w:val="center"/>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line="252" w:lineRule="auto"/>
              <w:jc w:val="center"/>
            </w:pPr>
            <w:r/>
            <w:r>
              <w:rPr>
                <w:rFonts w:ascii="Aptos" w:hAnsi="Aptos" w:eastAsia="Aptos"/>
                <w:b/>
                <w:color w:val="FFFFFF"/>
                <w:sz w:val="17"/>
              </w:rPr>
              <w:t>ID</w:t>
            </w:r>
          </w:p>
        </w:tc>
        <w:tc>
          <w:tcPr>
            <w:tcW w:type="dxa" w:w="1842"/>
            <w:shd w:fill="1F4E79"/>
            <w:vAlign w:val="center"/>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line="252" w:lineRule="auto"/>
              <w:jc w:val="center"/>
            </w:pPr>
            <w:r/>
            <w:r>
              <w:rPr>
                <w:rFonts w:ascii="Aptos" w:hAnsi="Aptos" w:eastAsia="Aptos"/>
                <w:b/>
                <w:color w:val="FFFFFF"/>
                <w:sz w:val="17"/>
              </w:rPr>
              <w:t>Besoin</w:t>
            </w:r>
          </w:p>
        </w:tc>
        <w:tc>
          <w:tcPr>
            <w:tcW w:type="dxa" w:w="6889"/>
            <w:shd w:fill="1F4E79"/>
            <w:vAlign w:val="center"/>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line="252" w:lineRule="auto"/>
              <w:jc w:val="center"/>
            </w:pPr>
            <w:r/>
            <w:r>
              <w:rPr>
                <w:rFonts w:ascii="Aptos" w:hAnsi="Aptos" w:eastAsia="Aptos"/>
                <w:b/>
                <w:color w:val="FFFFFF"/>
                <w:sz w:val="17"/>
              </w:rPr>
              <w:t>Description attendue</w:t>
            </w:r>
          </w:p>
        </w:tc>
        <w:tc>
          <w:tcPr>
            <w:tcW w:type="dxa" w:w="2353"/>
            <w:shd w:fill="1F4E79"/>
            <w:vAlign w:val="center"/>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line="252" w:lineRule="auto"/>
              <w:jc w:val="center"/>
            </w:pPr>
            <w:r/>
            <w:r>
              <w:rPr>
                <w:rFonts w:ascii="Aptos" w:hAnsi="Aptos" w:eastAsia="Aptos"/>
                <w:b/>
                <w:color w:val="FFFFFF"/>
                <w:sz w:val="17"/>
              </w:rPr>
              <w:t>Acteurs principaux</w:t>
            </w:r>
          </w:p>
        </w:tc>
        <w:tc>
          <w:tcPr>
            <w:tcW w:type="dxa" w:w="963"/>
            <w:shd w:fill="1F4E79"/>
            <w:vAlign w:val="center"/>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line="252" w:lineRule="auto"/>
              <w:jc w:val="center"/>
            </w:pPr>
            <w:r/>
            <w:r>
              <w:rPr>
                <w:rFonts w:ascii="Aptos" w:hAnsi="Aptos" w:eastAsia="Aptos"/>
                <w:b/>
                <w:color w:val="FFFFFF"/>
                <w:sz w:val="17"/>
              </w:rPr>
              <w:t>Priorité</w:t>
            </w:r>
          </w:p>
        </w:tc>
      </w:tr>
      <w:tr>
        <w:trPr>
          <w:cantSplit/>
        </w:trPr>
        <w:tc>
          <w:tcPr>
            <w:tcW w:type="dxa" w:w="708"/>
            <w:shd w:fill="EAF3F8"/>
            <w:vAlign w:val="center"/>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line="252" w:lineRule="auto"/>
              <w:jc w:val="center"/>
            </w:pPr>
            <w:r/>
            <w:r>
              <w:rPr>
                <w:rFonts w:ascii="Aptos" w:hAnsi="Aptos" w:eastAsia="Aptos"/>
                <w:b w:val="0"/>
                <w:color w:val="000000"/>
                <w:sz w:val="17"/>
              </w:rPr>
              <w:t>BF-01</w:t>
            </w:r>
          </w:p>
        </w:tc>
        <w:tc>
          <w:tcPr>
            <w:tcW w:type="dxa" w:w="1842"/>
            <w:shd w:fill="EAF3F8"/>
            <w:vAlign w:val="center"/>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line="252" w:lineRule="auto"/>
              <w:jc w:val="left"/>
            </w:pPr>
            <w:r/>
            <w:r>
              <w:rPr>
                <w:rFonts w:ascii="Aptos" w:hAnsi="Aptos" w:eastAsia="Aptos"/>
                <w:b w:val="0"/>
                <w:color w:val="000000"/>
                <w:sz w:val="17"/>
              </w:rPr>
              <w:t>Enregistrer une réclamation</w:t>
            </w:r>
          </w:p>
        </w:tc>
        <w:tc>
          <w:tcPr>
            <w:tcW w:type="dxa" w:w="6889"/>
            <w:shd w:fill="EAF3F8"/>
            <w:vAlign w:val="center"/>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line="252" w:lineRule="auto"/>
              <w:jc w:val="left"/>
            </w:pPr>
            <w:r/>
            <w:r>
              <w:rPr>
                <w:rFonts w:ascii="Aptos" w:hAnsi="Aptos" w:eastAsia="Aptos"/>
                <w:b w:val="0"/>
                <w:color w:val="000000"/>
                <w:sz w:val="17"/>
              </w:rPr>
              <w:t>Permettre à un usager de déposer une réclamation depuis le formulaire public, avec les informations nécessaires à son identification et à son traitement.</w:t>
            </w:r>
          </w:p>
        </w:tc>
        <w:tc>
          <w:tcPr>
            <w:tcW w:type="dxa" w:w="2353"/>
            <w:shd w:fill="EAF3F8"/>
            <w:vAlign w:val="center"/>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line="252" w:lineRule="auto"/>
              <w:jc w:val="center"/>
            </w:pPr>
            <w:r/>
            <w:r>
              <w:rPr>
                <w:rFonts w:ascii="Aptos" w:hAnsi="Aptos" w:eastAsia="Aptos"/>
                <w:b w:val="0"/>
                <w:color w:val="000000"/>
                <w:sz w:val="17"/>
              </w:rPr>
              <w:t>Usager</w:t>
            </w:r>
          </w:p>
        </w:tc>
        <w:tc>
          <w:tcPr>
            <w:tcW w:type="dxa" w:w="963"/>
            <w:shd w:fill="EAF3F8"/>
            <w:vAlign w:val="center"/>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line="252" w:lineRule="auto"/>
              <w:jc w:val="center"/>
            </w:pPr>
            <w:r/>
            <w:r>
              <w:rPr>
                <w:rFonts w:ascii="Aptos" w:hAnsi="Aptos" w:eastAsia="Aptos"/>
                <w:b w:val="0"/>
                <w:color w:val="000000"/>
                <w:sz w:val="17"/>
              </w:rPr>
              <w:t>Critique</w:t>
            </w:r>
          </w:p>
        </w:tc>
      </w:tr>
      <w:tr>
        <w:trPr>
          <w:cantSplit/>
        </w:trPr>
        <w:tc>
          <w:tcPr>
            <w:tcW w:type="dxa" w:w="708"/>
            <w:shd w:fill="FFFFFF"/>
            <w:vAlign w:val="center"/>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line="252" w:lineRule="auto"/>
              <w:jc w:val="center"/>
            </w:pPr>
            <w:r/>
            <w:r>
              <w:rPr>
                <w:rFonts w:ascii="Aptos" w:hAnsi="Aptos" w:eastAsia="Aptos"/>
                <w:b w:val="0"/>
                <w:color w:val="000000"/>
                <w:sz w:val="17"/>
              </w:rPr>
              <w:t>BF-02</w:t>
            </w:r>
          </w:p>
        </w:tc>
        <w:tc>
          <w:tcPr>
            <w:tcW w:type="dxa" w:w="1842"/>
            <w:shd w:fill="FFFFFF"/>
            <w:vAlign w:val="center"/>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line="252" w:lineRule="auto"/>
              <w:jc w:val="left"/>
            </w:pPr>
            <w:r/>
            <w:r>
              <w:rPr>
                <w:rFonts w:ascii="Aptos" w:hAnsi="Aptos" w:eastAsia="Aptos"/>
                <w:b w:val="0"/>
                <w:color w:val="000000"/>
                <w:sz w:val="17"/>
              </w:rPr>
              <w:t>Qualifier la réclamation</w:t>
            </w:r>
          </w:p>
        </w:tc>
        <w:tc>
          <w:tcPr>
            <w:tcW w:type="dxa" w:w="6889"/>
            <w:shd w:fill="FFFFFF"/>
            <w:vAlign w:val="center"/>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line="252" w:lineRule="auto"/>
              <w:jc w:val="left"/>
            </w:pPr>
            <w:r/>
            <w:r>
              <w:rPr>
                <w:rFonts w:ascii="Aptos" w:hAnsi="Aptos" w:eastAsia="Aptos"/>
                <w:b w:val="0"/>
                <w:color w:val="000000"/>
                <w:sz w:val="17"/>
              </w:rPr>
              <w:t>Permettre de sélectionner une catégorie : attestation de bourse ou maintien, frais de scolarité, RIB non validé sur eBourse, recours après délibération de la CT ou réclamation diverse.</w:t>
            </w:r>
          </w:p>
        </w:tc>
        <w:tc>
          <w:tcPr>
            <w:tcW w:type="dxa" w:w="2353"/>
            <w:shd w:fill="FFFFFF"/>
            <w:vAlign w:val="center"/>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line="252" w:lineRule="auto"/>
              <w:jc w:val="center"/>
            </w:pPr>
            <w:r/>
            <w:r>
              <w:rPr>
                <w:rFonts w:ascii="Aptos" w:hAnsi="Aptos" w:eastAsia="Aptos"/>
                <w:b w:val="0"/>
                <w:color w:val="000000"/>
                <w:sz w:val="17"/>
              </w:rPr>
              <w:t>Usager</w:t>
            </w:r>
          </w:p>
        </w:tc>
        <w:tc>
          <w:tcPr>
            <w:tcW w:type="dxa" w:w="963"/>
            <w:shd w:fill="FFFFFF"/>
            <w:vAlign w:val="center"/>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line="252" w:lineRule="auto"/>
              <w:jc w:val="center"/>
            </w:pPr>
            <w:r/>
            <w:r>
              <w:rPr>
                <w:rFonts w:ascii="Aptos" w:hAnsi="Aptos" w:eastAsia="Aptos"/>
                <w:b w:val="0"/>
                <w:color w:val="000000"/>
                <w:sz w:val="17"/>
              </w:rPr>
              <w:t>Haute</w:t>
            </w:r>
          </w:p>
        </w:tc>
      </w:tr>
      <w:tr>
        <w:trPr>
          <w:cantSplit/>
        </w:trPr>
        <w:tc>
          <w:tcPr>
            <w:tcW w:type="dxa" w:w="708"/>
            <w:shd w:fill="EAF3F8"/>
            <w:vAlign w:val="center"/>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line="252" w:lineRule="auto"/>
              <w:jc w:val="center"/>
            </w:pPr>
            <w:r/>
            <w:r>
              <w:rPr>
                <w:rFonts w:ascii="Aptos" w:hAnsi="Aptos" w:eastAsia="Aptos"/>
                <w:b w:val="0"/>
                <w:color w:val="000000"/>
                <w:sz w:val="17"/>
              </w:rPr>
              <w:t>BF-03</w:t>
            </w:r>
          </w:p>
        </w:tc>
        <w:tc>
          <w:tcPr>
            <w:tcW w:type="dxa" w:w="1842"/>
            <w:shd w:fill="EAF3F8"/>
            <w:vAlign w:val="center"/>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line="252" w:lineRule="auto"/>
              <w:jc w:val="left"/>
            </w:pPr>
            <w:r/>
            <w:r>
              <w:rPr>
                <w:rFonts w:ascii="Aptos" w:hAnsi="Aptos" w:eastAsia="Aptos"/>
                <w:b w:val="0"/>
                <w:color w:val="000000"/>
                <w:sz w:val="17"/>
              </w:rPr>
              <w:t>Joindre des pièces</w:t>
            </w:r>
          </w:p>
        </w:tc>
        <w:tc>
          <w:tcPr>
            <w:tcW w:type="dxa" w:w="6889"/>
            <w:shd w:fill="EAF3F8"/>
            <w:vAlign w:val="center"/>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line="252" w:lineRule="auto"/>
              <w:jc w:val="left"/>
            </w:pPr>
            <w:r/>
            <w:r>
              <w:rPr>
                <w:rFonts w:ascii="Aptos" w:hAnsi="Aptos" w:eastAsia="Aptos"/>
                <w:b w:val="0"/>
                <w:color w:val="000000"/>
                <w:sz w:val="17"/>
              </w:rPr>
              <w:t>Autoriser l'ajout de pièces justificatives à la réclamation, dans des formats et tailles contrôlés, puis les rendre accessibles aux personnes habilitées.</w:t>
            </w:r>
          </w:p>
        </w:tc>
        <w:tc>
          <w:tcPr>
            <w:tcW w:type="dxa" w:w="2353"/>
            <w:shd w:fill="EAF3F8"/>
            <w:vAlign w:val="center"/>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line="252" w:lineRule="auto"/>
              <w:jc w:val="center"/>
            </w:pPr>
            <w:r/>
            <w:r>
              <w:rPr>
                <w:rFonts w:ascii="Aptos" w:hAnsi="Aptos" w:eastAsia="Aptos"/>
                <w:b w:val="0"/>
                <w:color w:val="000000"/>
                <w:sz w:val="17"/>
              </w:rPr>
              <w:t>Usager, agent</w:t>
            </w:r>
          </w:p>
        </w:tc>
        <w:tc>
          <w:tcPr>
            <w:tcW w:type="dxa" w:w="963"/>
            <w:shd w:fill="EAF3F8"/>
            <w:vAlign w:val="center"/>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line="252" w:lineRule="auto"/>
              <w:jc w:val="center"/>
            </w:pPr>
            <w:r/>
            <w:r>
              <w:rPr>
                <w:rFonts w:ascii="Aptos" w:hAnsi="Aptos" w:eastAsia="Aptos"/>
                <w:b w:val="0"/>
                <w:color w:val="000000"/>
                <w:sz w:val="17"/>
              </w:rPr>
              <w:t>Haute</w:t>
            </w:r>
          </w:p>
        </w:tc>
      </w:tr>
      <w:tr>
        <w:trPr>
          <w:cantSplit/>
        </w:trPr>
        <w:tc>
          <w:tcPr>
            <w:tcW w:type="dxa" w:w="708"/>
            <w:shd w:fill="FFFFFF"/>
            <w:vAlign w:val="center"/>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line="252" w:lineRule="auto"/>
              <w:jc w:val="center"/>
            </w:pPr>
            <w:r/>
            <w:r>
              <w:rPr>
                <w:rFonts w:ascii="Aptos" w:hAnsi="Aptos" w:eastAsia="Aptos"/>
                <w:b w:val="0"/>
                <w:color w:val="000000"/>
                <w:sz w:val="17"/>
              </w:rPr>
              <w:t>BF-04</w:t>
            </w:r>
          </w:p>
        </w:tc>
        <w:tc>
          <w:tcPr>
            <w:tcW w:type="dxa" w:w="1842"/>
            <w:shd w:fill="FFFFFF"/>
            <w:vAlign w:val="center"/>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line="252" w:lineRule="auto"/>
              <w:jc w:val="left"/>
            </w:pPr>
            <w:r/>
            <w:r>
              <w:rPr>
                <w:rFonts w:ascii="Aptos" w:hAnsi="Aptos" w:eastAsia="Aptos"/>
                <w:b w:val="0"/>
                <w:color w:val="000000"/>
                <w:sz w:val="17"/>
              </w:rPr>
              <w:t>Attribuer un numéro de suivi</w:t>
            </w:r>
          </w:p>
        </w:tc>
        <w:tc>
          <w:tcPr>
            <w:tcW w:type="dxa" w:w="6889"/>
            <w:shd w:fill="FFFFFF"/>
            <w:vAlign w:val="center"/>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line="252" w:lineRule="auto"/>
              <w:jc w:val="left"/>
            </w:pPr>
            <w:r/>
            <w:r>
              <w:rPr>
                <w:rFonts w:ascii="Aptos" w:hAnsi="Aptos" w:eastAsia="Aptos"/>
                <w:b w:val="0"/>
                <w:color w:val="000000"/>
                <w:sz w:val="17"/>
              </w:rPr>
              <w:t>Créer automatiquement un numéro unique de suivi à la réception de chaque réclamation afin de permettre son identification et son suivi.</w:t>
            </w:r>
          </w:p>
        </w:tc>
        <w:tc>
          <w:tcPr>
            <w:tcW w:type="dxa" w:w="2353"/>
            <w:shd w:fill="FFFFFF"/>
            <w:vAlign w:val="center"/>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line="252" w:lineRule="auto"/>
              <w:jc w:val="center"/>
            </w:pPr>
            <w:r/>
            <w:r>
              <w:rPr>
                <w:rFonts w:ascii="Aptos" w:hAnsi="Aptos" w:eastAsia="Aptos"/>
                <w:b w:val="0"/>
                <w:color w:val="000000"/>
                <w:sz w:val="17"/>
              </w:rPr>
              <w:t>Système</w:t>
            </w:r>
          </w:p>
        </w:tc>
        <w:tc>
          <w:tcPr>
            <w:tcW w:type="dxa" w:w="963"/>
            <w:shd w:fill="FFFFFF"/>
            <w:vAlign w:val="center"/>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line="252" w:lineRule="auto"/>
              <w:jc w:val="center"/>
            </w:pPr>
            <w:r/>
            <w:r>
              <w:rPr>
                <w:rFonts w:ascii="Aptos" w:hAnsi="Aptos" w:eastAsia="Aptos"/>
                <w:b w:val="0"/>
                <w:color w:val="000000"/>
                <w:sz w:val="17"/>
              </w:rPr>
              <w:t>Critique</w:t>
            </w:r>
          </w:p>
        </w:tc>
      </w:tr>
      <w:tr>
        <w:trPr>
          <w:cantSplit/>
        </w:trPr>
        <w:tc>
          <w:tcPr>
            <w:tcW w:type="dxa" w:w="708"/>
            <w:shd w:fill="EAF3F8"/>
            <w:vAlign w:val="center"/>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line="252" w:lineRule="auto"/>
              <w:jc w:val="center"/>
            </w:pPr>
            <w:r/>
            <w:r>
              <w:rPr>
                <w:rFonts w:ascii="Aptos" w:hAnsi="Aptos" w:eastAsia="Aptos"/>
                <w:b w:val="0"/>
                <w:color w:val="000000"/>
                <w:sz w:val="17"/>
              </w:rPr>
              <w:t>BF-05</w:t>
            </w:r>
          </w:p>
        </w:tc>
        <w:tc>
          <w:tcPr>
            <w:tcW w:type="dxa" w:w="1842"/>
            <w:shd w:fill="EAF3F8"/>
            <w:vAlign w:val="center"/>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line="252" w:lineRule="auto"/>
              <w:jc w:val="left"/>
            </w:pPr>
            <w:r/>
            <w:r>
              <w:rPr>
                <w:rFonts w:ascii="Aptos" w:hAnsi="Aptos" w:eastAsia="Aptos"/>
                <w:b w:val="0"/>
                <w:color w:val="000000"/>
                <w:sz w:val="17"/>
              </w:rPr>
              <w:t>Accuser réception</w:t>
            </w:r>
          </w:p>
        </w:tc>
        <w:tc>
          <w:tcPr>
            <w:tcW w:type="dxa" w:w="6889"/>
            <w:shd w:fill="EAF3F8"/>
            <w:vAlign w:val="center"/>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line="252" w:lineRule="auto"/>
              <w:jc w:val="left"/>
            </w:pPr>
            <w:r/>
            <w:r>
              <w:rPr>
                <w:rFonts w:ascii="Aptos" w:hAnsi="Aptos" w:eastAsia="Aptos"/>
                <w:b w:val="0"/>
                <w:color w:val="000000"/>
                <w:sz w:val="17"/>
              </w:rPr>
              <w:t>Envoyer à l'usager un accusé de réception contenant le numéro de suivi et l'information selon laquelle la réclamation sera traitée dans un délai maximal de 72 heures. L'échec d'envoi ne doit pas empêcher l'enregistrement.</w:t>
            </w:r>
          </w:p>
        </w:tc>
        <w:tc>
          <w:tcPr>
            <w:tcW w:type="dxa" w:w="2353"/>
            <w:shd w:fill="EAF3F8"/>
            <w:vAlign w:val="center"/>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line="252" w:lineRule="auto"/>
              <w:jc w:val="center"/>
            </w:pPr>
            <w:r/>
            <w:r>
              <w:rPr>
                <w:rFonts w:ascii="Aptos" w:hAnsi="Aptos" w:eastAsia="Aptos"/>
                <w:b w:val="0"/>
                <w:color w:val="000000"/>
                <w:sz w:val="17"/>
              </w:rPr>
              <w:t>Système</w:t>
            </w:r>
          </w:p>
        </w:tc>
        <w:tc>
          <w:tcPr>
            <w:tcW w:type="dxa" w:w="963"/>
            <w:shd w:fill="EAF3F8"/>
            <w:vAlign w:val="center"/>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line="252" w:lineRule="auto"/>
              <w:jc w:val="center"/>
            </w:pPr>
            <w:r/>
            <w:r>
              <w:rPr>
                <w:rFonts w:ascii="Aptos" w:hAnsi="Aptos" w:eastAsia="Aptos"/>
                <w:b w:val="0"/>
                <w:color w:val="000000"/>
                <w:sz w:val="17"/>
              </w:rPr>
              <w:t>Critique</w:t>
            </w:r>
          </w:p>
        </w:tc>
      </w:tr>
      <w:tr>
        <w:trPr>
          <w:cantSplit/>
        </w:trPr>
        <w:tc>
          <w:tcPr>
            <w:tcW w:type="dxa" w:w="708"/>
            <w:shd w:fill="FFFFFF"/>
            <w:vAlign w:val="center"/>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line="252" w:lineRule="auto"/>
              <w:jc w:val="center"/>
            </w:pPr>
            <w:r/>
            <w:r>
              <w:rPr>
                <w:rFonts w:ascii="Aptos" w:hAnsi="Aptos" w:eastAsia="Aptos"/>
                <w:b w:val="0"/>
                <w:color w:val="000000"/>
                <w:sz w:val="17"/>
              </w:rPr>
              <w:t>BF-06</w:t>
            </w:r>
          </w:p>
        </w:tc>
        <w:tc>
          <w:tcPr>
            <w:tcW w:type="dxa" w:w="1842"/>
            <w:shd w:fill="FFFFFF"/>
            <w:vAlign w:val="center"/>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line="252" w:lineRule="auto"/>
              <w:jc w:val="left"/>
            </w:pPr>
            <w:r/>
            <w:r>
              <w:rPr>
                <w:rFonts w:ascii="Aptos" w:hAnsi="Aptos" w:eastAsia="Aptos"/>
                <w:b w:val="0"/>
                <w:color w:val="000000"/>
                <w:sz w:val="17"/>
              </w:rPr>
              <w:t>Orienter et affecter</w:t>
            </w:r>
          </w:p>
        </w:tc>
        <w:tc>
          <w:tcPr>
            <w:tcW w:type="dxa" w:w="6889"/>
            <w:shd w:fill="FFFFFF"/>
            <w:vAlign w:val="center"/>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line="252" w:lineRule="auto"/>
              <w:jc w:val="left"/>
            </w:pPr>
            <w:r/>
            <w:r>
              <w:rPr>
                <w:rFonts w:ascii="Aptos" w:hAnsi="Aptos" w:eastAsia="Aptos"/>
                <w:b w:val="0"/>
                <w:color w:val="000000"/>
                <w:sz w:val="17"/>
              </w:rPr>
              <w:t>Permettre à l'accueil ou à un responsable habilité d'affecter la réclamation à la direction, au service ou à l'agent compétent, avec commentaire éventuel.</w:t>
            </w:r>
          </w:p>
        </w:tc>
        <w:tc>
          <w:tcPr>
            <w:tcW w:type="dxa" w:w="2353"/>
            <w:shd w:fill="FFFFFF"/>
            <w:vAlign w:val="center"/>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line="252" w:lineRule="auto"/>
              <w:jc w:val="center"/>
            </w:pPr>
            <w:r/>
            <w:r>
              <w:rPr>
                <w:rFonts w:ascii="Aptos" w:hAnsi="Aptos" w:eastAsia="Aptos"/>
                <w:b w:val="0"/>
                <w:color w:val="000000"/>
                <w:sz w:val="17"/>
              </w:rPr>
              <w:t>Accueil, responsable</w:t>
            </w:r>
          </w:p>
        </w:tc>
        <w:tc>
          <w:tcPr>
            <w:tcW w:type="dxa" w:w="963"/>
            <w:shd w:fill="FFFFFF"/>
            <w:vAlign w:val="center"/>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line="252" w:lineRule="auto"/>
              <w:jc w:val="center"/>
            </w:pPr>
            <w:r/>
            <w:r>
              <w:rPr>
                <w:rFonts w:ascii="Aptos" w:hAnsi="Aptos" w:eastAsia="Aptos"/>
                <w:b w:val="0"/>
                <w:color w:val="000000"/>
                <w:sz w:val="17"/>
              </w:rPr>
              <w:t>Critique</w:t>
            </w:r>
          </w:p>
        </w:tc>
      </w:tr>
      <w:tr>
        <w:trPr>
          <w:cantSplit/>
        </w:trPr>
        <w:tc>
          <w:tcPr>
            <w:tcW w:type="dxa" w:w="708"/>
            <w:shd w:fill="EAF3F8"/>
            <w:vAlign w:val="center"/>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line="252" w:lineRule="auto"/>
              <w:jc w:val="center"/>
            </w:pPr>
            <w:r/>
            <w:r>
              <w:rPr>
                <w:rFonts w:ascii="Aptos" w:hAnsi="Aptos" w:eastAsia="Aptos"/>
                <w:b w:val="0"/>
                <w:color w:val="000000"/>
                <w:sz w:val="17"/>
              </w:rPr>
              <w:t>BF-07</w:t>
            </w:r>
          </w:p>
        </w:tc>
        <w:tc>
          <w:tcPr>
            <w:tcW w:type="dxa" w:w="1842"/>
            <w:shd w:fill="EAF3F8"/>
            <w:vAlign w:val="center"/>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line="252" w:lineRule="auto"/>
              <w:jc w:val="left"/>
            </w:pPr>
            <w:r/>
            <w:r>
              <w:rPr>
                <w:rFonts w:ascii="Aptos" w:hAnsi="Aptos" w:eastAsia="Aptos"/>
                <w:b w:val="0"/>
                <w:color w:val="000000"/>
                <w:sz w:val="17"/>
              </w:rPr>
              <w:t>Notifier l'affectation</w:t>
            </w:r>
          </w:p>
        </w:tc>
        <w:tc>
          <w:tcPr>
            <w:tcW w:type="dxa" w:w="6889"/>
            <w:shd w:fill="EAF3F8"/>
            <w:vAlign w:val="center"/>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line="252" w:lineRule="auto"/>
              <w:jc w:val="left"/>
            </w:pPr>
            <w:r/>
            <w:r>
              <w:rPr>
                <w:rFonts w:ascii="Aptos" w:hAnsi="Aptos" w:eastAsia="Aptos"/>
                <w:b w:val="0"/>
                <w:color w:val="000000"/>
                <w:sz w:val="17"/>
              </w:rPr>
              <w:t>Informer par notification et courriel l'agent destinataire qu'une réclamation lui est affectée, en identifiant l'auteur de l'affectation et en l'invitant à se connecter pour la traiter. L'échec du courriel ne bloque pas l'affectation.</w:t>
            </w:r>
          </w:p>
        </w:tc>
        <w:tc>
          <w:tcPr>
            <w:tcW w:type="dxa" w:w="2353"/>
            <w:shd w:fill="EAF3F8"/>
            <w:vAlign w:val="center"/>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line="252" w:lineRule="auto"/>
              <w:jc w:val="center"/>
            </w:pPr>
            <w:r/>
            <w:r>
              <w:rPr>
                <w:rFonts w:ascii="Aptos" w:hAnsi="Aptos" w:eastAsia="Aptos"/>
                <w:b w:val="0"/>
                <w:color w:val="000000"/>
                <w:sz w:val="17"/>
              </w:rPr>
              <w:t>Système</w:t>
            </w:r>
          </w:p>
        </w:tc>
        <w:tc>
          <w:tcPr>
            <w:tcW w:type="dxa" w:w="963"/>
            <w:shd w:fill="EAF3F8"/>
            <w:vAlign w:val="center"/>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line="252" w:lineRule="auto"/>
              <w:jc w:val="center"/>
            </w:pPr>
            <w:r/>
            <w:r>
              <w:rPr>
                <w:rFonts w:ascii="Aptos" w:hAnsi="Aptos" w:eastAsia="Aptos"/>
                <w:b w:val="0"/>
                <w:color w:val="000000"/>
                <w:sz w:val="17"/>
              </w:rPr>
              <w:t>Haute</w:t>
            </w:r>
          </w:p>
        </w:tc>
      </w:tr>
      <w:tr>
        <w:trPr>
          <w:cantSplit/>
        </w:trPr>
        <w:tc>
          <w:tcPr>
            <w:tcW w:type="dxa" w:w="708"/>
            <w:shd w:fill="FFFFFF"/>
            <w:vAlign w:val="center"/>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line="252" w:lineRule="auto"/>
              <w:jc w:val="center"/>
            </w:pPr>
            <w:r/>
            <w:r>
              <w:rPr>
                <w:rFonts w:ascii="Aptos" w:hAnsi="Aptos" w:eastAsia="Aptos"/>
                <w:b w:val="0"/>
                <w:color w:val="000000"/>
                <w:sz w:val="17"/>
              </w:rPr>
              <w:t>BF-08</w:t>
            </w:r>
          </w:p>
        </w:tc>
        <w:tc>
          <w:tcPr>
            <w:tcW w:type="dxa" w:w="1842"/>
            <w:shd w:fill="FFFFFF"/>
            <w:vAlign w:val="center"/>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line="252" w:lineRule="auto"/>
              <w:jc w:val="left"/>
            </w:pPr>
            <w:r/>
            <w:r>
              <w:rPr>
                <w:rFonts w:ascii="Aptos" w:hAnsi="Aptos" w:eastAsia="Aptos"/>
                <w:b w:val="0"/>
                <w:color w:val="000000"/>
                <w:sz w:val="17"/>
              </w:rPr>
              <w:t>Annuler ou réaffecter</w:t>
            </w:r>
          </w:p>
        </w:tc>
        <w:tc>
          <w:tcPr>
            <w:tcW w:type="dxa" w:w="6889"/>
            <w:shd w:fill="FFFFFF"/>
            <w:vAlign w:val="center"/>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line="252" w:lineRule="auto"/>
              <w:jc w:val="left"/>
            </w:pPr>
            <w:r/>
            <w:r>
              <w:rPr>
                <w:rFonts w:ascii="Aptos" w:hAnsi="Aptos" w:eastAsia="Aptos"/>
                <w:b w:val="0"/>
                <w:color w:val="000000"/>
                <w:sz w:val="17"/>
              </w:rPr>
              <w:t>Permettre d'annuler une affectation ou de réaffecter la réclamation, avec motif et historique. Le destinataire concerné est informé sans que l'échec du courriel bloque l'opération.</w:t>
            </w:r>
          </w:p>
        </w:tc>
        <w:tc>
          <w:tcPr>
            <w:tcW w:type="dxa" w:w="2353"/>
            <w:shd w:fill="FFFFFF"/>
            <w:vAlign w:val="center"/>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line="252" w:lineRule="auto"/>
              <w:jc w:val="center"/>
            </w:pPr>
            <w:r/>
            <w:r>
              <w:rPr>
                <w:rFonts w:ascii="Aptos" w:hAnsi="Aptos" w:eastAsia="Aptos"/>
                <w:b w:val="0"/>
                <w:color w:val="000000"/>
                <w:sz w:val="17"/>
              </w:rPr>
              <w:t>Responsable</w:t>
            </w:r>
          </w:p>
        </w:tc>
        <w:tc>
          <w:tcPr>
            <w:tcW w:type="dxa" w:w="963"/>
            <w:shd w:fill="FFFFFF"/>
            <w:vAlign w:val="center"/>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line="252" w:lineRule="auto"/>
              <w:jc w:val="center"/>
            </w:pPr>
            <w:r/>
            <w:r>
              <w:rPr>
                <w:rFonts w:ascii="Aptos" w:hAnsi="Aptos" w:eastAsia="Aptos"/>
                <w:b w:val="0"/>
                <w:color w:val="000000"/>
                <w:sz w:val="17"/>
              </w:rPr>
              <w:t>Haute</w:t>
            </w:r>
          </w:p>
        </w:tc>
      </w:tr>
      <w:tr>
        <w:trPr>
          <w:cantSplit/>
        </w:trPr>
        <w:tc>
          <w:tcPr>
            <w:tcW w:type="dxa" w:w="708"/>
            <w:shd w:fill="EAF3F8"/>
            <w:vAlign w:val="center"/>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line="252" w:lineRule="auto"/>
              <w:jc w:val="center"/>
            </w:pPr>
            <w:r/>
            <w:r>
              <w:rPr>
                <w:rFonts w:ascii="Aptos" w:hAnsi="Aptos" w:eastAsia="Aptos"/>
                <w:b w:val="0"/>
                <w:color w:val="000000"/>
                <w:sz w:val="17"/>
              </w:rPr>
              <w:t>BF-09</w:t>
            </w:r>
          </w:p>
        </w:tc>
        <w:tc>
          <w:tcPr>
            <w:tcW w:type="dxa" w:w="1842"/>
            <w:shd w:fill="EAF3F8"/>
            <w:vAlign w:val="center"/>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line="252" w:lineRule="auto"/>
              <w:jc w:val="left"/>
            </w:pPr>
            <w:r/>
            <w:r>
              <w:rPr>
                <w:rFonts w:ascii="Aptos" w:hAnsi="Aptos" w:eastAsia="Aptos"/>
                <w:b w:val="0"/>
                <w:color w:val="000000"/>
                <w:sz w:val="17"/>
              </w:rPr>
              <w:t>Traiter et répondre</w:t>
            </w:r>
          </w:p>
        </w:tc>
        <w:tc>
          <w:tcPr>
            <w:tcW w:type="dxa" w:w="6889"/>
            <w:shd w:fill="EAF3F8"/>
            <w:vAlign w:val="center"/>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line="252" w:lineRule="auto"/>
              <w:jc w:val="left"/>
            </w:pPr>
            <w:r/>
            <w:r>
              <w:rPr>
                <w:rFonts w:ascii="Aptos" w:hAnsi="Aptos" w:eastAsia="Aptos"/>
                <w:b w:val="0"/>
                <w:color w:val="000000"/>
                <w:sz w:val="17"/>
              </w:rPr>
              <w:t>Permettre à la direction ou au service affecté de consulter le dossier, rédiger une réponse, joindre des documents et soumettre la réponse à l'étape prévue par le circuit de validation.</w:t>
            </w:r>
          </w:p>
        </w:tc>
        <w:tc>
          <w:tcPr>
            <w:tcW w:type="dxa" w:w="2353"/>
            <w:shd w:fill="EAF3F8"/>
            <w:vAlign w:val="center"/>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line="252" w:lineRule="auto"/>
              <w:jc w:val="center"/>
            </w:pPr>
            <w:r/>
            <w:r>
              <w:rPr>
                <w:rFonts w:ascii="Aptos" w:hAnsi="Aptos" w:eastAsia="Aptos"/>
                <w:b w:val="0"/>
                <w:color w:val="000000"/>
                <w:sz w:val="17"/>
              </w:rPr>
              <w:t>Agent, responsable</w:t>
            </w:r>
          </w:p>
        </w:tc>
        <w:tc>
          <w:tcPr>
            <w:tcW w:type="dxa" w:w="963"/>
            <w:shd w:fill="EAF3F8"/>
            <w:vAlign w:val="center"/>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line="252" w:lineRule="auto"/>
              <w:jc w:val="center"/>
            </w:pPr>
            <w:r/>
            <w:r>
              <w:rPr>
                <w:rFonts w:ascii="Aptos" w:hAnsi="Aptos" w:eastAsia="Aptos"/>
                <w:b w:val="0"/>
                <w:color w:val="000000"/>
                <w:sz w:val="17"/>
              </w:rPr>
              <w:t>Critique</w:t>
            </w:r>
          </w:p>
        </w:tc>
      </w:tr>
      <w:tr>
        <w:trPr>
          <w:cantSplit/>
        </w:trPr>
        <w:tc>
          <w:tcPr>
            <w:tcW w:type="dxa" w:w="708"/>
            <w:shd w:fill="FFFFFF"/>
            <w:vAlign w:val="center"/>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line="252" w:lineRule="auto"/>
              <w:jc w:val="center"/>
            </w:pPr>
            <w:r/>
            <w:r>
              <w:rPr>
                <w:rFonts w:ascii="Aptos" w:hAnsi="Aptos" w:eastAsia="Aptos"/>
                <w:b w:val="0"/>
                <w:color w:val="000000"/>
                <w:sz w:val="17"/>
              </w:rPr>
              <w:t>BF-10</w:t>
            </w:r>
          </w:p>
        </w:tc>
        <w:tc>
          <w:tcPr>
            <w:tcW w:type="dxa" w:w="1842"/>
            <w:shd w:fill="FFFFFF"/>
            <w:vAlign w:val="center"/>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line="252" w:lineRule="auto"/>
              <w:jc w:val="left"/>
            </w:pPr>
            <w:r/>
            <w:r>
              <w:rPr>
                <w:rFonts w:ascii="Aptos" w:hAnsi="Aptos" w:eastAsia="Aptos"/>
                <w:b w:val="0"/>
                <w:color w:val="000000"/>
                <w:sz w:val="17"/>
              </w:rPr>
              <w:t>Envoyer la réponse à l'usager</w:t>
            </w:r>
          </w:p>
        </w:tc>
        <w:tc>
          <w:tcPr>
            <w:tcW w:type="dxa" w:w="6889"/>
            <w:shd w:fill="FFFFFF"/>
            <w:vAlign w:val="center"/>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line="252" w:lineRule="auto"/>
              <w:jc w:val="left"/>
            </w:pPr>
            <w:r/>
            <w:r>
              <w:rPr>
                <w:rFonts w:ascii="Aptos" w:hAnsi="Aptos" w:eastAsia="Aptos"/>
                <w:b w:val="0"/>
                <w:color w:val="000000"/>
                <w:sz w:val="17"/>
              </w:rPr>
              <w:t>Permettre l'envoi de la réponse validée à l'adresse de l'usager et conserver une version textuelle sûre du message afin que les caractères spéciaux soient correctement affichés.</w:t>
            </w:r>
          </w:p>
        </w:tc>
        <w:tc>
          <w:tcPr>
            <w:tcW w:type="dxa" w:w="2353"/>
            <w:shd w:fill="FFFFFF"/>
            <w:vAlign w:val="center"/>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line="252" w:lineRule="auto"/>
              <w:jc w:val="center"/>
            </w:pPr>
            <w:r/>
            <w:r>
              <w:rPr>
                <w:rFonts w:ascii="Aptos" w:hAnsi="Aptos" w:eastAsia="Aptos"/>
                <w:b w:val="0"/>
                <w:color w:val="000000"/>
                <w:sz w:val="17"/>
              </w:rPr>
              <w:t>Accueil, système</w:t>
            </w:r>
          </w:p>
        </w:tc>
        <w:tc>
          <w:tcPr>
            <w:tcW w:type="dxa" w:w="963"/>
            <w:shd w:fill="FFFFFF"/>
            <w:vAlign w:val="center"/>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line="252" w:lineRule="auto"/>
              <w:jc w:val="center"/>
            </w:pPr>
            <w:r/>
            <w:r>
              <w:rPr>
                <w:rFonts w:ascii="Aptos" w:hAnsi="Aptos" w:eastAsia="Aptos"/>
                <w:b w:val="0"/>
                <w:color w:val="000000"/>
                <w:sz w:val="17"/>
              </w:rPr>
              <w:t>Critique</w:t>
            </w:r>
          </w:p>
        </w:tc>
      </w:tr>
      <w:tr>
        <w:trPr>
          <w:cantSplit/>
        </w:trPr>
        <w:tc>
          <w:tcPr>
            <w:tcW w:type="dxa" w:w="708"/>
            <w:shd w:fill="EAF3F8"/>
            <w:vAlign w:val="center"/>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line="252" w:lineRule="auto"/>
              <w:jc w:val="center"/>
            </w:pPr>
            <w:r/>
            <w:r>
              <w:rPr>
                <w:rFonts w:ascii="Aptos" w:hAnsi="Aptos" w:eastAsia="Aptos"/>
                <w:b w:val="0"/>
                <w:color w:val="000000"/>
                <w:sz w:val="17"/>
              </w:rPr>
              <w:t>BF-11</w:t>
            </w:r>
          </w:p>
        </w:tc>
        <w:tc>
          <w:tcPr>
            <w:tcW w:type="dxa" w:w="1842"/>
            <w:shd w:fill="EAF3F8"/>
            <w:vAlign w:val="center"/>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line="252" w:lineRule="auto"/>
              <w:jc w:val="left"/>
            </w:pPr>
            <w:r/>
            <w:r>
              <w:rPr>
                <w:rFonts w:ascii="Aptos" w:hAnsi="Aptos" w:eastAsia="Aptos"/>
                <w:b w:val="0"/>
                <w:color w:val="000000"/>
                <w:sz w:val="17"/>
              </w:rPr>
              <w:t>Gérer les statuts</w:t>
            </w:r>
          </w:p>
        </w:tc>
        <w:tc>
          <w:tcPr>
            <w:tcW w:type="dxa" w:w="6889"/>
            <w:shd w:fill="EAF3F8"/>
            <w:vAlign w:val="center"/>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line="252" w:lineRule="auto"/>
              <w:jc w:val="left"/>
            </w:pPr>
            <w:r/>
            <w:r>
              <w:rPr>
                <w:rFonts w:ascii="Aptos" w:hAnsi="Aptos" w:eastAsia="Aptos"/>
                <w:b w:val="0"/>
                <w:color w:val="000000"/>
                <w:sz w:val="17"/>
              </w:rPr>
              <w:t>Suivre le cycle de vie de la réclamation : reçue, affectée, réponse de la direction, réponse envoyée à l'usager, en retard et clôturée.</w:t>
            </w:r>
          </w:p>
        </w:tc>
        <w:tc>
          <w:tcPr>
            <w:tcW w:type="dxa" w:w="2353"/>
            <w:shd w:fill="EAF3F8"/>
            <w:vAlign w:val="center"/>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line="252" w:lineRule="auto"/>
              <w:jc w:val="center"/>
            </w:pPr>
            <w:r/>
            <w:r>
              <w:rPr>
                <w:rFonts w:ascii="Aptos" w:hAnsi="Aptos" w:eastAsia="Aptos"/>
                <w:b w:val="0"/>
                <w:color w:val="000000"/>
                <w:sz w:val="17"/>
              </w:rPr>
              <w:t>Système, utilisateurs habilités</w:t>
            </w:r>
          </w:p>
        </w:tc>
        <w:tc>
          <w:tcPr>
            <w:tcW w:type="dxa" w:w="963"/>
            <w:shd w:fill="EAF3F8"/>
            <w:vAlign w:val="center"/>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line="252" w:lineRule="auto"/>
              <w:jc w:val="center"/>
            </w:pPr>
            <w:r/>
            <w:r>
              <w:rPr>
                <w:rFonts w:ascii="Aptos" w:hAnsi="Aptos" w:eastAsia="Aptos"/>
                <w:b w:val="0"/>
                <w:color w:val="000000"/>
                <w:sz w:val="17"/>
              </w:rPr>
              <w:t>Critique</w:t>
            </w:r>
          </w:p>
        </w:tc>
      </w:tr>
      <w:tr>
        <w:trPr>
          <w:cantSplit/>
        </w:trPr>
        <w:tc>
          <w:tcPr>
            <w:tcW w:type="dxa" w:w="708"/>
            <w:shd w:fill="FFFFFF"/>
            <w:vAlign w:val="center"/>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line="252" w:lineRule="auto"/>
              <w:jc w:val="center"/>
            </w:pPr>
            <w:r/>
            <w:r>
              <w:rPr>
                <w:rFonts w:ascii="Aptos" w:hAnsi="Aptos" w:eastAsia="Aptos"/>
                <w:b w:val="0"/>
                <w:color w:val="000000"/>
                <w:sz w:val="17"/>
              </w:rPr>
              <w:t>BF-12</w:t>
            </w:r>
          </w:p>
        </w:tc>
        <w:tc>
          <w:tcPr>
            <w:tcW w:type="dxa" w:w="1842"/>
            <w:shd w:fill="FFFFFF"/>
            <w:vAlign w:val="center"/>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line="252" w:lineRule="auto"/>
              <w:jc w:val="left"/>
            </w:pPr>
            <w:r/>
            <w:r>
              <w:rPr>
                <w:rFonts w:ascii="Aptos" w:hAnsi="Aptos" w:eastAsia="Aptos"/>
                <w:b w:val="0"/>
                <w:color w:val="000000"/>
                <w:sz w:val="17"/>
              </w:rPr>
              <w:t>Surveiller les délais</w:t>
            </w:r>
          </w:p>
        </w:tc>
        <w:tc>
          <w:tcPr>
            <w:tcW w:type="dxa" w:w="6889"/>
            <w:shd w:fill="FFFFFF"/>
            <w:vAlign w:val="center"/>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line="252" w:lineRule="auto"/>
              <w:jc w:val="left"/>
            </w:pPr>
            <w:r/>
            <w:r>
              <w:rPr>
                <w:rFonts w:ascii="Aptos" w:hAnsi="Aptos" w:eastAsia="Aptos"/>
                <w:b w:val="0"/>
                <w:color w:val="000000"/>
                <w:sz w:val="17"/>
              </w:rPr>
              <w:t>Calculer automatiquement le temps écoulé depuis la réception et l'affectation. Signaler les dossiers dans les temps à 24 heures, à risque après 48 heures et en retard au-delà de 72 heures.</w:t>
            </w:r>
          </w:p>
        </w:tc>
        <w:tc>
          <w:tcPr>
            <w:tcW w:type="dxa" w:w="2353"/>
            <w:shd w:fill="FFFFFF"/>
            <w:vAlign w:val="center"/>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line="252" w:lineRule="auto"/>
              <w:jc w:val="center"/>
            </w:pPr>
            <w:r/>
            <w:r>
              <w:rPr>
                <w:rFonts w:ascii="Aptos" w:hAnsi="Aptos" w:eastAsia="Aptos"/>
                <w:b w:val="0"/>
                <w:color w:val="000000"/>
                <w:sz w:val="17"/>
              </w:rPr>
              <w:t>Système, CIQ</w:t>
            </w:r>
          </w:p>
        </w:tc>
        <w:tc>
          <w:tcPr>
            <w:tcW w:type="dxa" w:w="963"/>
            <w:shd w:fill="FFFFFF"/>
            <w:vAlign w:val="center"/>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line="252" w:lineRule="auto"/>
              <w:jc w:val="center"/>
            </w:pPr>
            <w:r/>
            <w:r>
              <w:rPr>
                <w:rFonts w:ascii="Aptos" w:hAnsi="Aptos" w:eastAsia="Aptos"/>
                <w:b w:val="0"/>
                <w:color w:val="000000"/>
                <w:sz w:val="17"/>
              </w:rPr>
              <w:t>Critique</w:t>
            </w:r>
          </w:p>
        </w:tc>
      </w:tr>
      <w:tr>
        <w:trPr>
          <w:cantSplit/>
        </w:trPr>
        <w:tc>
          <w:tcPr>
            <w:tcW w:type="dxa" w:w="708"/>
            <w:shd w:fill="EAF3F8"/>
            <w:vAlign w:val="center"/>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line="252" w:lineRule="auto"/>
              <w:jc w:val="center"/>
            </w:pPr>
            <w:r/>
            <w:r>
              <w:rPr>
                <w:rFonts w:ascii="Aptos" w:hAnsi="Aptos" w:eastAsia="Aptos"/>
                <w:b w:val="0"/>
                <w:color w:val="000000"/>
                <w:sz w:val="17"/>
              </w:rPr>
              <w:t>BF-13</w:t>
            </w:r>
          </w:p>
        </w:tc>
        <w:tc>
          <w:tcPr>
            <w:tcW w:type="dxa" w:w="1842"/>
            <w:shd w:fill="EAF3F8"/>
            <w:vAlign w:val="center"/>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line="252" w:lineRule="auto"/>
              <w:jc w:val="left"/>
            </w:pPr>
            <w:r/>
            <w:r>
              <w:rPr>
                <w:rFonts w:ascii="Aptos" w:hAnsi="Aptos" w:eastAsia="Aptos"/>
                <w:b w:val="0"/>
                <w:color w:val="000000"/>
                <w:sz w:val="17"/>
              </w:rPr>
              <w:t>Conserver l'historique</w:t>
            </w:r>
          </w:p>
        </w:tc>
        <w:tc>
          <w:tcPr>
            <w:tcW w:type="dxa" w:w="6889"/>
            <w:shd w:fill="EAF3F8"/>
            <w:vAlign w:val="center"/>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line="252" w:lineRule="auto"/>
              <w:jc w:val="left"/>
            </w:pPr>
            <w:r/>
            <w:r>
              <w:rPr>
                <w:rFonts w:ascii="Aptos" w:hAnsi="Aptos" w:eastAsia="Aptos"/>
                <w:b w:val="0"/>
                <w:color w:val="000000"/>
                <w:sz w:val="17"/>
              </w:rPr>
              <w:t>Conserver pour chaque réclamation les dates et heures de réception, d'affectation et de réponse, les intervenants, les changements de statut, les affectations et les actions réalisées.</w:t>
            </w:r>
          </w:p>
        </w:tc>
        <w:tc>
          <w:tcPr>
            <w:tcW w:type="dxa" w:w="2353"/>
            <w:shd w:fill="EAF3F8"/>
            <w:vAlign w:val="center"/>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line="252" w:lineRule="auto"/>
              <w:jc w:val="center"/>
            </w:pPr>
            <w:r/>
            <w:r>
              <w:rPr>
                <w:rFonts w:ascii="Aptos" w:hAnsi="Aptos" w:eastAsia="Aptos"/>
                <w:b w:val="0"/>
                <w:color w:val="000000"/>
                <w:sz w:val="17"/>
              </w:rPr>
              <w:t>Système, CIQ</w:t>
            </w:r>
          </w:p>
        </w:tc>
        <w:tc>
          <w:tcPr>
            <w:tcW w:type="dxa" w:w="963"/>
            <w:shd w:fill="EAF3F8"/>
            <w:vAlign w:val="center"/>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line="252" w:lineRule="auto"/>
              <w:jc w:val="center"/>
            </w:pPr>
            <w:r/>
            <w:r>
              <w:rPr>
                <w:rFonts w:ascii="Aptos" w:hAnsi="Aptos" w:eastAsia="Aptos"/>
                <w:b w:val="0"/>
                <w:color w:val="000000"/>
                <w:sz w:val="17"/>
              </w:rPr>
              <w:t>Critique</w:t>
            </w:r>
          </w:p>
        </w:tc>
      </w:tr>
      <w:tr>
        <w:trPr>
          <w:cantSplit/>
        </w:trPr>
        <w:tc>
          <w:tcPr>
            <w:tcW w:type="dxa" w:w="708"/>
            <w:shd w:fill="FFFFFF"/>
            <w:vAlign w:val="center"/>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line="252" w:lineRule="auto"/>
              <w:jc w:val="center"/>
            </w:pPr>
            <w:r/>
            <w:r>
              <w:rPr>
                <w:rFonts w:ascii="Aptos" w:hAnsi="Aptos" w:eastAsia="Aptos"/>
                <w:b w:val="0"/>
                <w:color w:val="000000"/>
                <w:sz w:val="17"/>
              </w:rPr>
              <w:t>BF-14</w:t>
            </w:r>
          </w:p>
        </w:tc>
        <w:tc>
          <w:tcPr>
            <w:tcW w:type="dxa" w:w="1842"/>
            <w:shd w:fill="FFFFFF"/>
            <w:vAlign w:val="center"/>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line="252" w:lineRule="auto"/>
              <w:jc w:val="left"/>
            </w:pPr>
            <w:r/>
            <w:r>
              <w:rPr>
                <w:rFonts w:ascii="Aptos" w:hAnsi="Aptos" w:eastAsia="Aptos"/>
                <w:b w:val="0"/>
                <w:color w:val="000000"/>
                <w:sz w:val="17"/>
              </w:rPr>
              <w:t>Piloter l'activité</w:t>
            </w:r>
          </w:p>
        </w:tc>
        <w:tc>
          <w:tcPr>
            <w:tcW w:type="dxa" w:w="6889"/>
            <w:shd w:fill="FFFFFF"/>
            <w:vAlign w:val="center"/>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line="252" w:lineRule="auto"/>
              <w:jc w:val="left"/>
            </w:pPr>
            <w:r/>
            <w:r>
              <w:rPr>
                <w:rFonts w:ascii="Aptos" w:hAnsi="Aptos" w:eastAsia="Aptos"/>
                <w:b w:val="0"/>
                <w:color w:val="000000"/>
                <w:sz w:val="17"/>
              </w:rPr>
              <w:t>Afficher un tableau de bord avec le volume reçu, le volume traité, les retards, le taux de traitement dans les délais et le délai moyen de traitement, globalement et par direction ou service.</w:t>
            </w:r>
          </w:p>
        </w:tc>
        <w:tc>
          <w:tcPr>
            <w:tcW w:type="dxa" w:w="2353"/>
            <w:shd w:fill="FFFFFF"/>
            <w:vAlign w:val="center"/>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line="252" w:lineRule="auto"/>
              <w:jc w:val="center"/>
            </w:pPr>
            <w:r/>
            <w:r>
              <w:rPr>
                <w:rFonts w:ascii="Aptos" w:hAnsi="Aptos" w:eastAsia="Aptos"/>
                <w:b w:val="0"/>
                <w:color w:val="000000"/>
                <w:sz w:val="17"/>
              </w:rPr>
              <w:t>CIQ, direction générale</w:t>
            </w:r>
          </w:p>
        </w:tc>
        <w:tc>
          <w:tcPr>
            <w:tcW w:type="dxa" w:w="963"/>
            <w:shd w:fill="FFFFFF"/>
            <w:vAlign w:val="center"/>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line="252" w:lineRule="auto"/>
              <w:jc w:val="center"/>
            </w:pPr>
            <w:r/>
            <w:r>
              <w:rPr>
                <w:rFonts w:ascii="Aptos" w:hAnsi="Aptos" w:eastAsia="Aptos"/>
                <w:b w:val="0"/>
                <w:color w:val="000000"/>
                <w:sz w:val="17"/>
              </w:rPr>
              <w:t>Haute</w:t>
            </w:r>
          </w:p>
        </w:tc>
      </w:tr>
      <w:tr>
        <w:trPr>
          <w:cantSplit/>
        </w:trPr>
        <w:tc>
          <w:tcPr>
            <w:tcW w:type="dxa" w:w="708"/>
            <w:shd w:fill="EAF3F8"/>
            <w:vAlign w:val="center"/>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line="252" w:lineRule="auto"/>
              <w:jc w:val="center"/>
            </w:pPr>
            <w:r/>
            <w:r>
              <w:rPr>
                <w:rFonts w:ascii="Aptos" w:hAnsi="Aptos" w:eastAsia="Aptos"/>
                <w:b w:val="0"/>
                <w:color w:val="000000"/>
                <w:sz w:val="17"/>
              </w:rPr>
              <w:t>BF-15</w:t>
            </w:r>
          </w:p>
        </w:tc>
        <w:tc>
          <w:tcPr>
            <w:tcW w:type="dxa" w:w="1842"/>
            <w:shd w:fill="EAF3F8"/>
            <w:vAlign w:val="center"/>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line="252" w:lineRule="auto"/>
              <w:jc w:val="left"/>
            </w:pPr>
            <w:r/>
            <w:r>
              <w:rPr>
                <w:rFonts w:ascii="Aptos" w:hAnsi="Aptos" w:eastAsia="Aptos"/>
                <w:b w:val="0"/>
                <w:color w:val="000000"/>
                <w:sz w:val="17"/>
              </w:rPr>
              <w:t>Filtrer et exporter</w:t>
            </w:r>
          </w:p>
        </w:tc>
        <w:tc>
          <w:tcPr>
            <w:tcW w:type="dxa" w:w="6889"/>
            <w:shd w:fill="EAF3F8"/>
            <w:vAlign w:val="center"/>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line="252" w:lineRule="auto"/>
              <w:jc w:val="left"/>
            </w:pPr>
            <w:r/>
            <w:r>
              <w:rPr>
                <w:rFonts w:ascii="Aptos" w:hAnsi="Aptos" w:eastAsia="Aptos"/>
                <w:b w:val="0"/>
                <w:color w:val="000000"/>
                <w:sz w:val="17"/>
              </w:rPr>
              <w:t>Permettre de filtrer les indicateurs par période, catégorie, statut et direction, puis d'exporter les résultats et graphiques dans les formats de reporting retenus par l'organisation.</w:t>
            </w:r>
          </w:p>
        </w:tc>
        <w:tc>
          <w:tcPr>
            <w:tcW w:type="dxa" w:w="2353"/>
            <w:shd w:fill="EAF3F8"/>
            <w:vAlign w:val="center"/>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line="252" w:lineRule="auto"/>
              <w:jc w:val="center"/>
            </w:pPr>
            <w:r/>
            <w:r>
              <w:rPr>
                <w:rFonts w:ascii="Aptos" w:hAnsi="Aptos" w:eastAsia="Aptos"/>
                <w:b w:val="0"/>
                <w:color w:val="000000"/>
                <w:sz w:val="17"/>
              </w:rPr>
              <w:t>CIQ, direction générale</w:t>
            </w:r>
          </w:p>
        </w:tc>
        <w:tc>
          <w:tcPr>
            <w:tcW w:type="dxa" w:w="963"/>
            <w:shd w:fill="EAF3F8"/>
            <w:vAlign w:val="center"/>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line="252" w:lineRule="auto"/>
              <w:jc w:val="center"/>
            </w:pPr>
            <w:r/>
            <w:r>
              <w:rPr>
                <w:rFonts w:ascii="Aptos" w:hAnsi="Aptos" w:eastAsia="Aptos"/>
                <w:b w:val="0"/>
                <w:color w:val="000000"/>
                <w:sz w:val="17"/>
              </w:rPr>
              <w:t>Haute</w:t>
            </w:r>
          </w:p>
        </w:tc>
      </w:tr>
      <w:tr>
        <w:trPr>
          <w:cantSplit/>
        </w:trPr>
        <w:tc>
          <w:tcPr>
            <w:tcW w:type="dxa" w:w="708"/>
            <w:shd w:fill="FFFFFF"/>
            <w:vAlign w:val="center"/>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line="252" w:lineRule="auto"/>
              <w:jc w:val="center"/>
            </w:pPr>
            <w:r/>
            <w:r>
              <w:rPr>
                <w:rFonts w:ascii="Aptos" w:hAnsi="Aptos" w:eastAsia="Aptos"/>
                <w:b w:val="0"/>
                <w:color w:val="000000"/>
                <w:sz w:val="17"/>
              </w:rPr>
              <w:t>BF-16</w:t>
            </w:r>
          </w:p>
        </w:tc>
        <w:tc>
          <w:tcPr>
            <w:tcW w:type="dxa" w:w="1842"/>
            <w:shd w:fill="FFFFFF"/>
            <w:vAlign w:val="center"/>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line="252" w:lineRule="auto"/>
              <w:jc w:val="left"/>
            </w:pPr>
            <w:r/>
            <w:r>
              <w:rPr>
                <w:rFonts w:ascii="Aptos" w:hAnsi="Aptos" w:eastAsia="Aptos"/>
                <w:b w:val="0"/>
                <w:color w:val="000000"/>
                <w:sz w:val="17"/>
              </w:rPr>
              <w:t>Administrer les accès</w:t>
            </w:r>
          </w:p>
        </w:tc>
        <w:tc>
          <w:tcPr>
            <w:tcW w:type="dxa" w:w="6889"/>
            <w:shd w:fill="FFFFFF"/>
            <w:vAlign w:val="center"/>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line="252" w:lineRule="auto"/>
              <w:jc w:val="left"/>
            </w:pPr>
            <w:r/>
            <w:r>
              <w:rPr>
                <w:rFonts w:ascii="Aptos" w:hAnsi="Aptos" w:eastAsia="Aptos"/>
                <w:b w:val="0"/>
                <w:color w:val="000000"/>
                <w:sz w:val="17"/>
              </w:rPr>
              <w:t>Permettre la gestion des comptes et des rôles : administrateur, accueil, responsable de direction ou service, agent, contrôle interne et qualité, direction générale et consultation seule.</w:t>
            </w:r>
          </w:p>
        </w:tc>
        <w:tc>
          <w:tcPr>
            <w:tcW w:type="dxa" w:w="2353"/>
            <w:shd w:fill="FFFFFF"/>
            <w:vAlign w:val="center"/>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line="252" w:lineRule="auto"/>
              <w:jc w:val="center"/>
            </w:pPr>
            <w:r/>
            <w:r>
              <w:rPr>
                <w:rFonts w:ascii="Aptos" w:hAnsi="Aptos" w:eastAsia="Aptos"/>
                <w:b w:val="0"/>
                <w:color w:val="000000"/>
                <w:sz w:val="17"/>
              </w:rPr>
              <w:t>Administrateur</w:t>
            </w:r>
          </w:p>
        </w:tc>
        <w:tc>
          <w:tcPr>
            <w:tcW w:type="dxa" w:w="963"/>
            <w:shd w:fill="FFFFFF"/>
            <w:vAlign w:val="center"/>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line="252" w:lineRule="auto"/>
              <w:jc w:val="center"/>
            </w:pPr>
            <w:r/>
            <w:r>
              <w:rPr>
                <w:rFonts w:ascii="Aptos" w:hAnsi="Aptos" w:eastAsia="Aptos"/>
                <w:b w:val="0"/>
                <w:color w:val="000000"/>
                <w:sz w:val="17"/>
              </w:rPr>
              <w:t>Critique</w:t>
            </w:r>
          </w:p>
        </w:tc>
      </w:tr>
    </w:tbl>
    <w:p>
      <w:pPr>
        <w:spacing w:before="280" w:after="120"/>
      </w:pPr>
      <w:r>
        <w:rPr>
          <w:rFonts w:ascii="Aptos" w:hAnsi="Aptos" w:eastAsia="Aptos"/>
          <w:b/>
          <w:color w:val="000000"/>
          <w:sz w:val="28"/>
        </w:rPr>
        <w:t>Besoins non fonctionnels</w:t>
      </w:r>
    </w:p>
    <w:p>
      <w:pPr>
        <w:spacing w:after="120" w:line="269" w:lineRule="auto"/>
        <w:keepNext/>
      </w:pPr>
      <w:r>
        <w:rPr>
          <w:rFonts w:ascii="Aptos" w:hAnsi="Aptos" w:eastAsia="Aptos"/>
          <w:b w:val="0"/>
          <w:i w:val="0"/>
          <w:color w:val="555555"/>
          <w:sz w:val="21"/>
        </w:rPr>
        <w:t>Les besoins non fonctionnels précisent les qualités attendues de l'application afin que la gestion des réclamations soit fiable, sécurisée et utilisable au quotidien.</w:t>
      </w:r>
    </w:p>
    <w:tbl>
      <w:tblPr>
        <w:tblW w:type="auto" w:w="0"/>
        <w:jc w:val="center"/>
        <w:tblLayout w:type="fixed"/>
        <w:tblLook w:firstColumn="1" w:firstRow="1" w:lastColumn="0" w:lastRow="0" w:noHBand="0" w:noVBand="1" w:val="04A0"/>
      </w:tblPr>
      <w:tblGrid>
        <w:gridCol w:w="3549"/>
        <w:gridCol w:w="3549"/>
        <w:gridCol w:w="3549"/>
        <w:gridCol w:w="3549"/>
      </w:tblGrid>
      <w:tr>
        <w:trPr>
          <w:tblHeader w:val="true"/>
        </w:trPr>
        <w:tc>
          <w:tcPr>
            <w:tcW w:type="dxa" w:w="737"/>
            <w:shd w:fill="1F4E79"/>
            <w:vAlign w:val="center"/>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line="252" w:lineRule="auto"/>
              <w:jc w:val="center"/>
            </w:pPr>
            <w:r/>
            <w:r>
              <w:rPr>
                <w:rFonts w:ascii="Aptos" w:hAnsi="Aptos" w:eastAsia="Aptos"/>
                <w:b/>
                <w:color w:val="FFFFFF"/>
                <w:sz w:val="17"/>
              </w:rPr>
              <w:t>ID</w:t>
            </w:r>
          </w:p>
        </w:tc>
        <w:tc>
          <w:tcPr>
            <w:tcW w:type="dxa" w:w="2268"/>
            <w:shd w:fill="1F4E79"/>
            <w:vAlign w:val="center"/>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line="252" w:lineRule="auto"/>
              <w:jc w:val="center"/>
            </w:pPr>
            <w:r/>
            <w:r>
              <w:rPr>
                <w:rFonts w:ascii="Aptos" w:hAnsi="Aptos" w:eastAsia="Aptos"/>
                <w:b/>
                <w:color w:val="FFFFFF"/>
                <w:sz w:val="17"/>
              </w:rPr>
              <w:t>Exigence</w:t>
            </w:r>
          </w:p>
        </w:tc>
        <w:tc>
          <w:tcPr>
            <w:tcW w:type="dxa" w:w="8278"/>
            <w:shd w:fill="1F4E79"/>
            <w:vAlign w:val="center"/>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line="252" w:lineRule="auto"/>
              <w:jc w:val="center"/>
            </w:pPr>
            <w:r/>
            <w:r>
              <w:rPr>
                <w:rFonts w:ascii="Aptos" w:hAnsi="Aptos" w:eastAsia="Aptos"/>
                <w:b/>
                <w:color w:val="FFFFFF"/>
                <w:sz w:val="17"/>
              </w:rPr>
              <w:t>Critère attendu</w:t>
            </w:r>
          </w:p>
        </w:tc>
        <w:tc>
          <w:tcPr>
            <w:tcW w:type="dxa" w:w="1474"/>
            <w:shd w:fill="1F4E79"/>
            <w:vAlign w:val="center"/>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line="252" w:lineRule="auto"/>
              <w:jc w:val="center"/>
            </w:pPr>
            <w:r/>
            <w:r>
              <w:rPr>
                <w:rFonts w:ascii="Aptos" w:hAnsi="Aptos" w:eastAsia="Aptos"/>
                <w:b/>
                <w:color w:val="FFFFFF"/>
                <w:sz w:val="17"/>
              </w:rPr>
              <w:t>Priorité</w:t>
            </w:r>
          </w:p>
        </w:tc>
      </w:tr>
      <w:tr>
        <w:trPr>
          <w:cantSplit/>
        </w:trPr>
        <w:tc>
          <w:tcPr>
            <w:tcW w:type="dxa" w:w="737"/>
            <w:shd w:fill="EAF3F8"/>
            <w:vAlign w:val="center"/>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line="252" w:lineRule="auto"/>
              <w:jc w:val="center"/>
            </w:pPr>
            <w:r/>
            <w:r>
              <w:rPr>
                <w:rFonts w:ascii="Aptos" w:hAnsi="Aptos" w:eastAsia="Aptos"/>
                <w:b w:val="0"/>
                <w:color w:val="000000"/>
                <w:sz w:val="17"/>
              </w:rPr>
              <w:t>BNF-01</w:t>
            </w:r>
          </w:p>
        </w:tc>
        <w:tc>
          <w:tcPr>
            <w:tcW w:type="dxa" w:w="2268"/>
            <w:shd w:fill="EAF3F8"/>
            <w:vAlign w:val="center"/>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line="252" w:lineRule="auto"/>
              <w:jc w:val="left"/>
            </w:pPr>
            <w:r/>
            <w:r>
              <w:rPr>
                <w:rFonts w:ascii="Aptos" w:hAnsi="Aptos" w:eastAsia="Aptos"/>
                <w:b w:val="0"/>
                <w:color w:val="000000"/>
                <w:sz w:val="17"/>
              </w:rPr>
              <w:t>Sécurité des accès</w:t>
            </w:r>
          </w:p>
        </w:tc>
        <w:tc>
          <w:tcPr>
            <w:tcW w:type="dxa" w:w="8278"/>
            <w:shd w:fill="EAF3F8"/>
            <w:vAlign w:val="center"/>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line="252" w:lineRule="auto"/>
              <w:jc w:val="left"/>
            </w:pPr>
            <w:r/>
            <w:r>
              <w:rPr>
                <w:rFonts w:ascii="Aptos" w:hAnsi="Aptos" w:eastAsia="Aptos"/>
                <w:b w:val="0"/>
                <w:color w:val="000000"/>
                <w:sz w:val="17"/>
              </w:rPr>
              <w:t>L'accès aux espaces internes doit être protégé par une authentification. Les droits doivent dépendre du rôle et appliquer le principe du moindre privilège.</w:t>
            </w:r>
          </w:p>
        </w:tc>
        <w:tc>
          <w:tcPr>
            <w:tcW w:type="dxa" w:w="1474"/>
            <w:shd w:fill="EAF3F8"/>
            <w:vAlign w:val="center"/>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line="252" w:lineRule="auto"/>
              <w:jc w:val="center"/>
            </w:pPr>
            <w:r/>
            <w:r>
              <w:rPr>
                <w:rFonts w:ascii="Aptos" w:hAnsi="Aptos" w:eastAsia="Aptos"/>
                <w:b w:val="0"/>
                <w:color w:val="000000"/>
                <w:sz w:val="17"/>
              </w:rPr>
              <w:t>Critique</w:t>
            </w:r>
          </w:p>
        </w:tc>
      </w:tr>
      <w:tr>
        <w:trPr>
          <w:cantSplit/>
        </w:trPr>
        <w:tc>
          <w:tcPr>
            <w:tcW w:type="dxa" w:w="737"/>
            <w:shd w:fill="FFFFFF"/>
            <w:vAlign w:val="center"/>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line="252" w:lineRule="auto"/>
              <w:jc w:val="center"/>
            </w:pPr>
            <w:r/>
            <w:r>
              <w:rPr>
                <w:rFonts w:ascii="Aptos" w:hAnsi="Aptos" w:eastAsia="Aptos"/>
                <w:b w:val="0"/>
                <w:color w:val="000000"/>
                <w:sz w:val="17"/>
              </w:rPr>
              <w:t>BNF-02</w:t>
            </w:r>
          </w:p>
        </w:tc>
        <w:tc>
          <w:tcPr>
            <w:tcW w:type="dxa" w:w="2268"/>
            <w:shd w:fill="FFFFFF"/>
            <w:vAlign w:val="center"/>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line="252" w:lineRule="auto"/>
              <w:jc w:val="left"/>
            </w:pPr>
            <w:r/>
            <w:r>
              <w:rPr>
                <w:rFonts w:ascii="Aptos" w:hAnsi="Aptos" w:eastAsia="Aptos"/>
                <w:b w:val="0"/>
                <w:color w:val="000000"/>
                <w:sz w:val="17"/>
              </w:rPr>
              <w:t>Gestion des sessions</w:t>
            </w:r>
          </w:p>
        </w:tc>
        <w:tc>
          <w:tcPr>
            <w:tcW w:type="dxa" w:w="8278"/>
            <w:shd w:fill="FFFFFF"/>
            <w:vAlign w:val="center"/>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line="252" w:lineRule="auto"/>
              <w:jc w:val="left"/>
            </w:pPr>
            <w:r/>
            <w:r>
              <w:rPr>
                <w:rFonts w:ascii="Aptos" w:hAnsi="Aptos" w:eastAsia="Aptos"/>
                <w:b w:val="0"/>
                <w:color w:val="000000"/>
                <w:sz w:val="17"/>
              </w:rPr>
              <w:t>Les sessions doivent être protégées contre les usages abusifs, renouvelées lors de l'authentification et expirées après une période d'inactivité définie. Les actions sensibles doivent rester protégées par un jeton CSRF.</w:t>
            </w:r>
          </w:p>
        </w:tc>
        <w:tc>
          <w:tcPr>
            <w:tcW w:type="dxa" w:w="1474"/>
            <w:shd w:fill="FFFFFF"/>
            <w:vAlign w:val="center"/>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line="252" w:lineRule="auto"/>
              <w:jc w:val="center"/>
            </w:pPr>
            <w:r/>
            <w:r>
              <w:rPr>
                <w:rFonts w:ascii="Aptos" w:hAnsi="Aptos" w:eastAsia="Aptos"/>
                <w:b w:val="0"/>
                <w:color w:val="000000"/>
                <w:sz w:val="17"/>
              </w:rPr>
              <w:t>Critique</w:t>
            </w:r>
          </w:p>
        </w:tc>
      </w:tr>
      <w:tr>
        <w:trPr>
          <w:cantSplit/>
        </w:trPr>
        <w:tc>
          <w:tcPr>
            <w:tcW w:type="dxa" w:w="737"/>
            <w:shd w:fill="EAF3F8"/>
            <w:vAlign w:val="center"/>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line="252" w:lineRule="auto"/>
              <w:jc w:val="center"/>
            </w:pPr>
            <w:r/>
            <w:r>
              <w:rPr>
                <w:rFonts w:ascii="Aptos" w:hAnsi="Aptos" w:eastAsia="Aptos"/>
                <w:b w:val="0"/>
                <w:color w:val="000000"/>
                <w:sz w:val="17"/>
              </w:rPr>
              <w:t>BNF-03</w:t>
            </w:r>
          </w:p>
        </w:tc>
        <w:tc>
          <w:tcPr>
            <w:tcW w:type="dxa" w:w="2268"/>
            <w:shd w:fill="EAF3F8"/>
            <w:vAlign w:val="center"/>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line="252" w:lineRule="auto"/>
              <w:jc w:val="left"/>
            </w:pPr>
            <w:r/>
            <w:r>
              <w:rPr>
                <w:rFonts w:ascii="Aptos" w:hAnsi="Aptos" w:eastAsia="Aptos"/>
                <w:b w:val="0"/>
                <w:color w:val="000000"/>
                <w:sz w:val="17"/>
              </w:rPr>
              <w:t>Confidentialité</w:t>
            </w:r>
          </w:p>
        </w:tc>
        <w:tc>
          <w:tcPr>
            <w:tcW w:type="dxa" w:w="8278"/>
            <w:shd w:fill="EAF3F8"/>
            <w:vAlign w:val="center"/>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line="252" w:lineRule="auto"/>
              <w:jc w:val="left"/>
            </w:pPr>
            <w:r/>
            <w:r>
              <w:rPr>
                <w:rFonts w:ascii="Aptos" w:hAnsi="Aptos" w:eastAsia="Aptos"/>
                <w:b w:val="0"/>
                <w:color w:val="000000"/>
                <w:sz w:val="17"/>
              </w:rPr>
              <w:t>Les données des usagers, les réponses et les pièces jointes ne doivent être visibles que par les utilisateurs autorisés. Les fichiers ne doivent pas être exposés publiquement.</w:t>
            </w:r>
          </w:p>
        </w:tc>
        <w:tc>
          <w:tcPr>
            <w:tcW w:type="dxa" w:w="1474"/>
            <w:shd w:fill="EAF3F8"/>
            <w:vAlign w:val="center"/>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line="252" w:lineRule="auto"/>
              <w:jc w:val="center"/>
            </w:pPr>
            <w:r/>
            <w:r>
              <w:rPr>
                <w:rFonts w:ascii="Aptos" w:hAnsi="Aptos" w:eastAsia="Aptos"/>
                <w:b w:val="0"/>
                <w:color w:val="000000"/>
                <w:sz w:val="17"/>
              </w:rPr>
              <w:t>Critique</w:t>
            </w:r>
          </w:p>
        </w:tc>
      </w:tr>
      <w:tr>
        <w:trPr>
          <w:cantSplit/>
        </w:trPr>
        <w:tc>
          <w:tcPr>
            <w:tcW w:type="dxa" w:w="737"/>
            <w:shd w:fill="FFFFFF"/>
            <w:vAlign w:val="center"/>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line="252" w:lineRule="auto"/>
              <w:jc w:val="center"/>
            </w:pPr>
            <w:r/>
            <w:r>
              <w:rPr>
                <w:rFonts w:ascii="Aptos" w:hAnsi="Aptos" w:eastAsia="Aptos"/>
                <w:b w:val="0"/>
                <w:color w:val="000000"/>
                <w:sz w:val="17"/>
              </w:rPr>
              <w:t>BNF-04</w:t>
            </w:r>
          </w:p>
        </w:tc>
        <w:tc>
          <w:tcPr>
            <w:tcW w:type="dxa" w:w="2268"/>
            <w:shd w:fill="FFFFFF"/>
            <w:vAlign w:val="center"/>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line="252" w:lineRule="auto"/>
              <w:jc w:val="left"/>
            </w:pPr>
            <w:r/>
            <w:r>
              <w:rPr>
                <w:rFonts w:ascii="Aptos" w:hAnsi="Aptos" w:eastAsia="Aptos"/>
                <w:b w:val="0"/>
                <w:color w:val="000000"/>
                <w:sz w:val="17"/>
              </w:rPr>
              <w:t>Intégrité des données</w:t>
            </w:r>
          </w:p>
        </w:tc>
        <w:tc>
          <w:tcPr>
            <w:tcW w:type="dxa" w:w="8278"/>
            <w:shd w:fill="FFFFFF"/>
            <w:vAlign w:val="center"/>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line="252" w:lineRule="auto"/>
              <w:jc w:val="left"/>
            </w:pPr>
            <w:r/>
            <w:r>
              <w:rPr>
                <w:rFonts w:ascii="Aptos" w:hAnsi="Aptos" w:eastAsia="Aptos"/>
                <w:b w:val="0"/>
                <w:color w:val="000000"/>
                <w:sz w:val="17"/>
              </w:rPr>
              <w:t>Les données saisies doivent être validées côté serveur. Les numéros de suivi doivent être uniques et les liens entre réclamations, affectations, réponses et utilisateurs doivent rester cohérents.</w:t>
            </w:r>
          </w:p>
        </w:tc>
        <w:tc>
          <w:tcPr>
            <w:tcW w:type="dxa" w:w="1474"/>
            <w:shd w:fill="FFFFFF"/>
            <w:vAlign w:val="center"/>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line="252" w:lineRule="auto"/>
              <w:jc w:val="center"/>
            </w:pPr>
            <w:r/>
            <w:r>
              <w:rPr>
                <w:rFonts w:ascii="Aptos" w:hAnsi="Aptos" w:eastAsia="Aptos"/>
                <w:b w:val="0"/>
                <w:color w:val="000000"/>
                <w:sz w:val="17"/>
              </w:rPr>
              <w:t>Critique</w:t>
            </w:r>
          </w:p>
        </w:tc>
      </w:tr>
      <w:tr>
        <w:trPr>
          <w:cantSplit/>
        </w:trPr>
        <w:tc>
          <w:tcPr>
            <w:tcW w:type="dxa" w:w="737"/>
            <w:shd w:fill="EAF3F8"/>
            <w:vAlign w:val="center"/>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line="252" w:lineRule="auto"/>
              <w:jc w:val="center"/>
            </w:pPr>
            <w:r/>
            <w:r>
              <w:rPr>
                <w:rFonts w:ascii="Aptos" w:hAnsi="Aptos" w:eastAsia="Aptos"/>
                <w:b w:val="0"/>
                <w:color w:val="000000"/>
                <w:sz w:val="17"/>
              </w:rPr>
              <w:t>BNF-05</w:t>
            </w:r>
          </w:p>
        </w:tc>
        <w:tc>
          <w:tcPr>
            <w:tcW w:type="dxa" w:w="2268"/>
            <w:shd w:fill="EAF3F8"/>
            <w:vAlign w:val="center"/>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line="252" w:lineRule="auto"/>
              <w:jc w:val="left"/>
            </w:pPr>
            <w:r/>
            <w:r>
              <w:rPr>
                <w:rFonts w:ascii="Aptos" w:hAnsi="Aptos" w:eastAsia="Aptos"/>
                <w:b w:val="0"/>
                <w:color w:val="000000"/>
                <w:sz w:val="17"/>
              </w:rPr>
              <w:t>Traçabilité et audit</w:t>
            </w:r>
          </w:p>
        </w:tc>
        <w:tc>
          <w:tcPr>
            <w:tcW w:type="dxa" w:w="8278"/>
            <w:shd w:fill="EAF3F8"/>
            <w:vAlign w:val="center"/>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line="252" w:lineRule="auto"/>
              <w:jc w:val="left"/>
            </w:pPr>
            <w:r/>
            <w:r>
              <w:rPr>
                <w:rFonts w:ascii="Aptos" w:hAnsi="Aptos" w:eastAsia="Aptos"/>
                <w:b w:val="0"/>
                <w:color w:val="000000"/>
                <w:sz w:val="17"/>
              </w:rPr>
              <w:t>Les opérations importantes doivent être historisées avec leur date, leur auteur, leur contexte et leur résultat pour permettre les contrôles et analyses ultérieurs.</w:t>
            </w:r>
          </w:p>
        </w:tc>
        <w:tc>
          <w:tcPr>
            <w:tcW w:type="dxa" w:w="1474"/>
            <w:shd w:fill="EAF3F8"/>
            <w:vAlign w:val="center"/>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line="252" w:lineRule="auto"/>
              <w:jc w:val="center"/>
            </w:pPr>
            <w:r/>
            <w:r>
              <w:rPr>
                <w:rFonts w:ascii="Aptos" w:hAnsi="Aptos" w:eastAsia="Aptos"/>
                <w:b w:val="0"/>
                <w:color w:val="000000"/>
                <w:sz w:val="17"/>
              </w:rPr>
              <w:t>Critique</w:t>
            </w:r>
          </w:p>
        </w:tc>
      </w:tr>
      <w:tr>
        <w:trPr>
          <w:cantSplit/>
        </w:trPr>
        <w:tc>
          <w:tcPr>
            <w:tcW w:type="dxa" w:w="737"/>
            <w:shd w:fill="FFFFFF"/>
            <w:vAlign w:val="center"/>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line="252" w:lineRule="auto"/>
              <w:jc w:val="center"/>
            </w:pPr>
            <w:r/>
            <w:r>
              <w:rPr>
                <w:rFonts w:ascii="Aptos" w:hAnsi="Aptos" w:eastAsia="Aptos"/>
                <w:b w:val="0"/>
                <w:color w:val="000000"/>
                <w:sz w:val="17"/>
              </w:rPr>
              <w:t>BNF-06</w:t>
            </w:r>
          </w:p>
        </w:tc>
        <w:tc>
          <w:tcPr>
            <w:tcW w:type="dxa" w:w="2268"/>
            <w:shd w:fill="FFFFFF"/>
            <w:vAlign w:val="center"/>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line="252" w:lineRule="auto"/>
              <w:jc w:val="left"/>
            </w:pPr>
            <w:r/>
            <w:r>
              <w:rPr>
                <w:rFonts w:ascii="Aptos" w:hAnsi="Aptos" w:eastAsia="Aptos"/>
                <w:b w:val="0"/>
                <w:color w:val="000000"/>
                <w:sz w:val="17"/>
              </w:rPr>
              <w:t>Résilience des notifications</w:t>
            </w:r>
          </w:p>
        </w:tc>
        <w:tc>
          <w:tcPr>
            <w:tcW w:type="dxa" w:w="8278"/>
            <w:shd w:fill="FFFFFF"/>
            <w:vAlign w:val="center"/>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line="252" w:lineRule="auto"/>
              <w:jc w:val="left"/>
            </w:pPr>
            <w:r/>
            <w:r>
              <w:rPr>
                <w:rFonts w:ascii="Aptos" w:hAnsi="Aptos" w:eastAsia="Aptos"/>
                <w:b w:val="0"/>
                <w:color w:val="000000"/>
                <w:sz w:val="17"/>
              </w:rPr>
              <w:t>Une indisponibilité du service de messagerie ne doit jamais empêcher la création, l'affectation, l'annulation ou le traitement d'une réclamation. L'incident doit être journalisé et rendu détectable.</w:t>
            </w:r>
          </w:p>
        </w:tc>
        <w:tc>
          <w:tcPr>
            <w:tcW w:type="dxa" w:w="1474"/>
            <w:shd w:fill="FFFFFF"/>
            <w:vAlign w:val="center"/>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line="252" w:lineRule="auto"/>
              <w:jc w:val="center"/>
            </w:pPr>
            <w:r/>
            <w:r>
              <w:rPr>
                <w:rFonts w:ascii="Aptos" w:hAnsi="Aptos" w:eastAsia="Aptos"/>
                <w:b w:val="0"/>
                <w:color w:val="000000"/>
                <w:sz w:val="17"/>
              </w:rPr>
              <w:t>Critique</w:t>
            </w:r>
          </w:p>
        </w:tc>
      </w:tr>
      <w:tr>
        <w:trPr>
          <w:cantSplit/>
        </w:trPr>
        <w:tc>
          <w:tcPr>
            <w:tcW w:type="dxa" w:w="737"/>
            <w:shd w:fill="EAF3F8"/>
            <w:vAlign w:val="center"/>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line="252" w:lineRule="auto"/>
              <w:jc w:val="center"/>
            </w:pPr>
            <w:r/>
            <w:r>
              <w:rPr>
                <w:rFonts w:ascii="Aptos" w:hAnsi="Aptos" w:eastAsia="Aptos"/>
                <w:b w:val="0"/>
                <w:color w:val="000000"/>
                <w:sz w:val="17"/>
              </w:rPr>
              <w:t>BNF-07</w:t>
            </w:r>
          </w:p>
        </w:tc>
        <w:tc>
          <w:tcPr>
            <w:tcW w:type="dxa" w:w="2268"/>
            <w:shd w:fill="EAF3F8"/>
            <w:vAlign w:val="center"/>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line="252" w:lineRule="auto"/>
              <w:jc w:val="left"/>
            </w:pPr>
            <w:r/>
            <w:r>
              <w:rPr>
                <w:rFonts w:ascii="Aptos" w:hAnsi="Aptos" w:eastAsia="Aptos"/>
                <w:b w:val="0"/>
                <w:color w:val="000000"/>
                <w:sz w:val="17"/>
              </w:rPr>
              <w:t>Disponibilité et reprise</w:t>
            </w:r>
          </w:p>
        </w:tc>
        <w:tc>
          <w:tcPr>
            <w:tcW w:type="dxa" w:w="8278"/>
            <w:shd w:fill="EAF3F8"/>
            <w:vAlign w:val="center"/>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line="252" w:lineRule="auto"/>
              <w:jc w:val="left"/>
            </w:pPr>
            <w:r/>
            <w:r>
              <w:rPr>
                <w:rFonts w:ascii="Aptos" w:hAnsi="Aptos" w:eastAsia="Aptos"/>
                <w:b w:val="0"/>
                <w:color w:val="000000"/>
                <w:sz w:val="17"/>
              </w:rPr>
              <w:t>L'application doit disposer de sauvegardes régulières de la base et des pièces jointes, ainsi que d'une procédure de restauration vérifiée pour limiter la perte de données.</w:t>
            </w:r>
          </w:p>
        </w:tc>
        <w:tc>
          <w:tcPr>
            <w:tcW w:type="dxa" w:w="1474"/>
            <w:shd w:fill="EAF3F8"/>
            <w:vAlign w:val="center"/>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line="252" w:lineRule="auto"/>
              <w:jc w:val="center"/>
            </w:pPr>
            <w:r/>
            <w:r>
              <w:rPr>
                <w:rFonts w:ascii="Aptos" w:hAnsi="Aptos" w:eastAsia="Aptos"/>
                <w:b w:val="0"/>
                <w:color w:val="000000"/>
                <w:sz w:val="17"/>
              </w:rPr>
              <w:t>Haute</w:t>
            </w:r>
          </w:p>
        </w:tc>
      </w:tr>
      <w:tr>
        <w:trPr>
          <w:cantSplit/>
        </w:trPr>
        <w:tc>
          <w:tcPr>
            <w:tcW w:type="dxa" w:w="737"/>
            <w:shd w:fill="FFFFFF"/>
            <w:vAlign w:val="center"/>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line="252" w:lineRule="auto"/>
              <w:jc w:val="center"/>
            </w:pPr>
            <w:r/>
            <w:r>
              <w:rPr>
                <w:rFonts w:ascii="Aptos" w:hAnsi="Aptos" w:eastAsia="Aptos"/>
                <w:b w:val="0"/>
                <w:color w:val="000000"/>
                <w:sz w:val="17"/>
              </w:rPr>
              <w:t>BNF-08</w:t>
            </w:r>
          </w:p>
        </w:tc>
        <w:tc>
          <w:tcPr>
            <w:tcW w:type="dxa" w:w="2268"/>
            <w:shd w:fill="FFFFFF"/>
            <w:vAlign w:val="center"/>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line="252" w:lineRule="auto"/>
              <w:jc w:val="left"/>
            </w:pPr>
            <w:r/>
            <w:r>
              <w:rPr>
                <w:rFonts w:ascii="Aptos" w:hAnsi="Aptos" w:eastAsia="Aptos"/>
                <w:b w:val="0"/>
                <w:color w:val="000000"/>
                <w:sz w:val="17"/>
              </w:rPr>
              <w:t>Performance</w:t>
            </w:r>
          </w:p>
        </w:tc>
        <w:tc>
          <w:tcPr>
            <w:tcW w:type="dxa" w:w="8278"/>
            <w:shd w:fill="FFFFFF"/>
            <w:vAlign w:val="center"/>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line="252" w:lineRule="auto"/>
              <w:jc w:val="left"/>
            </w:pPr>
            <w:r/>
            <w:r>
              <w:rPr>
                <w:rFonts w:ascii="Aptos" w:hAnsi="Aptos" w:eastAsia="Aptos"/>
                <w:b w:val="0"/>
                <w:color w:val="000000"/>
                <w:sz w:val="17"/>
              </w:rPr>
              <w:t>Les écrans de consultation, recherche, filtrage et tableau de bord doivent rester fluides pour le volume normal d'activité. Les exports lourds ne doivent pas dégrader l'usage courant.</w:t>
            </w:r>
          </w:p>
        </w:tc>
        <w:tc>
          <w:tcPr>
            <w:tcW w:type="dxa" w:w="1474"/>
            <w:shd w:fill="FFFFFF"/>
            <w:vAlign w:val="center"/>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line="252" w:lineRule="auto"/>
              <w:jc w:val="center"/>
            </w:pPr>
            <w:r/>
            <w:r>
              <w:rPr>
                <w:rFonts w:ascii="Aptos" w:hAnsi="Aptos" w:eastAsia="Aptos"/>
                <w:b w:val="0"/>
                <w:color w:val="000000"/>
                <w:sz w:val="17"/>
              </w:rPr>
              <w:t>Haute</w:t>
            </w:r>
          </w:p>
        </w:tc>
      </w:tr>
      <w:tr>
        <w:trPr>
          <w:cantSplit/>
        </w:trPr>
        <w:tc>
          <w:tcPr>
            <w:tcW w:type="dxa" w:w="737"/>
            <w:shd w:fill="EAF3F8"/>
            <w:vAlign w:val="center"/>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line="252" w:lineRule="auto"/>
              <w:jc w:val="center"/>
            </w:pPr>
            <w:r/>
            <w:r>
              <w:rPr>
                <w:rFonts w:ascii="Aptos" w:hAnsi="Aptos" w:eastAsia="Aptos"/>
                <w:b w:val="0"/>
                <w:color w:val="000000"/>
                <w:sz w:val="17"/>
              </w:rPr>
              <w:t>BNF-09</w:t>
            </w:r>
          </w:p>
        </w:tc>
        <w:tc>
          <w:tcPr>
            <w:tcW w:type="dxa" w:w="2268"/>
            <w:shd w:fill="EAF3F8"/>
            <w:vAlign w:val="center"/>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line="252" w:lineRule="auto"/>
              <w:jc w:val="left"/>
            </w:pPr>
            <w:r/>
            <w:r>
              <w:rPr>
                <w:rFonts w:ascii="Aptos" w:hAnsi="Aptos" w:eastAsia="Aptos"/>
                <w:b w:val="0"/>
                <w:color w:val="000000"/>
                <w:sz w:val="17"/>
              </w:rPr>
              <w:t>Ergonomie et accessibilité</w:t>
            </w:r>
          </w:p>
        </w:tc>
        <w:tc>
          <w:tcPr>
            <w:tcW w:type="dxa" w:w="8278"/>
            <w:shd w:fill="EAF3F8"/>
            <w:vAlign w:val="center"/>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line="252" w:lineRule="auto"/>
              <w:jc w:val="left"/>
            </w:pPr>
            <w:r/>
            <w:r>
              <w:rPr>
                <w:rFonts w:ascii="Aptos" w:hAnsi="Aptos" w:eastAsia="Aptos"/>
                <w:b w:val="0"/>
                <w:color w:val="000000"/>
                <w:sz w:val="17"/>
              </w:rPr>
              <w:t>L'interface doit être en français, lisible, adaptée aux écrans d'ordinateur et mobiles, et fournir des messages clairs en cas de validation, succès ou erreur.</w:t>
            </w:r>
          </w:p>
        </w:tc>
        <w:tc>
          <w:tcPr>
            <w:tcW w:type="dxa" w:w="1474"/>
            <w:shd w:fill="EAF3F8"/>
            <w:vAlign w:val="center"/>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line="252" w:lineRule="auto"/>
              <w:jc w:val="center"/>
            </w:pPr>
            <w:r/>
            <w:r>
              <w:rPr>
                <w:rFonts w:ascii="Aptos" w:hAnsi="Aptos" w:eastAsia="Aptos"/>
                <w:b w:val="0"/>
                <w:color w:val="000000"/>
                <w:sz w:val="17"/>
              </w:rPr>
              <w:t>Haute</w:t>
            </w:r>
          </w:p>
        </w:tc>
      </w:tr>
      <w:tr>
        <w:trPr>
          <w:cantSplit/>
        </w:trPr>
        <w:tc>
          <w:tcPr>
            <w:tcW w:type="dxa" w:w="737"/>
            <w:shd w:fill="FFFFFF"/>
            <w:vAlign w:val="center"/>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line="252" w:lineRule="auto"/>
              <w:jc w:val="center"/>
            </w:pPr>
            <w:r/>
            <w:r>
              <w:rPr>
                <w:rFonts w:ascii="Aptos" w:hAnsi="Aptos" w:eastAsia="Aptos"/>
                <w:b w:val="0"/>
                <w:color w:val="000000"/>
                <w:sz w:val="17"/>
              </w:rPr>
              <w:t>BNF-10</w:t>
            </w:r>
          </w:p>
        </w:tc>
        <w:tc>
          <w:tcPr>
            <w:tcW w:type="dxa" w:w="2268"/>
            <w:shd w:fill="FFFFFF"/>
            <w:vAlign w:val="center"/>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line="252" w:lineRule="auto"/>
              <w:jc w:val="left"/>
            </w:pPr>
            <w:r/>
            <w:r>
              <w:rPr>
                <w:rFonts w:ascii="Aptos" w:hAnsi="Aptos" w:eastAsia="Aptos"/>
                <w:b w:val="0"/>
                <w:color w:val="000000"/>
                <w:sz w:val="17"/>
              </w:rPr>
              <w:t>Compatibilité</w:t>
            </w:r>
          </w:p>
        </w:tc>
        <w:tc>
          <w:tcPr>
            <w:tcW w:type="dxa" w:w="8278"/>
            <w:shd w:fill="FFFFFF"/>
            <w:vAlign w:val="center"/>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line="252" w:lineRule="auto"/>
              <w:jc w:val="left"/>
            </w:pPr>
            <w:r/>
            <w:r>
              <w:rPr>
                <w:rFonts w:ascii="Aptos" w:hAnsi="Aptos" w:eastAsia="Aptos"/>
                <w:b w:val="0"/>
                <w:color w:val="000000"/>
                <w:sz w:val="17"/>
              </w:rPr>
              <w:t>L'application doit fonctionner sur les navigateurs modernes pris en charge par l'organisation et rester utilisable sans extension navigateur particulière.</w:t>
            </w:r>
          </w:p>
        </w:tc>
        <w:tc>
          <w:tcPr>
            <w:tcW w:type="dxa" w:w="1474"/>
            <w:shd w:fill="FFFFFF"/>
            <w:vAlign w:val="center"/>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line="252" w:lineRule="auto"/>
              <w:jc w:val="center"/>
            </w:pPr>
            <w:r/>
            <w:r>
              <w:rPr>
                <w:rFonts w:ascii="Aptos" w:hAnsi="Aptos" w:eastAsia="Aptos"/>
                <w:b w:val="0"/>
                <w:color w:val="000000"/>
                <w:sz w:val="17"/>
              </w:rPr>
              <w:t>Moyenne</w:t>
            </w:r>
          </w:p>
        </w:tc>
      </w:tr>
      <w:tr>
        <w:trPr>
          <w:cantSplit/>
        </w:trPr>
        <w:tc>
          <w:tcPr>
            <w:tcW w:type="dxa" w:w="737"/>
            <w:shd w:fill="EAF3F8"/>
            <w:vAlign w:val="center"/>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line="252" w:lineRule="auto"/>
              <w:jc w:val="center"/>
            </w:pPr>
            <w:r/>
            <w:r>
              <w:rPr>
                <w:rFonts w:ascii="Aptos" w:hAnsi="Aptos" w:eastAsia="Aptos"/>
                <w:b w:val="0"/>
                <w:color w:val="000000"/>
                <w:sz w:val="17"/>
              </w:rPr>
              <w:t>BNF-11</w:t>
            </w:r>
          </w:p>
        </w:tc>
        <w:tc>
          <w:tcPr>
            <w:tcW w:type="dxa" w:w="2268"/>
            <w:shd w:fill="EAF3F8"/>
            <w:vAlign w:val="center"/>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line="252" w:lineRule="auto"/>
              <w:jc w:val="left"/>
            </w:pPr>
            <w:r/>
            <w:r>
              <w:rPr>
                <w:rFonts w:ascii="Aptos" w:hAnsi="Aptos" w:eastAsia="Aptos"/>
                <w:b w:val="0"/>
                <w:color w:val="000000"/>
                <w:sz w:val="17"/>
              </w:rPr>
              <w:t>Maintenabilité</w:t>
            </w:r>
          </w:p>
        </w:tc>
        <w:tc>
          <w:tcPr>
            <w:tcW w:type="dxa" w:w="8278"/>
            <w:shd w:fill="EAF3F8"/>
            <w:vAlign w:val="center"/>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line="252" w:lineRule="auto"/>
              <w:jc w:val="left"/>
            </w:pPr>
            <w:r/>
            <w:r>
              <w:rPr>
                <w:rFonts w:ascii="Aptos" w:hAnsi="Aptos" w:eastAsia="Aptos"/>
                <w:b w:val="0"/>
                <w:color w:val="000000"/>
                <w:sz w:val="17"/>
              </w:rPr>
              <w:t>Le code doit respecter les conventions Laravel, séparer les responsabilités, s'appuyer sur les migrations et la configuration d'environnement, et être couvert par des tests ciblés pour les flux critiques.</w:t>
            </w:r>
          </w:p>
        </w:tc>
        <w:tc>
          <w:tcPr>
            <w:tcW w:type="dxa" w:w="1474"/>
            <w:shd w:fill="EAF3F8"/>
            <w:vAlign w:val="center"/>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line="252" w:lineRule="auto"/>
              <w:jc w:val="center"/>
            </w:pPr>
            <w:r/>
            <w:r>
              <w:rPr>
                <w:rFonts w:ascii="Aptos" w:hAnsi="Aptos" w:eastAsia="Aptos"/>
                <w:b w:val="0"/>
                <w:color w:val="000000"/>
                <w:sz w:val="17"/>
              </w:rPr>
              <w:t>Haute</w:t>
            </w:r>
          </w:p>
        </w:tc>
      </w:tr>
      <w:tr>
        <w:trPr>
          <w:cantSplit/>
        </w:trPr>
        <w:tc>
          <w:tcPr>
            <w:tcW w:type="dxa" w:w="737"/>
            <w:shd w:fill="FFFFFF"/>
            <w:vAlign w:val="center"/>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line="252" w:lineRule="auto"/>
              <w:jc w:val="center"/>
            </w:pPr>
            <w:r/>
            <w:r>
              <w:rPr>
                <w:rFonts w:ascii="Aptos" w:hAnsi="Aptos" w:eastAsia="Aptos"/>
                <w:b w:val="0"/>
                <w:color w:val="000000"/>
                <w:sz w:val="17"/>
              </w:rPr>
              <w:t>BNF-12</w:t>
            </w:r>
          </w:p>
        </w:tc>
        <w:tc>
          <w:tcPr>
            <w:tcW w:type="dxa" w:w="2268"/>
            <w:shd w:fill="FFFFFF"/>
            <w:vAlign w:val="center"/>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line="252" w:lineRule="auto"/>
              <w:jc w:val="left"/>
            </w:pPr>
            <w:r/>
            <w:r>
              <w:rPr>
                <w:rFonts w:ascii="Aptos" w:hAnsi="Aptos" w:eastAsia="Aptos"/>
                <w:b w:val="0"/>
                <w:color w:val="000000"/>
                <w:sz w:val="17"/>
              </w:rPr>
              <w:t>Exploitation et supervision</w:t>
            </w:r>
          </w:p>
        </w:tc>
        <w:tc>
          <w:tcPr>
            <w:tcW w:type="dxa" w:w="8278"/>
            <w:shd w:fill="FFFFFF"/>
            <w:vAlign w:val="center"/>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line="252" w:lineRule="auto"/>
              <w:jc w:val="left"/>
            </w:pPr>
            <w:r/>
            <w:r>
              <w:rPr>
                <w:rFonts w:ascii="Aptos" w:hAnsi="Aptos" w:eastAsia="Aptos"/>
                <w:b w:val="0"/>
                <w:color w:val="000000"/>
                <w:sz w:val="17"/>
              </w:rPr>
              <w:t>Les journaux applicatifs doivent être accessibles au processus web, les erreurs techniques doivent être consignées sans exposer de données sensibles, et la configuration du courriel doit être contrôlable en production.</w:t>
            </w:r>
          </w:p>
        </w:tc>
        <w:tc>
          <w:tcPr>
            <w:tcW w:type="dxa" w:w="1474"/>
            <w:shd w:fill="FFFFFF"/>
            <w:vAlign w:val="center"/>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line="252" w:lineRule="auto"/>
              <w:jc w:val="center"/>
            </w:pPr>
            <w:r/>
            <w:r>
              <w:rPr>
                <w:rFonts w:ascii="Aptos" w:hAnsi="Aptos" w:eastAsia="Aptos"/>
                <w:b w:val="0"/>
                <w:color w:val="000000"/>
                <w:sz w:val="17"/>
              </w:rPr>
              <w:t>Haute</w:t>
            </w:r>
          </w:p>
        </w:tc>
      </w:tr>
    </w:tbl>
    <w:p>
      <w:pPr>
        <w:spacing w:before="280" w:after="120"/>
      </w:pPr>
      <w:r>
        <w:rPr>
          <w:rFonts w:ascii="Aptos" w:hAnsi="Aptos" w:eastAsia="Aptos"/>
          <w:b/>
          <w:color w:val="000000"/>
          <w:sz w:val="28"/>
        </w:rPr>
        <w:t>Lecture du document</w:t>
      </w:r>
    </w:p>
    <w:p>
      <w:pPr>
        <w:spacing w:after="120" w:line="269" w:lineRule="auto"/>
      </w:pPr>
      <w:r>
        <w:rPr>
          <w:rFonts w:ascii="Aptos" w:hAnsi="Aptos" w:eastAsia="Aptos"/>
          <w:b w:val="0"/>
          <w:i w:val="0"/>
          <w:color w:val="555555"/>
          <w:sz w:val="21"/>
        </w:rPr>
        <w:t>Les besoins marqués Critique conditionnent le fonctionnement sûr de la gestion des réclamations. Ils doivent être validés avant toute mise en production. Les priorités Haute et Moyenne peuvent être planifiées selon la capacité du projet, sans réduire les exigences de sécurité, de confidentialité et de traçabilité.</w:t>
      </w:r>
    </w:p>
    <w:sectPr w:rsidR="00FC693F" w:rsidRPr="0006063C" w:rsidSect="00034616">
      <w:headerReference w:type="default" r:id="rId9"/>
      <w:footerReference w:type="default" r:id="rId10"/>
      <w:pgSz w:w="15840" w:h="12240" w:orient="landscape"/>
      <w:pgMar w:top="822" w:right="822" w:bottom="794" w:left="82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Aptos" w:hAnsi="Aptos" w:eastAsia="Aptos"/>
        <w:b w:val="0"/>
        <w:color w:val="555555"/>
        <w:sz w:val="16"/>
      </w:rPr>
      <w:t xml:space="preserve">Expression des besoins - Gestion des réclamations  |  ANBG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ptos" w:hAnsi="Aptos" w:eastAsia="Aptos"/>
        <w:b/>
        <w:color w:val="555555"/>
        <w:sz w:val="17"/>
      </w:rPr>
      <w:t>ANBG  |  Contrôle interne et qualité</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Expression des besoins gestion des réclamations</dc:title>
  <dc:subject>Besoins fonctionnels et non fonctionnels</dc:subject>
  <dc:creator>ANBG - Contrôle interne et qualité</dc:creator>
  <cp:keywords/>
  <dc:description>Document établi à partir du cahier des charges de février 2026.</dc:description>
  <cp:lastModifiedBy/>
  <cp:revision>1</cp:revision>
  <dcterms:created xsi:type="dcterms:W3CDTF">2013-12-23T23:15:00Z</dcterms:created>
  <dcterms:modified xsi:type="dcterms:W3CDTF">2013-12-23T23:15:00Z</dcterms:modified>
  <cp:category/>
</cp:coreProperties>
</file>