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lanTitle"/>
      </w:pPr>
      <w:r>
        <w:rPr>
          <w:rFonts w:ascii="Times New Roman" w:hAnsi="Times New Roman" w:eastAsia="Times New Roman"/>
          <w:b/>
        </w:rPr>
        <w:t>RAPPORT DE STAGE - PREMIÈRE PARTIE</w:t>
      </w:r>
    </w:p>
    <w:p>
      <w:pPr>
        <w:pStyle w:val="PartTitle"/>
      </w:pPr>
      <w:r>
        <w:rPr>
          <w:rFonts w:ascii="Times New Roman" w:hAnsi="Times New Roman" w:eastAsia="Times New Roman"/>
          <w:b/>
        </w:rPr>
        <w:t>CADRE INSTITUTIONNEL ET DÉROULEMENT DU STAGE</w:t>
      </w:r>
    </w:p>
    <w:p>
      <w:pPr>
        <w:pStyle w:val="LeadParagraph"/>
        <w:shd w:fill="E9EEF5"/>
      </w:pPr>
      <w:r>
        <w:rPr>
          <w:rFonts w:ascii="Times New Roman" w:hAnsi="Times New Roman" w:eastAsia="Times New Roman"/>
        </w:rPr>
        <w:t>Cette première partie situe le stage dans son environnement institutionnel et professionnel. Elle présente d'abord l'Agence Nationale des Bourses du Gabon, son évolution, ses missions et son organisation, puis décrit le Service Systèmes d'Information, Réseaux et Sécurité ainsi que les principales activités réalisées. L'objectif est de montrer comment la découverte de l'institution et les travaux confiés ont progressivement conduit à la participation au projet de digitalisation du traitement des réclamations.</w:t>
      </w:r>
    </w:p>
    <w:p>
      <w:pPr>
        <w:pStyle w:val="ChapterTitle"/>
        <w:pBdr>
          <w:bottom w:val="single" w:sz="6" w:space="2" w:color="7F8C9A"/>
        </w:pBdr>
      </w:pPr>
      <w:r>
        <w:rPr>
          <w:rFonts w:ascii="Times New Roman" w:hAnsi="Times New Roman" w:eastAsia="Times New Roman"/>
          <w:b/>
        </w:rPr>
        <w:t>CHAPITRE 1 : PRÉSENTATION DE L'AGENCE NATIONALE DES BOURSES DU GABON</w:t>
      </w:r>
    </w:p>
    <w:p>
      <w:pPr>
        <w:widowControl/>
      </w:pPr>
      <w:r>
        <w:rPr>
          <w:rFonts w:ascii="Times New Roman" w:hAnsi="Times New Roman" w:eastAsia="Times New Roman"/>
        </w:rPr>
        <w:t>L'Agence Nationale des Bourses du Gabon, couramment désignée par le sigle ANBG, occupe une place importante dans la politique publique de formation. Son action se situe à l'interface entre l'État, les apprenants, les établissements d'enseignement, les organismes de gestion et les partenaires financiers. La compréhension de cette institution est donc indispensable pour apprécier le cadre dans lequel le stage s'est déroulé et la portée du projet de gestion des réclamations auquel nous avons participé.</w:t>
      </w:r>
    </w:p>
    <w:p>
      <w:pPr>
        <w:pStyle w:val="SectionTitle"/>
      </w:pPr>
      <w:r>
        <w:rPr>
          <w:rFonts w:ascii="Times New Roman" w:hAnsi="Times New Roman" w:eastAsia="Times New Roman"/>
          <w:b/>
        </w:rPr>
        <w:t>Section 1 : Présentation générale de l'ANBG</w:t>
      </w:r>
    </w:p>
    <w:p>
      <w:pPr>
        <w:pStyle w:val="SubPoint"/>
      </w:pPr>
      <w:r>
        <w:rPr>
          <w:rFonts w:ascii="Times New Roman" w:hAnsi="Times New Roman" w:eastAsia="Times New Roman"/>
          <w:b/>
        </w:rPr>
        <w:t>1.1. Historique et création</w:t>
      </w:r>
    </w:p>
    <w:p>
      <w:pPr>
        <w:widowControl/>
      </w:pPr>
      <w:r>
        <w:rPr>
          <w:rFonts w:ascii="Times New Roman" w:hAnsi="Times New Roman" w:eastAsia="Times New Roman"/>
        </w:rPr>
        <w:t>L'ANBG a été créée par le décret n°0660/PR du 28 avril 2011. Sa création répond à la volonté de doter l'État gabonais d'une structure spécialisée dans l'administration des bourses d'études et dans le suivi des bénéficiaires, au Gabon comme à l'étranger. Avant cette réforme, les activités d'orientation et d'attribution des allocations d'études étaient réparties entre plusieurs mécanismes administratifs. La mise en place de l'Agence a permis de regrouper ces responsabilités autour d'un organisme identifié, chargé d'appliquer les orientations gouvernementales en matière de financement des études.</w:t>
      </w:r>
    </w:p>
    <w:p>
      <w:pPr>
        <w:widowControl/>
      </w:pPr>
      <w:r>
        <w:rPr>
          <w:rFonts w:ascii="Times New Roman" w:hAnsi="Times New Roman" w:eastAsia="Times New Roman"/>
        </w:rPr>
        <w:t>Dix ans après sa création, l'Agence a fait l'objet d'une réorganisation par le décret n°0003/PR/MESRSTTENFC du 11 janvier 2021. Ce texte redéfinit ses missions, précise ses organes et décrit les attributions de ses directions et services. La réorganisation traduit l'évolution des besoins : augmentation du nombre d'usagers, diversification des parcours de formation, suivi des étudiants à l'étranger, nécessité d'une meilleure traçabilité et développement des services numériques. Le décret de 2021 constitue ainsi le principal fondement réglementaire de l'organisation étudiée dans le présent rapport [1].</w:t>
      </w:r>
    </w:p>
    <w:p>
      <w:pPr>
        <w:widowControl/>
      </w:pPr>
      <w:r>
        <w:rPr>
          <w:rFonts w:ascii="Times New Roman" w:hAnsi="Times New Roman" w:eastAsia="Times New Roman"/>
        </w:rPr>
        <w:t>L'évolution de l'ANBG est également marquée par une modernisation progressive de ses prestations. Le site officiel de l'Agence relève notamment la mise en place, à partir de 2014, de la bancarisation des étudiants boursiers, grâce à des partenariats conclus avec des établissements bancaires. Cette mesure visait à faciliter le versement des allocations et à sécuriser les paiements. Plus largement, l'Agence inscrit aujourd'hui son action dans une démarche de dématérialisation des demandes, de simplification des procédures et d'amélioration de la qualité du service rendu aux usagers [2].</w:t>
      </w:r>
    </w:p>
    <w:p>
      <w:pPr>
        <w:pStyle w:val="SubPoint"/>
      </w:pPr>
      <w:r>
        <w:rPr>
          <w:rFonts w:ascii="Times New Roman" w:hAnsi="Times New Roman" w:eastAsia="Times New Roman"/>
          <w:b/>
        </w:rPr>
        <w:t>1.2. Statut, tutelle et implantation</w:t>
      </w:r>
    </w:p>
    <w:p>
      <w:pPr>
        <w:widowControl/>
      </w:pPr>
      <w:r>
        <w:rPr>
          <w:rFonts w:ascii="Times New Roman" w:hAnsi="Times New Roman" w:eastAsia="Times New Roman"/>
        </w:rPr>
        <w:t>L'ANBG est une structure publique chargée d'exécuter la politique de l'État en matière de bourses d'études. Elle agit sous la tutelle technique du ministère chargé de l'Enseignement supérieur. Cette tutelle garantit l'alignement de l'attribution des bourses sur les priorités nationales de formation, sur les capacités d'accueil des établissements et sur les besoins de développement du pays. Dans l'exercice de ses missions, l'Agence travaille également avec les départements ministériels chargés du budget, de l'éducation, de la formation professionnelle, des affaires étrangères, des sports et de l'emploi.</w:t>
      </w:r>
    </w:p>
    <w:p>
      <w:pPr>
        <w:widowControl/>
      </w:pPr>
      <w:r>
        <w:rPr>
          <w:rFonts w:ascii="Times New Roman" w:hAnsi="Times New Roman" w:eastAsia="Times New Roman"/>
        </w:rPr>
        <w:t>Le siège de l'Agence est situé à Libreville, au 195 rue Michel Nze Mba, dans la zone d'Oloumi. Cette implantation concentre l'essentiel des activités administratives, techniques et d'accueil des usagers. Le décret prévoit en outre des délégations provinciales et extérieures, destinées à rapprocher les services des bénéficiaires et à assurer le suivi des étudiants selon leur lieu d'études. L'environnement de travail combine donc une administration centrale, des relais déconcentrés, des partenaires institutionnels et des canaux numériques [3].</w:t>
      </w:r>
    </w:p>
    <w:p>
      <w:pPr>
        <w:pStyle w:val="SubPoint"/>
      </w:pPr>
      <w:r>
        <w:rPr>
          <w:rFonts w:ascii="Times New Roman" w:hAnsi="Times New Roman" w:eastAsia="Times New Roman"/>
          <w:b/>
        </w:rPr>
        <w:t>1.3. Mission générale et domaines d'activité</w:t>
      </w:r>
    </w:p>
    <w:p>
      <w:pPr>
        <w:widowControl/>
      </w:pPr>
      <w:r>
        <w:rPr>
          <w:rFonts w:ascii="Times New Roman" w:hAnsi="Times New Roman" w:eastAsia="Times New Roman"/>
        </w:rPr>
        <w:t>Selon l'article 3 du décret du 11 janvier 2021, la mission générale de l'ANBG consiste à exécuter la politique de l'État en matière de gestion des bourses d'études au Gabon et à l'étranger. Cette mission dépasse le simple paiement d'une allocation. Elle couvre l'ensemble du cycle de vie d'une bourse, depuis la réception du dossier jusqu'au suivi du bénéficiaire et, le cas échéant, au renouvellement, au transfert, à la suspension, à la suppression ou au rétablissement de l'aide.</w:t>
      </w:r>
    </w:p>
    <w:p>
      <w:pPr>
        <w:pStyle w:val="Listepuces"/>
        <w:ind w:left="720" w:hanging="288"/>
      </w:pPr>
      <w:r>
        <w:rPr>
          <w:rFonts w:ascii="Times New Roman" w:hAnsi="Times New Roman" w:eastAsia="Times New Roman"/>
        </w:rPr>
        <w:t>examiner les demandes de bourse présentées par les élèves, les étudiants et les sportifs de haut niveau inscrits dans des établissements reconnus ;</w:t>
      </w:r>
    </w:p>
    <w:p>
      <w:pPr>
        <w:pStyle w:val="Listepuces"/>
        <w:ind w:left="720" w:hanging="288"/>
      </w:pPr>
      <w:r>
        <w:rPr>
          <w:rFonts w:ascii="Times New Roman" w:hAnsi="Times New Roman" w:eastAsia="Times New Roman"/>
        </w:rPr>
        <w:t>attribuer, renouveler, transférer, suspendre, supprimer ou rétablir les bourses nationales et les bourses de coopération ;</w:t>
      </w:r>
    </w:p>
    <w:p>
      <w:pPr>
        <w:pStyle w:val="Listepuces"/>
        <w:ind w:left="720" w:hanging="288"/>
      </w:pPr>
      <w:r>
        <w:rPr>
          <w:rFonts w:ascii="Times New Roman" w:hAnsi="Times New Roman" w:eastAsia="Times New Roman"/>
        </w:rPr>
        <w:t>gérer et contrôler les bourses accordées au Gabon et à l'étranger ;</w:t>
      </w:r>
    </w:p>
    <w:p>
      <w:pPr>
        <w:pStyle w:val="Listepuces"/>
        <w:ind w:left="720" w:hanging="288"/>
      </w:pPr>
      <w:r>
        <w:rPr>
          <w:rFonts w:ascii="Times New Roman" w:hAnsi="Times New Roman" w:eastAsia="Times New Roman"/>
        </w:rPr>
        <w:t>prendre en charge les titres de transport des bénéficiaires selon les conditions applicables ;</w:t>
      </w:r>
    </w:p>
    <w:p>
      <w:pPr>
        <w:pStyle w:val="Listepuces"/>
        <w:ind w:left="720" w:hanging="288"/>
      </w:pPr>
      <w:r>
        <w:rPr>
          <w:rFonts w:ascii="Times New Roman" w:hAnsi="Times New Roman" w:eastAsia="Times New Roman"/>
        </w:rPr>
        <w:t>payer les allocations d'études et les frais annexes ;</w:t>
      </w:r>
    </w:p>
    <w:p>
      <w:pPr>
        <w:pStyle w:val="Listepuces"/>
        <w:ind w:left="720" w:hanging="288"/>
      </w:pPr>
      <w:r>
        <w:rPr>
          <w:rFonts w:ascii="Times New Roman" w:hAnsi="Times New Roman" w:eastAsia="Times New Roman"/>
        </w:rPr>
        <w:t>conclure des partenariats avec des personnes publiques ou privées en lien avec les missions de l'Agence ;</w:t>
      </w:r>
    </w:p>
    <w:p>
      <w:pPr>
        <w:pStyle w:val="Listepuces"/>
        <w:ind w:left="720" w:hanging="288"/>
      </w:pPr>
      <w:r>
        <w:rPr>
          <w:rFonts w:ascii="Times New Roman" w:hAnsi="Times New Roman" w:eastAsia="Times New Roman"/>
        </w:rPr>
        <w:t>accorder aux bénéficiaires les avantages prévus par les textes en vigueur.</w:t>
      </w:r>
    </w:p>
    <w:p>
      <w:pPr>
        <w:widowControl/>
      </w:pPr>
      <w:r>
        <w:rPr>
          <w:rFonts w:ascii="Times New Roman" w:hAnsi="Times New Roman" w:eastAsia="Times New Roman"/>
        </w:rPr>
        <w:t>Ces activités montrent que l'ANBG remplit à la fois une fonction administrative, financière, sociale et stratégique. Elle instruit des dossiers individuels, gère des flux financiers, entretient des relations avec de nombreux partenaires et contribue à orienter les investissements publics de formation. La qualité des données, la disponibilité des systèmes d'information et la capacité à répondre rapidement aux usagers deviennent donc des conditions essentielles de son efficacité.</w:t>
      </w:r>
    </w:p>
    <w:p>
      <w:pPr>
        <w:pStyle w:val="SubPoint"/>
      </w:pPr>
      <w:r>
        <w:rPr>
          <w:rFonts w:ascii="Times New Roman" w:hAnsi="Times New Roman" w:eastAsia="Times New Roman"/>
          <w:b/>
        </w:rPr>
        <w:t>1.4. Environnement institutionnel et parties prenantes</w:t>
      </w:r>
    </w:p>
    <w:p>
      <w:pPr>
        <w:widowControl/>
      </w:pPr>
      <w:r>
        <w:rPr>
          <w:rFonts w:ascii="Times New Roman" w:hAnsi="Times New Roman" w:eastAsia="Times New Roman"/>
        </w:rPr>
        <w:t>L'environnement de l'ANBG se caractérise par la diversité des acteurs concernés. Les premiers sont les usagers : élèves, étudiants, sportifs de haut niveau, parents ou représentants. À leurs côtés interviennent les établissements d'enseignement supérieur, les organismes de gestion à l'étranger, les banques, les transporteurs, les représentations diplomatiques ainsi que les administrations qui participent à la définition ou au financement de la politique des bourses.</w:t>
      </w:r>
    </w:p>
    <w:p>
      <w:pPr>
        <w:widowControl/>
      </w:pPr>
      <w:r>
        <w:rPr>
          <w:rFonts w:ascii="Times New Roman" w:hAnsi="Times New Roman" w:eastAsia="Times New Roman"/>
        </w:rPr>
        <w:t>Cette pluralité crée un volume important d'échanges et de demandes : information sur l'éligibilité, suivi d'un dossier, régularisation d'un paiement, renouvellement d'une bourse, changement d'établissement, titre de transport ou contestation d'une décision. Une réclamation peut ainsi concerner plusieurs directions et nécessiter la consultation de pièces justificatives, d'un historique de décisions et de données financières. L'Agence doit donc coordonner les intervenants tout en conservant une trace fiable des actions réalisées.</w:t>
      </w:r>
    </w:p>
    <w:p>
      <w:pPr>
        <w:widowControl/>
      </w:pPr>
      <w:r>
        <w:rPr>
          <w:rFonts w:ascii="Times New Roman" w:hAnsi="Times New Roman" w:eastAsia="Times New Roman"/>
        </w:rPr>
        <w:t>Sur le plan technologique, l'environnement institutionnel évolue vers davantage de services en ligne. La demande de bourse, l'information des bénéficiaires et le traitement des réclamations exigent des outils accessibles, sécurisés et adaptés aux différents profils d'utilisateurs. Le projet de digitalisation étudié pendant le stage s'inscrit dans cette dynamique : il vise à transformer un échange parfois dispersé en un processus structuré, mesurable et traçable.</w:t>
      </w:r>
    </w:p>
    <w:p>
      <w:pPr>
        <w:pStyle w:val="SectionTitle"/>
      </w:pPr>
      <w:r>
        <w:rPr>
          <w:rFonts w:ascii="Times New Roman" w:hAnsi="Times New Roman" w:eastAsia="Times New Roman"/>
          <w:b/>
        </w:rPr>
        <w:t>Section 2 : Organisation et fonctionnement de l'ANBG</w:t>
      </w:r>
    </w:p>
    <w:p>
      <w:pPr>
        <w:pStyle w:val="SubPoint"/>
      </w:pPr>
      <w:r>
        <w:rPr>
          <w:rFonts w:ascii="Times New Roman" w:hAnsi="Times New Roman" w:eastAsia="Times New Roman"/>
          <w:b/>
        </w:rPr>
        <w:t>1.5. Les organes de l'Agence</w:t>
      </w:r>
    </w:p>
    <w:p>
      <w:pPr>
        <w:widowControl/>
      </w:pPr>
      <w:r>
        <w:rPr>
          <w:rFonts w:ascii="Times New Roman" w:hAnsi="Times New Roman" w:eastAsia="Times New Roman"/>
        </w:rPr>
        <w:t>L'article 4 du décret de réorganisation distingue quatre organes : le Conseil d'Administration, la Direction Générale, l'Agence Comptable et la Commission Technique des Bourses. Chacun intervient à un niveau complémentaire de gouvernance, d'exécution, de gestion financière ou de décision technique.</w:t>
      </w:r>
    </w:p>
    <w:p>
      <w:pPr>
        <w:widowControl/>
      </w:pPr>
      <w:r>
        <w:rPr>
          <w:rFonts w:ascii="Times New Roman" w:hAnsi="Times New Roman" w:eastAsia="Times New Roman"/>
        </w:rPr>
        <w:t>Le Conseil d'Administration est l'organe de délibération et d'orientation. Il approuve les règles d'organisation, veille au fonctionnement de l'Agence, adopte les programmes d'investissement et les budgets, examine les comptes et s'assure de l'application des orientations gouvernementales. Sa composition associe plusieurs administrations concernées par la politique des bourses, ce qui favorise une approche interministérielle.</w:t>
      </w:r>
    </w:p>
    <w:p>
      <w:pPr>
        <w:widowControl/>
      </w:pPr>
      <w:r>
        <w:rPr>
          <w:rFonts w:ascii="Times New Roman" w:hAnsi="Times New Roman" w:eastAsia="Times New Roman"/>
        </w:rPr>
        <w:t>La Direction Générale constitue l'organe d'exécution. Elle assure la direction technique, administrative et financière de l'Agence. Elle met en œuvre les décisions du Conseil d'Administration, organise les services, gère le personnel et les ressources, prépare le budget et représente l'Agence dans les actes de la vie civile. Elle joue donc un rôle central de coordination entre les différentes unités opérationnelles.</w:t>
      </w:r>
    </w:p>
    <w:p>
      <w:pPr>
        <w:widowControl/>
      </w:pPr>
      <w:r>
        <w:rPr>
          <w:rFonts w:ascii="Times New Roman" w:hAnsi="Times New Roman" w:eastAsia="Times New Roman"/>
        </w:rPr>
        <w:t>L'Agence Comptable prend en charge les opérations relevant de la comptabilité publique, tandis que la Commission Technique des Bourses examine les dossiers d'attribution, de renouvellement, de transfert, d'orientation, de suspension, de rétablissement ou de suppression des bourses. Cette répartition distingue clairement la décision stratégique, l'exécution administrative, le contrôle comptable et l'examen technique des dossiers.</w:t>
      </w:r>
    </w:p>
    <w:p>
      <w:pPr>
        <w:pStyle w:val="SubPoint"/>
      </w:pPr>
      <w:r>
        <w:rPr>
          <w:rFonts w:ascii="Times New Roman" w:hAnsi="Times New Roman" w:eastAsia="Times New Roman"/>
          <w:b/>
        </w:rPr>
        <w:t>1.6. La structure de la Direction Générale</w:t>
      </w:r>
    </w:p>
    <w:p>
      <w:pPr>
        <w:widowControl/>
      </w:pPr>
      <w:r>
        <w:rPr>
          <w:rFonts w:ascii="Times New Roman" w:hAnsi="Times New Roman" w:eastAsia="Times New Roman"/>
        </w:rPr>
        <w:t>La Direction Générale comprend la Direction de la Scolarité, la Direction des Systèmes d'Information et de la Communication, la Direction Administrative et Financière, ainsi que les délégations. La Direction de la Scolarité planifie les bourses, prépare les dossiers soumis à la Commission Technique et suit la progression académique des bénéficiaires. Elle comprend notamment les services chargés de la planification, des étudiants boursiers et des étudiants non boursiers.</w:t>
      </w:r>
    </w:p>
    <w:p>
      <w:pPr>
        <w:widowControl/>
      </w:pPr>
      <w:r>
        <w:rPr>
          <w:rFonts w:ascii="Times New Roman" w:hAnsi="Times New Roman" w:eastAsia="Times New Roman"/>
        </w:rPr>
        <w:t>La Direction Administrative et Financière gère les ressources humaines, le budget, la comptabilité, les affaires juridiques, les approvisionnements et les moyens généraux. Les délégations provinciales et extérieures exercent, dans leur ressort, les missions qui leur sont confiées. Enfin, la Direction des Systèmes d'Information et de la Communication fournit l'infrastructure numérique, les données, les outils de communication et l'appui technique nécessaires à l'ensemble de l'organisation.</w:t>
      </w:r>
    </w:p>
    <w:p>
      <w:pPr>
        <w:pStyle w:val="SubPoint"/>
      </w:pPr>
      <w:r>
        <w:rPr>
          <w:rFonts w:ascii="Times New Roman" w:hAnsi="Times New Roman" w:eastAsia="Times New Roman"/>
          <w:b/>
        </w:rPr>
        <w:t>1.7. Le fonctionnement général</w:t>
      </w:r>
    </w:p>
    <w:p>
      <w:pPr>
        <w:widowControl/>
      </w:pPr>
      <w:r>
        <w:rPr>
          <w:rFonts w:ascii="Times New Roman" w:hAnsi="Times New Roman" w:eastAsia="Times New Roman"/>
        </w:rPr>
        <w:t>Le fonctionnement de l'ANBG repose sur une chaîne de responsabilités. Les orientations sont définies au niveau de la tutelle et du Conseil d'Administration. La Direction Générale les traduit en programmes et en procédures, puis les directions spécialisées instruisent les dossiers selon leur domaine. La Commission Technique délibère sur les demandes relevant de sa compétence et l'Agence Comptable exécute ou contrôle les opérations financières conformément aux règles de la comptabilité publique.</w:t>
      </w:r>
    </w:p>
    <w:p>
      <w:pPr>
        <w:widowControl/>
      </w:pPr>
      <w:r>
        <w:rPr>
          <w:rFonts w:ascii="Times New Roman" w:hAnsi="Times New Roman" w:eastAsia="Times New Roman"/>
        </w:rPr>
        <w:t>Dans ce dispositif, l'information circule entre les services de scolarité, les unités financières, les services techniques, l'accueil et les responsables hiérarchiques. L'efficacité du fonctionnement dépend donc de la qualité de la coordination, de la mise à jour des données et du respect des délais. Les systèmes d'information jouent un rôle transversal : ils soutiennent l'instruction des dossiers, sécurisent les accès, facilitent la production de statistiques et permettent aux responsables de piloter l'activité.</w:t>
      </w:r>
    </w:p>
    <w:p>
      <w:pPr>
        <w:widowControl/>
      </w:pPr>
      <w:r>
        <w:rPr>
          <w:rFonts w:ascii="Times New Roman" w:hAnsi="Times New Roman" w:eastAsia="Times New Roman"/>
        </w:rPr>
        <w:t>La gestion des réclamations constitue un bon exemple de cette transversalité. Une demande reçue à l'accueil peut concerner la scolarité, les finances, l'informatique ou la Direction Générale. Elle doit être qualifiée, affectée au bon service, traitée par un agent compétent, puis clôturée après transmission de la réponse. Sans outil commun, les risques de perte d'information, de doublon, de retard ou d'absence de traçabilité augmentent. La digitalisation vise précisément à maîtriser ces risques.</w:t>
      </w:r>
    </w:p>
    <w:p>
      <w:pPr>
        <w:pStyle w:val="SectionTitle"/>
      </w:pPr>
      <w:r>
        <w:rPr>
          <w:rFonts w:ascii="Times New Roman" w:hAnsi="Times New Roman" w:eastAsia="Times New Roman"/>
          <w:b/>
        </w:rPr>
        <w:t>Conclusion du chapitre 1</w:t>
      </w:r>
    </w:p>
    <w:p>
      <w:pPr>
        <w:widowControl/>
      </w:pPr>
      <w:r>
        <w:rPr>
          <w:rFonts w:ascii="Times New Roman" w:hAnsi="Times New Roman" w:eastAsia="Times New Roman"/>
        </w:rPr>
        <w:t>L'ANBG est une institution centrale de la politique gabonaise de soutien aux études. Créée en 2011 et réorganisée en 2021, elle assure des missions qui combinent instruction administrative, gestion financière, suivi scolaire, partenariats et service aux usagers. Son organisation en organes de gouvernance et en directions spécialisées permet de répartir les responsabilités, mais exige une forte coordination. Dans ce contexte, la Direction des Systèmes d'Information et de la Communication, et plus particulièrement le service d'accueil du stage, occupe une position stratégique pour accompagner la modernisation des procédures.</w:t>
      </w:r>
    </w:p>
    <w:p>
      <w:pPr>
        <w:pStyle w:val="ChapterTitle"/>
        <w:pageBreakBefore/>
        <w:pBdr>
          <w:bottom w:val="single" w:sz="6" w:space="2" w:color="7F8C9A"/>
        </w:pBdr>
      </w:pPr>
      <w:r>
        <w:rPr>
          <w:rFonts w:ascii="Times New Roman" w:hAnsi="Times New Roman" w:eastAsia="Times New Roman"/>
          <w:b/>
        </w:rPr>
        <w:t>CHAPITRE 2 : PRÉSENTATION DU SERVICE D'ACCUEIL ET DES ACTIVITÉS EFFECTUÉES</w:t>
      </w:r>
    </w:p>
    <w:p>
      <w:pPr>
        <w:widowControl/>
      </w:pPr>
      <w:r>
        <w:rPr>
          <w:rFonts w:ascii="Times New Roman" w:hAnsi="Times New Roman" w:eastAsia="Times New Roman"/>
        </w:rPr>
        <w:t>Le stage s'est déroulé au sein du service chargé des systèmes d'information, des réseaux et de la sécurité. Cette unité intervient au plus près des besoins techniques de l'Agence : elle maintient les équipements, assiste les utilisateurs, administre les ressources numériques et participe aux projets de transformation. Les missions qui nous ont été confiées ont combiné support informatique, documentation, analyse fonctionnelle et développement d'une application de suivi des réclamations.</w:t>
      </w:r>
    </w:p>
    <w:p>
      <w:pPr>
        <w:pStyle w:val="SectionTitle"/>
      </w:pPr>
      <w:r>
        <w:rPr>
          <w:rFonts w:ascii="Times New Roman" w:hAnsi="Times New Roman" w:eastAsia="Times New Roman"/>
          <w:b/>
        </w:rPr>
        <w:t>Section 1 : Présentation du service d'accueil</w:t>
      </w:r>
    </w:p>
    <w:p>
      <w:pPr>
        <w:pStyle w:val="SubPoint"/>
      </w:pPr>
      <w:r>
        <w:rPr>
          <w:rFonts w:ascii="Times New Roman" w:hAnsi="Times New Roman" w:eastAsia="Times New Roman"/>
          <w:b/>
        </w:rPr>
        <w:t>2.1. Positionnement du service</w:t>
      </w:r>
    </w:p>
    <w:p>
      <w:pPr>
        <w:widowControl/>
      </w:pPr>
      <w:r>
        <w:rPr>
          <w:rFonts w:ascii="Times New Roman" w:hAnsi="Times New Roman" w:eastAsia="Times New Roman"/>
        </w:rPr>
        <w:t>Le service d'accueil est rattaché à la Direction des Systèmes d'Information et de la Communication. Le décret du 11 janvier 2021 le désigne comme le « Service Systèmes d'Information, Réseaux et Sécurité ». Dans le cadre du stage et dans le plan du rapport, il est identifié par le sigle SIRS. Cette précision permet de rapprocher l'appellation utilisée quotidiennement de l'intitulé réglementaire.</w:t>
      </w:r>
    </w:p>
    <w:p>
      <w:pPr>
        <w:widowControl/>
      </w:pPr>
      <w:r>
        <w:rPr>
          <w:rFonts w:ascii="Times New Roman" w:hAnsi="Times New Roman" w:eastAsia="Times New Roman"/>
        </w:rPr>
        <w:t>La Direction des Systèmes d'Information et de la Communication a pour mission de développer un système d'information global, de garantir l'accès aux applications ainsi que la sécurité, l'intégrité et la fiabilité de l'information, de gérer les données statistiques, d'administrer les systèmes, les bases de données et le réseau, d'assurer la veille technologique et de soutenir la communication interne et externe. Elle comprend, en plus du SIRS, un service chargé de la gestion documentaire et des statistiques ainsi qu'un service chargé de la communication et des relations publiques.</w:t>
      </w:r>
    </w:p>
    <w:p>
      <w:pPr>
        <w:pStyle w:val="SubPoint"/>
      </w:pPr>
      <w:r>
        <w:rPr>
          <w:rFonts w:ascii="Times New Roman" w:hAnsi="Times New Roman" w:eastAsia="Times New Roman"/>
          <w:b/>
        </w:rPr>
        <w:t>2.2. Missions du SIRS</w:t>
      </w:r>
    </w:p>
    <w:p>
      <w:pPr>
        <w:widowControl/>
      </w:pPr>
      <w:r>
        <w:rPr>
          <w:rFonts w:ascii="Times New Roman" w:hAnsi="Times New Roman" w:eastAsia="Times New Roman"/>
        </w:rPr>
        <w:t>L'article 31 du décret confie au SIRS des responsabilités directement liées à la continuité et à la sécurité du système d'information. Le service participe à la rédaction et à la mise en conformité des procédures informatiques, suit la mise en œuvre du schéma directeur, sauvegarde les programmes, traite informatiquement l'identification des étudiants et installe les équipements, matériels et logiciels de base.</w:t>
      </w:r>
    </w:p>
    <w:p>
      <w:pPr>
        <w:widowControl/>
      </w:pPr>
      <w:r>
        <w:rPr>
          <w:rFonts w:ascii="Times New Roman" w:hAnsi="Times New Roman" w:eastAsia="Times New Roman"/>
        </w:rPr>
        <w:t>Il assure également la maintenance du parc informatique, l'administration des systèmes, des bases de données et du réseau, l'interconnexion avec les partenaires stratégiques, ainsi que le conseil et l'assistance aux autres services. Ces missions donnent au SIRS un rôle à la fois opérationnel et transversal. Il doit répondre aux incidents quotidiens tout en préparant des solutions durables, sécurisées et compatibles avec les besoins métiers de l'Agence.</w:t>
      </w:r>
    </w:p>
    <w:p>
      <w:pPr>
        <w:pStyle w:val="SubPoint"/>
      </w:pPr>
      <w:r>
        <w:rPr>
          <w:rFonts w:ascii="Times New Roman" w:hAnsi="Times New Roman" w:eastAsia="Times New Roman"/>
          <w:b/>
        </w:rPr>
        <w:t>2.3. Environnement de travail et enjeux</w:t>
      </w:r>
    </w:p>
    <w:p>
      <w:pPr>
        <w:widowControl/>
      </w:pPr>
      <w:r>
        <w:rPr>
          <w:rFonts w:ascii="Times New Roman" w:hAnsi="Times New Roman" w:eastAsia="Times New Roman"/>
        </w:rPr>
        <w:t>L'environnement du service associe des postes utilisateurs, des équipements réseau, des applications métiers, des bases de données et des outils de communication. Les utilisateurs internes présentent des profils variés : agents d'accueil, chefs de service, agents traitants, responsables de direction, contrôleurs internes et administrateurs. Chaque profil doit disposer d'un accès adapté à ses responsabilités, sans pouvoir consulter ou modifier des informations qui ne relèvent pas de son périmètre.</w:t>
      </w:r>
    </w:p>
    <w:p>
      <w:pPr>
        <w:widowControl/>
      </w:pPr>
      <w:r>
        <w:rPr>
          <w:rFonts w:ascii="Times New Roman" w:hAnsi="Times New Roman" w:eastAsia="Times New Roman"/>
        </w:rPr>
        <w:t>Les principaux enjeux sont la disponibilité des équipements, la protection des données personnelles, la continuité des services, la traçabilité des opérations et la capacité à produire des informations fiables pour la décision. La prise en charge des réclamations ajoute un enjeu de délai : l'usager attend une réponse, tandis que les responsables doivent pouvoir identifier l'étape où se trouve le dossier et le service qui en a la charge.</w:t>
      </w:r>
    </w:p>
    <w:p>
      <w:pPr>
        <w:pStyle w:val="SectionTitle"/>
      </w:pPr>
      <w:r>
        <w:rPr>
          <w:rFonts w:ascii="Times New Roman" w:hAnsi="Times New Roman" w:eastAsia="Times New Roman"/>
          <w:b/>
        </w:rPr>
        <w:t>Section 2 : Les tâches effectuées durant le stage</w:t>
      </w:r>
    </w:p>
    <w:p>
      <w:pPr>
        <w:widowControl/>
      </w:pPr>
      <w:r>
        <w:rPr>
          <w:rFonts w:ascii="Times New Roman" w:hAnsi="Times New Roman" w:eastAsia="Times New Roman"/>
        </w:rPr>
        <w:t>Les activités réalisées ont été progressives. Les premières semaines ont permis de comprendre l'institution et son environnement informatique. Les missions se sont ensuite orientées vers le projet de digitalisation des réclamations, depuis l'analyse du besoin jusqu'à la préparation du déploiement. Pour chaque activité, nous présentons le travail effectué, les difficultés rencontrées et les enseignements tirés.</w:t>
      </w:r>
    </w:p>
    <w:p>
      <w:pPr>
        <w:pStyle w:val="SubPoint"/>
      </w:pPr>
      <w:r>
        <w:rPr>
          <w:rFonts w:ascii="Times New Roman" w:hAnsi="Times New Roman" w:eastAsia="Times New Roman"/>
          <w:b/>
        </w:rPr>
        <w:t>2.2.1. Accueil et intégration au sein de l'ANBG</w:t>
      </w:r>
    </w:p>
    <w:p>
      <w:pPr>
        <w:widowControl/>
      </w:pPr>
      <w:r>
        <w:rPr>
          <w:rFonts w:ascii="Times New Roman" w:hAnsi="Times New Roman" w:eastAsia="Times New Roman"/>
        </w:rPr>
        <w:t>L'accueil a constitué une étape essentielle de l'intégration. Il a permis de découvrir l'organisation générale de l'Agence, le rôle des directions et les relations entre les services. La présentation de l'équipe du SIRS a facilité l'identification des interlocuteurs techniques et la compréhension des règles de travail : respect de la hiérarchie, confidentialité des informations, disponibilité envers les utilisateurs et traçabilité des interventions.</w:t>
      </w:r>
    </w:p>
    <w:p>
      <w:pPr>
        <w:widowControl/>
      </w:pPr>
      <w:r>
        <w:rPr>
          <w:rFonts w:ascii="Times New Roman" w:hAnsi="Times New Roman" w:eastAsia="Times New Roman"/>
        </w:rPr>
        <w:t>Cette phase d'observation a également permis de se familiariser avec le parc informatique et avec les principaux besoins des agents. Elle a montré qu'une intervention technique ne se limite pas à résoudre un incident. Il faut écouter l'utilisateur, reformuler le problème, vérifier l'environnement, appliquer une solution prudente et s'assurer que le poste reste opérationnel. Cette approche a préparé la suite du stage, notamment l'analyse du processus de réclamation.</w:t>
      </w:r>
    </w:p>
    <w:p>
      <w:pPr>
        <w:pStyle w:val="SubPoint"/>
      </w:pPr>
      <w:r>
        <w:rPr>
          <w:rFonts w:ascii="Times New Roman" w:hAnsi="Times New Roman" w:eastAsia="Times New Roman"/>
          <w:b/>
        </w:rPr>
        <w:t>2.2.2. Missions confiées</w:t>
      </w:r>
    </w:p>
    <w:p>
      <w:pPr>
        <w:widowControl/>
      </w:pPr>
      <w:r>
        <w:rPr>
          <w:rFonts w:ascii="Times New Roman" w:hAnsi="Times New Roman" w:eastAsia="Times New Roman"/>
        </w:rPr>
        <w:t>Parmi les premières missions confiées figurait la participation au déploiement d'ordinateurs sur les postes de travail. Cette activité comprenait la préparation du matériel, la vérification des branchements et des périphériques, l'installation ou le contrôle des logiciels de base, la configuration utile à l'utilisateur et les tests de bon fonctionnement. Elle exigeait méthode et attention, car chaque poste devait être utilisable sans perturber l'activité du service concerné.</w:t>
      </w:r>
    </w:p>
    <w:p>
      <w:pPr>
        <w:widowControl/>
      </w:pPr>
      <w:r>
        <w:rPr>
          <w:rFonts w:ascii="Times New Roman" w:hAnsi="Times New Roman" w:eastAsia="Times New Roman"/>
        </w:rPr>
        <w:t>La participation à ce déploiement a permis de mieux comprendre l'importance de la standardisation. Une configuration homogène facilite la maintenance, limite les incompatibilités et réduit le temps de diagnostic. L'activité a aussi mis en évidence la nécessité de vérifier les droits d'accès, les mises à jour, la protection du poste et la connexion aux ressources partagées avant la remise à l'utilisateur.</w:t>
      </w:r>
    </w:p>
    <w:p>
      <w:pPr>
        <w:widowControl/>
      </w:pPr>
      <w:r>
        <w:rPr>
          <w:rFonts w:ascii="Times New Roman" w:hAnsi="Times New Roman" w:eastAsia="Times New Roman"/>
        </w:rPr>
        <w:t>Une seconde mission a porté sur la rédaction de comptes rendus de réunion, ou procès-verbaux. Il fallait identifier les participants, résumer les points discutés, distinguer les décisions des simples échanges et préciser, lorsque cela était possible, les actions à mener. Cet exercice a renforcé notre capacité de synthèse. Il a également montré que la documentation constitue un outil de coordination : un compte rendu clair permet de conserver la mémoire des décisions et de suivre leur exécution.</w:t>
      </w:r>
    </w:p>
    <w:p>
      <w:pPr>
        <w:pStyle w:val="SubPoint"/>
      </w:pPr>
      <w:r>
        <w:rPr>
          <w:rFonts w:ascii="Times New Roman" w:hAnsi="Times New Roman" w:eastAsia="Times New Roman"/>
          <w:b/>
        </w:rPr>
        <w:t>2.2.3. Participation au projet de digitalisation des réclamations</w:t>
      </w:r>
    </w:p>
    <w:p>
      <w:pPr>
        <w:widowControl/>
      </w:pPr>
      <w:r>
        <w:rPr>
          <w:rFonts w:ascii="Times New Roman" w:hAnsi="Times New Roman" w:eastAsia="Times New Roman"/>
        </w:rPr>
        <w:t>La mission principale du stage a été la participation à un projet de digitalisation du traitement des réclamations. Le besoin partait d'un constat simple : lorsqu'une réclamation est reçue par plusieurs canaux et suivie au moyen d'outils dispersés, il devient difficile de connaître son statut, son responsable, son délai de traitement et la réponse effectivement transmise. Le projet visait donc à centraliser les demandes dans une application unique.</w:t>
      </w:r>
    </w:p>
    <w:p>
      <w:pPr>
        <w:widowControl/>
      </w:pPr>
      <w:r>
        <w:rPr>
          <w:rFonts w:ascii="Times New Roman" w:hAnsi="Times New Roman" w:eastAsia="Times New Roman"/>
        </w:rPr>
        <w:t>Le parcours retenu commence par un formulaire public. Après validation, la réclamation reçoit un numéro de suivi et devient visible par l'accueil. Elle est ensuite affectée à une direction et à un service, puis à un agent par le chef de service. L'agent consulte le dossier, prépare la réponse et peut joindre des documents. La clôture n'est enregistrée qu'après confirmation de l'envoi de la réponse à l'usager. À chaque étape, une trace est ajoutée à l'historique.</w:t>
      </w:r>
    </w:p>
    <w:p>
      <w:pPr>
        <w:widowControl/>
      </w:pPr>
      <w:r>
        <w:rPr>
          <w:rFonts w:ascii="Times New Roman" w:hAnsi="Times New Roman" w:eastAsia="Times New Roman"/>
        </w:rPr>
        <w:t>L'intérêt de cette digitalisation est multiple : réduction des pertes d'information, clarification des responsabilités, consultation d'un historique commun, suivi des délais, production d'indicateurs et possibilité d'exporter les données. Le projet ne consiste donc pas seulement à remplacer un support papier ou un tableau manuel ; il formalise un véritable circuit de traitement et crée les conditions d'un pilotage fondé sur des données fiables.</w:t>
      </w:r>
    </w:p>
    <w:p>
      <w:pPr>
        <w:pStyle w:val="SubPoint"/>
      </w:pPr>
      <w:r>
        <w:rPr>
          <w:rFonts w:ascii="Times New Roman" w:hAnsi="Times New Roman" w:eastAsia="Times New Roman"/>
          <w:b/>
        </w:rPr>
        <w:t>2.2.4. Activités d'analyse et de conception</w:t>
      </w:r>
    </w:p>
    <w:p>
      <w:pPr>
        <w:widowControl/>
      </w:pPr>
      <w:r>
        <w:rPr>
          <w:rFonts w:ascii="Times New Roman" w:hAnsi="Times New Roman" w:eastAsia="Times New Roman"/>
        </w:rPr>
        <w:t>La phase d'analyse a consisté à identifier les acteurs, leurs responsabilités et les informations nécessaires au traitement. Les principaux profils retenus sont l'usager, l'agent d'accueil, le chef de service, l'agent traitant, le chef de direction, le contrôle interne et qualité, la Direction Générale et l'administrateur. Cette distinction a permis de définir les écrans, les actions autorisées et les périmètres de consultation.</w:t>
      </w:r>
    </w:p>
    <w:p>
      <w:pPr>
        <w:widowControl/>
      </w:pPr>
      <w:r>
        <w:rPr>
          <w:rFonts w:ascii="Times New Roman" w:hAnsi="Times New Roman" w:eastAsia="Times New Roman"/>
        </w:rPr>
        <w:t>Le processus a ensuite été découpé en statuts : réclamation reçue, affectée à un service, affectée à un agent, réponse prête et clôturée. Ce découpage apporte une lecture commune du dossier. Il permet également de déterminer les transitions autorisées et d'empêcher, par exemple, qu'un agent traite une demande qui ne lui est pas affectée ou qu'une réclamation soit déclarée clôturée avant l'envoi effectif de la réponse.</w:t>
      </w:r>
    </w:p>
    <w:p>
      <w:pPr>
        <w:widowControl/>
      </w:pPr>
      <w:r>
        <w:rPr>
          <w:rFonts w:ascii="Times New Roman" w:hAnsi="Times New Roman" w:eastAsia="Times New Roman"/>
        </w:rPr>
        <w:t>La conception des données a retenu des entités pour les usagers, les demandes, les affectations, les réponses, les pièces jointes, les utilisateurs internes, les rôles, les permissions, les directions, les services, les notifications et l'historique des actions. Des éléments spécifiques ont été prévus pour le suivi des délais : configuration du délai de service, jours ouvrés, jours fériés et alertes. Cette modélisation favorise la cohérence des données et la production de statistiques.</w:t>
      </w:r>
    </w:p>
    <w:p>
      <w:pPr>
        <w:widowControl/>
      </w:pPr>
      <w:r>
        <w:rPr>
          <w:rFonts w:ascii="Times New Roman" w:hAnsi="Times New Roman" w:eastAsia="Times New Roman"/>
        </w:rPr>
        <w:t>L'analyse a enfin intégré des exigences non fonctionnelles : confidentialité, contrôle des accès, validation des fichiers, sécurité des pièces jointes, protection contre les soumissions abusives, journalisation et simplicité d'utilisation. Cette étape a été déterminante, car elle a évité de réduire le projet à une succession d'écrans. Elle a relié les choix techniques aux besoins réels de l'Agence.</w:t>
      </w:r>
    </w:p>
    <w:p>
      <w:pPr>
        <w:pStyle w:val="SubPoint"/>
      </w:pPr>
      <w:r>
        <w:rPr>
          <w:rFonts w:ascii="Times New Roman" w:hAnsi="Times New Roman" w:eastAsia="Times New Roman"/>
          <w:b/>
        </w:rPr>
        <w:t>2.2.5. Activités de développement</w:t>
      </w:r>
    </w:p>
    <w:p>
      <w:pPr>
        <w:widowControl/>
      </w:pPr>
      <w:r>
        <w:rPr>
          <w:rFonts w:ascii="Times New Roman" w:hAnsi="Times New Roman" w:eastAsia="Times New Roman"/>
        </w:rPr>
        <w:t>L'application a été développée avec PHP 8.2 et le framework Laravel 12. L'interface s'appuie sur Blade, Tailwind CSS et Vite. Le projet utilise une base de données relationnelle gérée au moyen de migrations et de modèles Laravel. Cette architecture permet de séparer les routes, les contrôleurs, les services métier, les modèles de données et les vues, ce qui facilite la maintenance et les tests.</w:t>
      </w:r>
    </w:p>
    <w:p>
      <w:pPr>
        <w:widowControl/>
      </w:pPr>
      <w:r>
        <w:rPr>
          <w:rFonts w:ascii="Times New Roman" w:hAnsi="Times New Roman" w:eastAsia="Times New Roman"/>
        </w:rPr>
        <w:t>Le développement a porté sur le formulaire public de réclamation, l'authentification des agents et les espaces adaptés aux rôles. Un écran d'accueil permet de qualifier et d'affecter les nouvelles demandes. Le chef de service dispose d'un espace pour désigner un agent, tandis que l'agent traitant peut consulter les informations, rédiger une réponse et joindre des documents. Des espaces de supervision sont prévus pour les responsables de direction, le contrôle interne et la Direction Générale.</w:t>
      </w:r>
    </w:p>
    <w:p>
      <w:pPr>
        <w:widowControl/>
      </w:pPr>
      <w:r>
        <w:rPr>
          <w:rFonts w:ascii="Times New Roman" w:hAnsi="Times New Roman" w:eastAsia="Times New Roman"/>
        </w:rPr>
        <w:t>Une attention particulière a été accordée au workflow. Les changements de statut, les affectations et les réponses sont centralisés dans des services métier afin d'éviter des traitements divergents. Le système enregistre l'auteur et la date des principales actions. Les réponses sont envoyées par courrier électronique au moyen d'une file de tâches ; la réclamation n'est clôturée qu'après confirmation de l'envoi, ce qui évite de considérer comme traité un dossier dont le message n'aurait pas été transmis.</w:t>
      </w:r>
    </w:p>
    <w:p>
      <w:pPr>
        <w:widowControl/>
      </w:pPr>
      <w:r>
        <w:rPr>
          <w:rFonts w:ascii="Times New Roman" w:hAnsi="Times New Roman" w:eastAsia="Times New Roman"/>
        </w:rPr>
        <w:t>Le projet comprend également un tableau de bord de pilotage. Celui-ci présente les volumes reçus, ouverts et clôturés, les dossiers à risque ou en retard, les performances par direction, service ou agent et l'évolution de l'activité. Des exports PDF et Excel facilitent la production des états de suivi. Enfin, un espace d'administration permet de gérer les utilisateurs, les rôles, les permissions, les directions, les services et certains paramètres de délai.</w:t>
      </w:r>
    </w:p>
    <w:p>
      <w:pPr>
        <w:pStyle w:val="SubPoint"/>
      </w:pPr>
      <w:r>
        <w:rPr>
          <w:rFonts w:ascii="Times New Roman" w:hAnsi="Times New Roman" w:eastAsia="Times New Roman"/>
          <w:b/>
        </w:rPr>
        <w:t xml:space="preserve"> 2.2.6. Tests et corrections</w:t>
      </w:r>
    </w:p>
    <w:p>
      <w:pPr>
        <w:widowControl/>
      </w:pPr>
      <w:r>
        <w:rPr>
          <w:rFonts w:ascii="Times New Roman" w:hAnsi="Times New Roman" w:eastAsia="Times New Roman"/>
        </w:rPr>
        <w:t>Les tests ont accompagné le développement afin de vérifier le comportement de l'application et la cohérence du circuit de traitement. Ils ont porté notamment sur la soumission publique, l'authentification, les permissions, l'affectation aux services et aux agents, l'envoi des réponses, les règles de délai et la cohérence de la base de données. Des scénarios fonctionnels ont permis de suivre une réclamation depuis sa création jusqu'à sa clôture.</w:t>
      </w:r>
    </w:p>
    <w:p>
      <w:pPr>
        <w:widowControl/>
      </w:pPr>
      <w:r>
        <w:rPr>
          <w:rFonts w:ascii="Times New Roman" w:hAnsi="Times New Roman" w:eastAsia="Times New Roman"/>
        </w:rPr>
        <w:t>Les corrections ont concerné aussi bien la logique métier que l'ergonomie. Lorsqu'un test révélait une transition incorrecte, une donnée manquante ou un accès trop large, il fallait rechercher l'origine du problème, reproduire le cas, modifier le code puis exécuter de nouveau les vérifications. Cette démarche itérative a renforcé la stabilité du workflow et la maîtrise des règles d'accès.</w:t>
      </w:r>
    </w:p>
    <w:p>
      <w:pPr>
        <w:widowControl/>
      </w:pPr>
      <w:r>
        <w:rPr>
          <w:rFonts w:ascii="Times New Roman" w:hAnsi="Times New Roman" w:eastAsia="Times New Roman"/>
        </w:rPr>
        <w:t>Une analyse critique montre toutefois que les tests automatisés ne remplacent pas les essais avec des utilisateurs représentatifs. Les agents peuvent interpréter différemment un libellé ou rencontrer une difficulté que le développeur n'avait pas anticipée. La validation doit donc associer tests techniques, scénarios métier et retours des futurs utilisateurs.</w:t>
      </w:r>
    </w:p>
    <w:p>
      <w:pPr>
        <w:pStyle w:val="SubPoint"/>
      </w:pPr>
      <w:r>
        <w:rPr>
          <w:rFonts w:ascii="Times New Roman" w:hAnsi="Times New Roman" w:eastAsia="Times New Roman"/>
          <w:b/>
        </w:rPr>
        <w:t>2.2.7. Participation au déploiement de l'application</w:t>
      </w:r>
    </w:p>
    <w:p>
      <w:pPr>
        <w:widowControl/>
      </w:pPr>
      <w:r>
        <w:rPr>
          <w:rFonts w:ascii="Times New Roman" w:hAnsi="Times New Roman" w:eastAsia="Times New Roman"/>
        </w:rPr>
        <w:t>La participation au déploiement a consisté à préparer les conditions nécessaires à l'exécution de l'application dans un environnement distinct du poste de développement. Cette préparation comprend la configuration des variables d'environnement, la création de la clé applicative, la connexion à la base de données, l'exécution des migrations et des données de référence, la construction des ressources frontales et la vérification des droits d'écriture indispensables au fonctionnement.</w:t>
      </w:r>
    </w:p>
    <w:p>
      <w:pPr>
        <w:widowControl/>
      </w:pPr>
      <w:r>
        <w:rPr>
          <w:rFonts w:ascii="Times New Roman" w:hAnsi="Times New Roman" w:eastAsia="Times New Roman"/>
        </w:rPr>
        <w:t>Le système d'envoi de courriers électroniques nécessite également une configuration fiable ainsi que l'exécution du processus chargé de traiter la file d'attente. Avant toute mise à disposition, il est nécessaire de vérifier les comptes utilisateurs, les rôles, les paramètres de délai, les jours ouvrés, les sauvegardes et les journaux d'erreur. Une procédure de retour arrière et une sauvegarde de la base doivent être prévues afin de limiter l'impact d'un incident.</w:t>
      </w:r>
    </w:p>
    <w:p>
      <w:pPr>
        <w:widowControl/>
      </w:pPr>
      <w:r>
        <w:rPr>
          <w:rFonts w:ascii="Times New Roman" w:hAnsi="Times New Roman" w:eastAsia="Times New Roman"/>
        </w:rPr>
        <w:t>Cette activité a montré que le déploiement n'est pas une simple copie de fichiers. Il s'agit d'une étape organisée qui associe préparation technique, contrôle de sécurité, validation fonctionnelle, documentation et accompagnement des utilisateurs. La réussite dépend autant de la qualité du code que de la maîtrise de l'environnement d'exploitation.</w:t>
      </w:r>
    </w:p>
    <w:p>
      <w:pPr>
        <w:pStyle w:val="SubPoint"/>
      </w:pPr>
      <w:r>
        <w:rPr>
          <w:rFonts w:ascii="Times New Roman" w:hAnsi="Times New Roman" w:eastAsia="Times New Roman"/>
          <w:b/>
        </w:rPr>
        <w:t>2.2.8. Difficultés rencontrées au cours du stage</w:t>
      </w:r>
    </w:p>
    <w:p>
      <w:pPr>
        <w:widowControl/>
      </w:pPr>
      <w:r>
        <w:rPr>
          <w:rFonts w:ascii="Times New Roman" w:hAnsi="Times New Roman" w:eastAsia="Times New Roman"/>
        </w:rPr>
        <w:t>La première difficulté a été la compréhension d'un processus impliquant plusieurs services. Les responsabilités ne se traduisent pas toujours immédiatement en règles applicatives. Il a fallu distinguer ce qui relève de l'accueil, du chef de service, de l'agent, du contrôle interne ou de l'administration, puis formaliser les cas particuliers, notamment les mauvaises affectations et les réponses directes.</w:t>
      </w:r>
    </w:p>
    <w:p>
      <w:pPr>
        <w:widowControl/>
      </w:pPr>
      <w:r>
        <w:rPr>
          <w:rFonts w:ascii="Times New Roman" w:hAnsi="Times New Roman" w:eastAsia="Times New Roman"/>
        </w:rPr>
        <w:t>La deuxième difficulté a concerné la gestion des droits. Un utilisateur peut cumuler plusieurs rôles tout en restant limité à une direction ou à un service. La solution devait donc combiner rôles, permissions et périmètres. Cet aspect exige une grande rigueur, car une erreur peut soit bloquer un agent dans son travail, soit exposer des informations à une personne non autorisée.</w:t>
      </w:r>
    </w:p>
    <w:p>
      <w:pPr>
        <w:widowControl/>
      </w:pPr>
      <w:r>
        <w:rPr>
          <w:rFonts w:ascii="Times New Roman" w:hAnsi="Times New Roman" w:eastAsia="Times New Roman"/>
        </w:rPr>
        <w:t>La troisième difficulté a porté sur les délais et les notifications. Le calcul en heures ouvrées doit tenir compte des horaires de service, des week-ends et des jours fériés. De même, la clôture dépend de l'envoi réel de la réponse, et non du simple clic de l'agent. Ces contraintes ont nécessité une logique plus précise qu'un calcul fondé sur le temps calendaire.</w:t>
      </w:r>
    </w:p>
    <w:p>
      <w:pPr>
        <w:widowControl/>
      </w:pPr>
      <w:r>
        <w:rPr>
          <w:rFonts w:ascii="Times New Roman" w:hAnsi="Times New Roman" w:eastAsia="Times New Roman"/>
        </w:rPr>
        <w:t>Enfin, l'évolution des besoins a imposé des ajustements successifs du modèle de données et des écrans. Cette situation a constitué une difficulté, mais aussi un apprentissage : un projet informatique institutionnel progresse par échanges, validations et corrections. La documentation et les tests de non-régression deviennent alors essentiels pour préserver la cohérence de l'ensemble.</w:t>
      </w:r>
    </w:p>
    <w:p>
      <w:pPr>
        <w:pStyle w:val="SubPoint"/>
      </w:pPr>
      <w:r>
        <w:rPr>
          <w:rFonts w:ascii="Times New Roman" w:hAnsi="Times New Roman" w:eastAsia="Times New Roman"/>
          <w:b/>
        </w:rPr>
        <w:t>2.2.9. Compétences acquises</w:t>
      </w:r>
    </w:p>
    <w:p>
      <w:pPr>
        <w:widowControl/>
      </w:pPr>
      <w:r>
        <w:rPr>
          <w:rFonts w:ascii="Times New Roman" w:hAnsi="Times New Roman" w:eastAsia="Times New Roman"/>
        </w:rPr>
        <w:t>Le stage a permis d'acquérir des compétences techniques en installation de postes, diagnostic, configuration d'un environnement de travail et compréhension d'un réseau d'entreprise. Sur le plan du développement, il a renforcé la maîtrise de Laravel, de la modélisation relationnelle, des migrations, des contrôleurs, des services métier, des vues et des mécanismes d'authentification et d'autorisation.</w:t>
      </w:r>
    </w:p>
    <w:p>
      <w:pPr>
        <w:widowControl/>
      </w:pPr>
      <w:r>
        <w:rPr>
          <w:rFonts w:ascii="Times New Roman" w:hAnsi="Times New Roman" w:eastAsia="Times New Roman"/>
        </w:rPr>
        <w:t>Le projet a également développé des compétences méthodologiques : analyse d'un besoin, identification des acteurs, formalisation d'un workflow, rédaction de règles de gestion, conception d'une base de données, préparation de scénarios de test et documentation. La rédaction de comptes rendus a amélioré la capacité à synthétiser une réunion et à transformer les décisions en actions compréhensibles.</w:t>
      </w:r>
    </w:p>
    <w:p>
      <w:pPr>
        <w:widowControl/>
      </w:pPr>
      <w:r>
        <w:rPr>
          <w:rFonts w:ascii="Times New Roman" w:hAnsi="Times New Roman" w:eastAsia="Times New Roman"/>
        </w:rPr>
        <w:t>Enfin, le stage a consolidé des qualités professionnelles indispensables : écoute, discrétion, respect des procédures, travail en équipe, autonomie progressive et gestion des priorités. Il a surtout montré qu'une solution informatique utile doit être conçue à partir des réalités du métier. La technique apporte de la valeur lorsqu'elle simplifie le travail, sécurise l'information et améliore le service rendu aux usagers.</w:t>
      </w:r>
    </w:p>
    <w:p>
      <w:pPr>
        <w:pStyle w:val="SectionTitle"/>
      </w:pPr>
      <w:r>
        <w:rPr>
          <w:rFonts w:ascii="Times New Roman" w:hAnsi="Times New Roman" w:eastAsia="Times New Roman"/>
          <w:b/>
        </w:rPr>
        <w:t>Conclusion du chapitre 2</w:t>
      </w:r>
    </w:p>
    <w:p>
      <w:pPr>
        <w:widowControl/>
      </w:pPr>
      <w:r>
        <w:rPr>
          <w:rFonts w:ascii="Times New Roman" w:hAnsi="Times New Roman" w:eastAsia="Times New Roman"/>
        </w:rPr>
        <w:t>L'intégration au SIRS a offert une vision concrète du fonctionnement informatique d'une institution publique. Les missions de déploiement de postes et de rédaction de comptes rendus ont permis d'acquérir des repères opérationnels et organisationnels. La participation au projet de digitalisation des réclamations a ensuite mobilisé des compétences d'analyse, de conception, de développement, de test et de préparation au déploiement. Au-delà de la réalisation technique, cette expérience a mis en évidence l'importance de la traçabilité, de la sécurité, de la coordination entre services et de l'accompagnement des utilisateurs.</w:t>
      </w:r>
    </w:p>
    <w:p>
      <w:pPr>
        <w:pStyle w:val="PartTitle"/>
        <w:pageBreakBefore/>
      </w:pPr>
      <w:r>
        <w:rPr>
          <w:rFonts w:ascii="Times New Roman" w:hAnsi="Times New Roman" w:eastAsia="Times New Roman"/>
          <w:b/>
        </w:rPr>
        <w:t>Conclusion de la première partie</w:t>
      </w:r>
    </w:p>
    <w:p>
      <w:pPr>
        <w:widowControl/>
      </w:pPr>
      <w:r>
        <w:rPr>
          <w:rFonts w:ascii="Times New Roman" w:hAnsi="Times New Roman" w:eastAsia="Times New Roman"/>
        </w:rPr>
        <w:t>Cette première partie a permis de présenter l'ANBG comme une institution chargée de mettre en œuvre la politique de l'État en matière de bourses d'études, au moyen d'une organisation qui associe gouvernance, instruction technique, gestion financière et suivi des bénéficiaires. Elle a également situé le rôle transversal du SIRS dans le maintien et la modernisation du système d'information.</w:t>
      </w:r>
    </w:p>
    <w:p>
      <w:pPr>
        <w:widowControl/>
      </w:pPr>
      <w:r>
        <w:rPr>
          <w:rFonts w:ascii="Times New Roman" w:hAnsi="Times New Roman" w:eastAsia="Times New Roman"/>
        </w:rPr>
        <w:t>Le déroulement du stage montre une progression depuis la découverte de l'environnement professionnel jusqu'à la participation à un projet applicatif structurant. Les activités réalisées ont révélé les limites d'un suivi dispersé des réclamations et l'intérêt d'une solution centralisée. Ces constats constituent la transition vers la deuxième partie du rapport, consacrée à l'étude détaillée du besoin et à la mise en œuvre de la solution de gestion des réclamations.</w:t>
      </w:r>
    </w:p>
    <w:p>
      <w:pPr>
        <w:pStyle w:val="SectionTitle"/>
      </w:pPr>
      <w:r>
        <w:rPr>
          <w:rFonts w:ascii="Times New Roman" w:hAnsi="Times New Roman" w:eastAsia="Times New Roman"/>
          <w:b/>
        </w:rPr>
        <w:t>Sources documentaires</w:t>
      </w:r>
    </w:p>
    <w:p>
      <w:pPr>
        <w:pStyle w:val="SourceEntry"/>
      </w:pPr>
      <w:r>
        <w:rPr>
          <w:rFonts w:ascii="Times New Roman" w:hAnsi="Times New Roman" w:eastAsia="Times New Roman"/>
        </w:rPr>
        <w:t>[1] République gabonaise, Décret n°0003/PR/MESRSTTENFC du 11 janvier 2021 portant réorganisation de l'Agence Nationale des Bourses du Gabon, Journal officiel n°99, 16 au 23 janvier 2021, document fourni avec le plan du rapport.</w:t>
      </w:r>
    </w:p>
    <w:p>
      <w:pPr>
        <w:pStyle w:val="SourceEntry"/>
      </w:pPr>
      <w:r>
        <w:rPr>
          <w:rFonts w:ascii="Times New Roman" w:hAnsi="Times New Roman" w:eastAsia="Times New Roman"/>
        </w:rPr>
        <w:t xml:space="preserve">[2] Agence Nationale des Bourses du Gabon, « Nos missions », consulté le 26 août 2026 : </w:t>
      </w:r>
      <w:hyperlink r:id="rId8">
        <w:r>
          <w:rPr>
            <w:rFonts w:ascii="Times New Roman" w:hAnsi="Times New Roman"/>
            <w:color w:val="1F4E79"/>
            <w:u w:val="single"/>
            <w:sz w:val="20"/>
          </w:rPr>
          <w:t>Site officiel de l'ANBG - Nos missions</w:t>
        </w:r>
      </w:hyperlink>
    </w:p>
    <w:p>
      <w:pPr>
        <w:pStyle w:val="SourceEntry"/>
      </w:pPr>
      <w:r>
        <w:rPr>
          <w:rFonts w:ascii="Times New Roman" w:hAnsi="Times New Roman" w:eastAsia="Times New Roman"/>
        </w:rPr>
        <w:t xml:space="preserve">[3] Agence Nationale des Bourses du Gabon, « Contacts » et « La Direction Générale », consultés le 26 août 2026 : </w:t>
      </w:r>
      <w:hyperlink r:id="rId9">
        <w:r>
          <w:rPr>
            <w:rFonts w:ascii="Times New Roman" w:hAnsi="Times New Roman"/>
            <w:color w:val="1F4E79"/>
            <w:u w:val="single"/>
            <w:sz w:val="20"/>
          </w:rPr>
          <w:t>Site officiel de l'ANBG - Contacts</w:t>
        </w:r>
      </w:hyperlink>
      <w:r>
        <w:rPr>
          <w:rFonts w:ascii="Times New Roman" w:hAnsi="Times New Roman" w:eastAsia="Times New Roman"/>
        </w:rPr>
        <w:t xml:space="preserve"> ; </w:t>
      </w:r>
      <w:hyperlink r:id="rId10">
        <w:r>
          <w:rPr>
            <w:rFonts w:ascii="Times New Roman" w:hAnsi="Times New Roman"/>
            <w:color w:val="1F4E79"/>
            <w:u w:val="single"/>
            <w:sz w:val="20"/>
          </w:rPr>
          <w:t>Direction générale de l'ANBG</w:t>
        </w:r>
      </w:hyperlink>
    </w:p>
    <w:p>
      <w:pPr>
        <w:pStyle w:val="SourceEntry"/>
      </w:pPr>
      <w:r>
        <w:rPr>
          <w:rFonts w:ascii="Times New Roman" w:hAnsi="Times New Roman" w:eastAsia="Times New Roman"/>
        </w:rPr>
        <w:t>[4] Documentation technique locale du projet « Suivi des réclamations ANBG » : synthèse fonctionnelle, modèle de données, routes applicatives et dépendances du dépôt de travail.</w:t>
      </w:r>
    </w:p>
    <w:sectPr w:rsidR="00813BB0" w:rsidRPr="00B92E97"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84546024">
    <w:abstractNumId w:val="8"/>
  </w:num>
  <w:num w:numId="2" w16cid:durableId="869494347">
    <w:abstractNumId w:val="6"/>
  </w:num>
  <w:num w:numId="3" w16cid:durableId="1010647759">
    <w:abstractNumId w:val="5"/>
  </w:num>
  <w:num w:numId="4" w16cid:durableId="544145587">
    <w:abstractNumId w:val="4"/>
  </w:num>
  <w:num w:numId="5" w16cid:durableId="862864032">
    <w:abstractNumId w:val="7"/>
  </w:num>
  <w:num w:numId="6" w16cid:durableId="1413159388">
    <w:abstractNumId w:val="3"/>
  </w:num>
  <w:num w:numId="7" w16cid:durableId="1198817077">
    <w:abstractNumId w:val="2"/>
  </w:num>
  <w:num w:numId="8" w16cid:durableId="1493255067">
    <w:abstractNumId w:val="1"/>
  </w:num>
  <w:num w:numId="9" w16cid:durableId="3828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3C"/>
    <w:rsid w:val="000F1639"/>
    <w:rsid w:val="0015074B"/>
    <w:rsid w:val="001E1C10"/>
    <w:rsid w:val="0029639D"/>
    <w:rsid w:val="002D7C72"/>
    <w:rsid w:val="00326F90"/>
    <w:rsid w:val="004035DB"/>
    <w:rsid w:val="004237A7"/>
    <w:rsid w:val="0051270D"/>
    <w:rsid w:val="0059493C"/>
    <w:rsid w:val="006539FD"/>
    <w:rsid w:val="007D2CE3"/>
    <w:rsid w:val="00813BB0"/>
    <w:rsid w:val="00840346"/>
    <w:rsid w:val="00AA1D8D"/>
    <w:rsid w:val="00B23CE2"/>
    <w:rsid w:val="00B47730"/>
    <w:rsid w:val="00B92E97"/>
    <w:rsid w:val="00CB0664"/>
    <w:rsid w:val="00CE2F60"/>
    <w:rsid w:val="00DE347F"/>
    <w:rsid w:val="00FC693F"/>
    <w:rsid w:val="00FD2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11112"/>
  <w14:defaultImageDpi w14:val="300"/>
  <w15:docId w15:val="{C7C19996-0B68-42C4-973A-5F6601EF64B1}"/>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504"/>
      <w:jc w:val="both"/>
    </w:pPr>
    <w:rPr>
      <w:rFonts w:ascii="Times New Roman" w:hAnsi="Times New Roman"/>
      <w:sz w:val="23"/>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40" w:line="276" w:lineRule="auto"/>
      <w:contextualSpacing/>
    </w:pPr>
    <w:rPr>
      <w:rFonts w:ascii="Times New Roman" w:hAnsi="Times New Roman"/>
      <w:sz w:val="23"/>
    </w:r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40" w:line="276" w:lineRule="auto"/>
      <w:contextualSpacing/>
    </w:pPr>
    <w:rPr>
      <w:rFonts w:ascii="Times New Roman" w:hAnsi="Times New Roman"/>
      <w:sz w:val="23"/>
    </w:r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keepNext/>
      <w:spacing w:after="240" w:line="252" w:lineRule="auto" w:before="0"/>
      <w:ind w:firstLine="0"/>
      <w:jc w:val="center"/>
    </w:pPr>
    <w:rPr>
      <w:rFonts w:ascii="Times New Roman" w:hAnsi="Times New Roman"/>
      <w:b/>
      <w:color w:val="000000"/>
      <w:sz w:val="30"/>
    </w:rPr>
  </w:style>
  <w:style w:type="paragraph" w:customStyle="1" w:styleId="PartTitle">
    <w:name w:val="PartTitle"/>
    <w:pPr>
      <w:keepNext/>
      <w:spacing w:before="160" w:after="200" w:line="252" w:lineRule="auto"/>
      <w:ind w:firstLine="0"/>
      <w:jc w:val="center"/>
    </w:pPr>
    <w:rPr>
      <w:rFonts w:ascii="Times New Roman" w:hAnsi="Times New Roman"/>
      <w:b/>
      <w:color w:val="000000"/>
      <w:sz w:val="27"/>
    </w:rPr>
  </w:style>
  <w:style w:type="paragraph" w:customStyle="1" w:styleId="ChapterTitle">
    <w:name w:val="ChapterTitle"/>
    <w:pPr>
      <w:keepNext/>
      <w:spacing w:before="120" w:after="160" w:line="252" w:lineRule="auto"/>
      <w:ind w:firstLine="0"/>
      <w:jc w:val="left"/>
    </w:pPr>
    <w:rPr>
      <w:rFonts w:ascii="Times New Roman" w:hAnsi="Times New Roman"/>
      <w:b/>
      <w:color w:val="000000"/>
      <w:sz w:val="26"/>
    </w:rPr>
  </w:style>
  <w:style w:type="paragraph" w:customStyle="1" w:styleId="SectionTitle">
    <w:name w:val="SectionTitle"/>
    <w:pPr>
      <w:keepNext/>
      <w:spacing w:before="160" w:after="100" w:line="252" w:lineRule="auto"/>
      <w:ind w:firstLine="0"/>
      <w:jc w:val="left"/>
    </w:pPr>
    <w:rPr>
      <w:rFonts w:ascii="Times New Roman" w:hAnsi="Times New Roman"/>
      <w:b/>
      <w:color w:val="000000"/>
      <w:sz w:val="24"/>
    </w:rPr>
  </w:style>
  <w:style w:type="paragraph" w:customStyle="1" w:styleId="SubPoint">
    <w:name w:val="SubPoint"/>
    <w:pPr>
      <w:keepNext/>
      <w:spacing w:after="60" w:line="252" w:lineRule="auto" w:before="120"/>
      <w:ind w:left="312" w:firstLine="0"/>
      <w:jc w:val="left"/>
    </w:pPr>
    <w:rPr>
      <w:rFonts w:ascii="Times New Roman" w:hAnsi="Times New Roman"/>
      <w:b/>
      <w:color w:val="000000"/>
      <w:sz w:val="23"/>
    </w:rPr>
  </w:style>
  <w:style w:type="paragraph" w:customStyle="1" w:styleId="LeadParagraph">
    <w:name w:val="LeadParagraph"/>
    <w:pPr>
      <w:spacing w:before="80" w:after="160" w:line="288" w:lineRule="auto"/>
      <w:ind w:left="360" w:right="360" w:firstLine="0"/>
      <w:jc w:val="both"/>
    </w:pPr>
    <w:rPr>
      <w:rFonts w:ascii="Times New Roman" w:hAnsi="Times New Roman"/>
      <w:i/>
      <w:sz w:val="23"/>
    </w:rPr>
  </w:style>
  <w:style w:type="paragraph" w:customStyle="1" w:styleId="SourceEntry">
    <w:name w:val="SourceEntry"/>
    <w:pPr>
      <w:spacing w:after="80" w:line="240" w:lineRule="auto"/>
      <w:ind w:left="360" w:hanging="360"/>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anbg-ga.com/nos-missions/" TargetMode="External"/><Relationship Id="rId9" Type="http://schemas.openxmlformats.org/officeDocument/2006/relationships/hyperlink" Target="https://www.anbg-ga.com/contacts/" TargetMode="External"/><Relationship Id="rId10" Type="http://schemas.openxmlformats.org/officeDocument/2006/relationships/hyperlink" Target="https://www.anbg-ga.com/la-direction-gener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471</Words>
  <Characters>2596</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Première partie du rapport de stage - ANBG</dc:title>
  <dc:subject>Cadre institutionnel et déroulement du stage</dc:subject>
  <dc:creator/>
  <cp:keywords/>
  <dc:description>Rédaction développée à partir du plan, du décret n°0003 et de la documentation du projet.</dc:description>
  <cp:lastModifiedBy>bruslain Bebona</cp:lastModifiedBy>
  <cp:revision>13</cp:revision>
  <dcterms:created xsi:type="dcterms:W3CDTF">2013-12-23T23:15:00Z</dcterms:created>
  <dcterms:modified xsi:type="dcterms:W3CDTF">2026-08-26T15:52:00Z</dcterms:modified>
  <cp:category/>
</cp:coreProperties>
</file>