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C7150C">
      <w:pPr>
        <w:spacing w:after="600"/>
      </w:pPr>
      <w:bookmarkStart w:id="0" w:name="_GoBack"/>
      <w:bookmarkEnd w:id="0"/>
    </w:p>
    <w:p w14:paraId="201A8DAD">
      <w:pPr>
        <w:spacing w:after="520"/>
        <w:jc w:val="center"/>
      </w:pPr>
      <w:r>
        <w:drawing>
          <wp:inline distT="0" distB="0" distL="114300" distR="114300">
            <wp:extent cx="1511935" cy="1167765"/>
            <wp:effectExtent l="0" t="0" r="12065" b="0"/>
            <wp:docPr id="1" name="Picture 1" descr="Logo de l'Agence Nationale des Bourses du Ga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de l'Agence Nationale des Bourses du Gabon"/>
                    <pic:cNvPicPr>
                      <a:picLocks noChangeAspect="1"/>
                    </pic:cNvPicPr>
                  </pic:nvPicPr>
                  <pic:blipFill>
                    <a:blip r:embed="rId7"/>
                    <a:stretch>
                      <a:fillRect/>
                    </a:stretch>
                  </pic:blipFill>
                  <pic:spPr>
                    <a:xfrm>
                      <a:off x="0" y="0"/>
                      <a:ext cx="1512000" cy="1168364"/>
                    </a:xfrm>
                    <a:prstGeom prst="rect">
                      <a:avLst/>
                    </a:prstGeom>
                  </pic:spPr>
                </pic:pic>
              </a:graphicData>
            </a:graphic>
          </wp:inline>
        </w:drawing>
      </w:r>
    </w:p>
    <w:p w14:paraId="42C3839B">
      <w:pPr>
        <w:spacing w:after="120"/>
        <w:jc w:val="center"/>
      </w:pPr>
      <w:r>
        <w:rPr>
          <w:rFonts w:ascii="Calibri" w:hAnsi="Calibri"/>
          <w:b/>
          <w:i w:val="0"/>
          <w:color w:val="1C203D"/>
          <w:sz w:val="54"/>
        </w:rPr>
        <w:t>RÉSUMÉ DE L’APPLICATION</w:t>
      </w:r>
    </w:p>
    <w:p w14:paraId="76E0E48C">
      <w:pPr>
        <w:spacing w:after="240"/>
        <w:jc w:val="center"/>
      </w:pPr>
      <w:r>
        <w:rPr>
          <w:rFonts w:ascii="Calibri" w:hAnsi="Calibri"/>
          <w:b/>
          <w:i w:val="0"/>
          <w:color w:val="3996D3"/>
          <w:sz w:val="46"/>
        </w:rPr>
        <w:t>DE GESTION DES RÉCLAMATIONS</w:t>
      </w:r>
    </w:p>
    <w:p w14:paraId="5186250E">
      <w:pPr>
        <w:spacing w:after="680"/>
        <w:jc w:val="center"/>
      </w:pPr>
      <w:r>
        <w:rPr>
          <w:rFonts w:ascii="Calibri" w:hAnsi="Calibri"/>
          <w:b w:val="0"/>
          <w:i/>
          <w:color w:val="667085"/>
          <w:sz w:val="26"/>
        </w:rPr>
        <w:t>Présentation fonctionnelle, rôles utilisateurs et architecture technique</w:t>
      </w:r>
    </w:p>
    <w:tbl>
      <w:tblPr>
        <w:tblStyle w:val="65"/>
        <w:tblW w:w="9744"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44"/>
      </w:tblGrid>
      <w:tr w14:paraId="56615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4" w:type="dxa"/>
            <w:tcBorders>
              <w:top w:val="single" w:color="3996D3" w:sz="8" w:space="0"/>
              <w:left w:val="single" w:color="3996D3" w:sz="8" w:space="0"/>
              <w:bottom w:val="single" w:color="3996D3" w:sz="8" w:space="0"/>
              <w:right w:val="single" w:color="3996D3" w:sz="8" w:space="0"/>
              <w:insideH w:val="single" w:sz="8" w:space="0"/>
              <w:insideV w:val="single" w:sz="8" w:space="0"/>
            </w:tcBorders>
            <w:shd w:val="clear" w:color="auto" w:fill="EAF4FB"/>
            <w:tcMar>
              <w:top w:w="100" w:type="dxa"/>
              <w:left w:w="120" w:type="dxa"/>
              <w:bottom w:w="100" w:type="dxa"/>
              <w:right w:w="120" w:type="dxa"/>
            </w:tcMar>
            <w:vAlign w:val="center"/>
          </w:tcPr>
          <w:p w14:paraId="7C97CA84">
            <w:pPr>
              <w:spacing w:after="0" w:line="264" w:lineRule="auto"/>
            </w:pPr>
            <w:r>
              <w:rPr>
                <w:rFonts w:ascii="Calibri" w:hAnsi="Calibri"/>
                <w:b/>
                <w:i w:val="0"/>
                <w:color w:val="3996D3"/>
                <w:sz w:val="20"/>
              </w:rPr>
              <w:t xml:space="preserve">EN UNE PHRASE  </w:t>
            </w:r>
            <w:r>
              <w:rPr>
                <w:rFonts w:ascii="Calibri" w:hAnsi="Calibri"/>
                <w:b w:val="0"/>
                <w:i w:val="0"/>
                <w:color w:val="243047"/>
                <w:sz w:val="20"/>
              </w:rPr>
              <w:t>Une plateforme web qui centralise les réclamations des usagers, organise leur affectation aux services compétents, sécurise la réponse par courriel et fournit à l’ANBG une traçabilité complète jusqu’à la clôture.</w:t>
            </w:r>
          </w:p>
        </w:tc>
      </w:tr>
    </w:tbl>
    <w:p w14:paraId="2D8D619A">
      <w:pPr>
        <w:spacing w:after="40"/>
      </w:pPr>
    </w:p>
    <w:p w14:paraId="08D84B6D">
      <w:pPr>
        <w:spacing w:before="560" w:after="80"/>
        <w:jc w:val="center"/>
      </w:pPr>
      <w:r>
        <w:rPr>
          <w:rFonts w:ascii="Calibri" w:hAnsi="Calibri"/>
          <w:b/>
          <w:i w:val="0"/>
          <w:color w:val="1C203D"/>
          <w:sz w:val="22"/>
        </w:rPr>
        <w:t>Agence Nationale des Bourses du Gabon (ANBG)</w:t>
      </w:r>
    </w:p>
    <w:p w14:paraId="383FAA93">
      <w:pPr>
        <w:jc w:val="center"/>
      </w:pPr>
      <w:r>
        <w:rPr>
          <w:rFonts w:ascii="Calibri" w:hAnsi="Calibri"/>
          <w:b w:val="0"/>
          <w:i w:val="0"/>
          <w:color w:val="667085"/>
          <w:sz w:val="19"/>
        </w:rPr>
        <w:t>Document de synthèse — Septembre 2026</w:t>
      </w:r>
    </w:p>
    <w:p w14:paraId="4E1F399A">
      <w:r>
        <w:br w:type="page"/>
      </w:r>
    </w:p>
    <w:p w14:paraId="6DDA244C">
      <w:pPr>
        <w:spacing w:after="40"/>
      </w:pPr>
      <w:r>
        <w:rPr>
          <w:rFonts w:ascii="Calibri" w:hAnsi="Calibri"/>
          <w:b/>
          <w:i w:val="0"/>
          <w:color w:val="8FC043"/>
          <w:sz w:val="17"/>
        </w:rPr>
        <w:t>01  |  CONTEXTE ET FINALITÉ</w:t>
      </w:r>
    </w:p>
    <w:p w14:paraId="08A9BF6C">
      <w:pPr>
        <w:pStyle w:val="2"/>
        <w:keepNext/>
        <w:keepLines/>
        <w:spacing w:before="280" w:after="120" w:line="240" w:lineRule="auto"/>
      </w:pPr>
      <w:r>
        <w:rPr>
          <w:rFonts w:ascii="Calibri" w:hAnsi="Calibri"/>
          <w:b/>
          <w:i w:val="0"/>
          <w:color w:val="1C203D"/>
          <w:sz w:val="32"/>
        </w:rPr>
        <w:t>Le problème auquel répond l’application</w:t>
      </w:r>
    </w:p>
    <w:p w14:paraId="12E0F2C9">
      <w:pPr>
        <w:spacing w:before="0" w:after="120" w:line="264" w:lineRule="auto"/>
        <w:jc w:val="both"/>
      </w:pPr>
      <w:r>
        <w:rPr>
          <w:rFonts w:ascii="Calibri" w:hAnsi="Calibri"/>
          <w:b w:val="0"/>
          <w:i w:val="0"/>
          <w:color w:val="243047"/>
          <w:sz w:val="21"/>
        </w:rPr>
        <w:t>Avant la mise en place de l’outil, les réclamations étaient principalement reçues par courrier électronique, puis examinées et transférées manuellement vers les directions concernées. Le suivi reposait sur des échanges dispersés et sur des tableaux bureautiques tenus séparément. Cette organisation rendait difficile la localisation d’un dossier, la connaissance de son responsable réel et l’identification des demandes restées sans réponse.</w:t>
      </w:r>
    </w:p>
    <w:p w14:paraId="5C2B477B">
      <w:pPr>
        <w:spacing w:before="0" w:after="120" w:line="264" w:lineRule="auto"/>
        <w:jc w:val="both"/>
      </w:pPr>
      <w:r>
        <w:rPr>
          <w:rFonts w:ascii="Calibri" w:hAnsi="Calibri"/>
          <w:b w:val="0"/>
          <w:i w:val="0"/>
          <w:color w:val="243047"/>
          <w:sz w:val="21"/>
        </w:rPr>
        <w:t>L’application résout ce problème en créant un point d’entrée unique et un dossier numérique pour chaque réclamation. Elle réduit les doubles saisies, formalise les responsabilités, conserve l’historique des décisions et mesure les délais à chaque étape. Les responsables disposent ainsi d’une vision actualisée de l’activité, tandis que l’usager reçoit une réponse structurée à l’adresse électronique indiquée lors du dépôt.</w:t>
      </w:r>
    </w:p>
    <w:p w14:paraId="7A105010">
      <w:pPr>
        <w:pStyle w:val="3"/>
        <w:keepNext/>
        <w:keepLines/>
        <w:spacing w:before="180" w:after="80" w:line="240" w:lineRule="auto"/>
      </w:pPr>
      <w:r>
        <w:rPr>
          <w:rFonts w:ascii="Calibri" w:hAnsi="Calibri"/>
          <w:b/>
          <w:i w:val="0"/>
          <w:color w:val="3996D3"/>
          <w:sz w:val="25"/>
        </w:rPr>
        <w:t>Objectifs opérationnels</w:t>
      </w:r>
    </w:p>
    <w:p w14:paraId="10E6F495">
      <w:pPr>
        <w:pStyle w:val="33"/>
        <w:spacing w:before="0" w:after="60" w:line="264" w:lineRule="auto"/>
        <w:ind w:left="720" w:hanging="360"/>
      </w:pPr>
      <w:r>
        <w:rPr>
          <w:rFonts w:ascii="Calibri" w:hAnsi="Calibri"/>
          <w:b w:val="0"/>
          <w:i w:val="0"/>
          <w:color w:val="243047"/>
          <w:sz w:val="21"/>
        </w:rPr>
        <w:t>Centraliser les réclamations et les pièces justificatives dans une base unique et sécurisée.</w:t>
      </w:r>
    </w:p>
    <w:p w14:paraId="2637CBB5">
      <w:pPr>
        <w:pStyle w:val="33"/>
        <w:spacing w:before="0" w:after="60" w:line="264" w:lineRule="auto"/>
        <w:ind w:left="720" w:hanging="360"/>
      </w:pPr>
      <w:r>
        <w:rPr>
          <w:rFonts w:ascii="Calibri" w:hAnsi="Calibri"/>
          <w:b w:val="0"/>
          <w:i w:val="0"/>
          <w:color w:val="243047"/>
          <w:sz w:val="21"/>
        </w:rPr>
        <w:t>Acheminer chaque dossier de l’Accueil vers le bon service, puis vers l’agent chargé du traitement.</w:t>
      </w:r>
    </w:p>
    <w:p w14:paraId="1BDEA708">
      <w:pPr>
        <w:pStyle w:val="33"/>
        <w:spacing w:before="0" w:after="60" w:line="264" w:lineRule="auto"/>
        <w:ind w:left="720" w:hanging="360"/>
      </w:pPr>
      <w:r>
        <w:rPr>
          <w:rFonts w:ascii="Calibri" w:hAnsi="Calibri"/>
          <w:b w:val="0"/>
          <w:i w:val="0"/>
          <w:color w:val="243047"/>
          <w:sz w:val="21"/>
        </w:rPr>
        <w:t>Suivre les délais ouvrés, signaler les dossiers à risque et prévenir les retards.</w:t>
      </w:r>
    </w:p>
    <w:p w14:paraId="664A1B95">
      <w:pPr>
        <w:pStyle w:val="33"/>
        <w:spacing w:before="0" w:after="60" w:line="264" w:lineRule="auto"/>
        <w:ind w:left="720" w:hanging="360"/>
      </w:pPr>
      <w:r>
        <w:rPr>
          <w:rFonts w:ascii="Calibri" w:hAnsi="Calibri"/>
          <w:b w:val="0"/>
          <w:i w:val="0"/>
          <w:color w:val="243047"/>
          <w:sz w:val="21"/>
        </w:rPr>
        <w:t>Produire des indicateurs, des registres de contrôle et des exports exploitables par le CIQ et la Direction générale.</w:t>
      </w:r>
    </w:p>
    <w:p w14:paraId="3ED550D3">
      <w:pPr>
        <w:pStyle w:val="33"/>
        <w:spacing w:before="0" w:after="60" w:line="264" w:lineRule="auto"/>
        <w:ind w:left="720" w:hanging="360"/>
      </w:pPr>
      <w:r>
        <w:rPr>
          <w:rFonts w:ascii="Calibri" w:hAnsi="Calibri"/>
          <w:b w:val="0"/>
          <w:i w:val="0"/>
          <w:color w:val="243047"/>
          <w:sz w:val="21"/>
        </w:rPr>
        <w:t>Garantir la traçabilité des affectations, consultations, réponses, envois de courriels et changements d’état.</w:t>
      </w:r>
    </w:p>
    <w:p w14:paraId="7994008B">
      <w:pPr>
        <w:pStyle w:val="3"/>
        <w:keepNext/>
        <w:keepLines/>
        <w:spacing w:before="180" w:after="80" w:line="240" w:lineRule="auto"/>
      </w:pPr>
      <w:r>
        <w:rPr>
          <w:rFonts w:ascii="Calibri" w:hAnsi="Calibri"/>
          <w:b/>
          <w:i w:val="0"/>
          <w:color w:val="3996D3"/>
          <w:sz w:val="25"/>
        </w:rPr>
        <w:t>Parcours synthétique d’une réclamation</w:t>
      </w:r>
    </w:p>
    <w:tbl>
      <w:tblPr>
        <w:tblStyle w:val="65"/>
        <w:tblW w:w="9744"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8"/>
        <w:gridCol w:w="1949"/>
        <w:gridCol w:w="1949"/>
        <w:gridCol w:w="1949"/>
        <w:gridCol w:w="1949"/>
      </w:tblGrid>
      <w:tr w14:paraId="07C31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48" w:type="dxa"/>
            <w:tcBorders>
              <w:top w:val="single" w:color="FFFFFF" w:sz="6" w:space="0"/>
              <w:left w:val="single" w:color="FFFFFF" w:sz="6" w:space="0"/>
              <w:bottom w:val="single" w:color="FFFFFF" w:sz="6" w:space="0"/>
              <w:right w:val="single" w:color="FFFFFF" w:sz="6" w:space="0"/>
              <w:insideH w:val="single" w:sz="6" w:space="0"/>
              <w:insideV w:val="single" w:sz="6" w:space="0"/>
            </w:tcBorders>
            <w:shd w:val="clear" w:color="auto" w:fill="3996D3"/>
            <w:tcMar>
              <w:top w:w="100" w:type="dxa"/>
              <w:left w:w="120" w:type="dxa"/>
              <w:bottom w:w="100" w:type="dxa"/>
              <w:right w:w="120" w:type="dxa"/>
            </w:tcMar>
            <w:vAlign w:val="center"/>
          </w:tcPr>
          <w:p w14:paraId="11EDD626">
            <w:pPr>
              <w:spacing w:after="0"/>
              <w:jc w:val="center"/>
            </w:pPr>
            <w:r>
              <w:rPr>
                <w:rFonts w:ascii="Calibri" w:hAnsi="Calibri"/>
                <w:b/>
                <w:i w:val="0"/>
                <w:color w:val="FFFFFF"/>
                <w:sz w:val="18"/>
              </w:rPr>
              <w:t>1  Dépôt</w:t>
            </w:r>
          </w:p>
        </w:tc>
        <w:tc>
          <w:tcPr>
            <w:tcW w:w="1949" w:type="dxa"/>
            <w:tcBorders>
              <w:top w:val="single" w:color="FFFFFF" w:sz="6" w:space="0"/>
              <w:left w:val="single" w:color="FFFFFF" w:sz="6" w:space="0"/>
              <w:bottom w:val="single" w:color="FFFFFF" w:sz="6" w:space="0"/>
              <w:right w:val="single" w:color="FFFFFF" w:sz="6" w:space="0"/>
              <w:insideH w:val="single" w:sz="6" w:space="0"/>
              <w:insideV w:val="single" w:sz="6" w:space="0"/>
            </w:tcBorders>
            <w:shd w:val="clear" w:color="auto" w:fill="8FC043"/>
            <w:tcMar>
              <w:top w:w="100" w:type="dxa"/>
              <w:left w:w="120" w:type="dxa"/>
              <w:bottom w:w="100" w:type="dxa"/>
              <w:right w:w="120" w:type="dxa"/>
            </w:tcMar>
            <w:vAlign w:val="center"/>
          </w:tcPr>
          <w:p w14:paraId="6FCE32FD">
            <w:pPr>
              <w:spacing w:after="0"/>
              <w:jc w:val="center"/>
            </w:pPr>
            <w:r>
              <w:rPr>
                <w:rFonts w:ascii="Calibri" w:hAnsi="Calibri"/>
                <w:b/>
                <w:i w:val="0"/>
                <w:color w:val="FFFFFF"/>
                <w:sz w:val="18"/>
              </w:rPr>
              <w:t>2  Qualification</w:t>
            </w:r>
          </w:p>
        </w:tc>
        <w:tc>
          <w:tcPr>
            <w:tcW w:w="1949" w:type="dxa"/>
            <w:tcBorders>
              <w:top w:val="single" w:color="FFFFFF" w:sz="6" w:space="0"/>
              <w:left w:val="single" w:color="FFFFFF" w:sz="6" w:space="0"/>
              <w:bottom w:val="single" w:color="FFFFFF" w:sz="6" w:space="0"/>
              <w:right w:val="single" w:color="FFFFFF" w:sz="6" w:space="0"/>
              <w:insideH w:val="single" w:sz="6" w:space="0"/>
              <w:insideV w:val="single" w:sz="6" w:space="0"/>
            </w:tcBorders>
            <w:shd w:val="clear" w:color="auto" w:fill="F9B13C"/>
            <w:tcMar>
              <w:top w:w="100" w:type="dxa"/>
              <w:left w:w="120" w:type="dxa"/>
              <w:bottom w:w="100" w:type="dxa"/>
              <w:right w:w="120" w:type="dxa"/>
            </w:tcMar>
            <w:vAlign w:val="center"/>
          </w:tcPr>
          <w:p w14:paraId="2034281C">
            <w:pPr>
              <w:spacing w:after="0"/>
              <w:jc w:val="center"/>
            </w:pPr>
            <w:r>
              <w:rPr>
                <w:rFonts w:ascii="Calibri" w:hAnsi="Calibri"/>
                <w:b/>
                <w:i w:val="0"/>
                <w:color w:val="FFFFFF"/>
                <w:sz w:val="18"/>
              </w:rPr>
              <w:t>3  Affectation</w:t>
            </w:r>
          </w:p>
        </w:tc>
        <w:tc>
          <w:tcPr>
            <w:tcW w:w="1949" w:type="dxa"/>
            <w:tcBorders>
              <w:top w:val="single" w:color="FFFFFF" w:sz="6" w:space="0"/>
              <w:left w:val="single" w:color="FFFFFF" w:sz="6" w:space="0"/>
              <w:bottom w:val="single" w:color="FFFFFF" w:sz="6" w:space="0"/>
              <w:right w:val="single" w:color="FFFFFF" w:sz="6" w:space="0"/>
              <w:insideH w:val="single" w:sz="6" w:space="0"/>
              <w:insideV w:val="single" w:sz="6" w:space="0"/>
            </w:tcBorders>
            <w:shd w:val="clear" w:color="auto" w:fill="3996D3"/>
            <w:tcMar>
              <w:top w:w="100" w:type="dxa"/>
              <w:left w:w="120" w:type="dxa"/>
              <w:bottom w:w="100" w:type="dxa"/>
              <w:right w:w="120" w:type="dxa"/>
            </w:tcMar>
            <w:vAlign w:val="center"/>
          </w:tcPr>
          <w:p w14:paraId="6BF77FB9">
            <w:pPr>
              <w:spacing w:after="0"/>
              <w:jc w:val="center"/>
            </w:pPr>
            <w:r>
              <w:rPr>
                <w:rFonts w:ascii="Calibri" w:hAnsi="Calibri"/>
                <w:b/>
                <w:i w:val="0"/>
                <w:color w:val="FFFFFF"/>
                <w:sz w:val="18"/>
              </w:rPr>
              <w:t>4  Traitement</w:t>
            </w:r>
          </w:p>
        </w:tc>
        <w:tc>
          <w:tcPr>
            <w:tcW w:w="1949" w:type="dxa"/>
            <w:tcBorders>
              <w:top w:val="single" w:color="FFFFFF" w:sz="6" w:space="0"/>
              <w:left w:val="single" w:color="FFFFFF" w:sz="6" w:space="0"/>
              <w:bottom w:val="single" w:color="FFFFFF" w:sz="6" w:space="0"/>
              <w:right w:val="single" w:color="FFFFFF" w:sz="6" w:space="0"/>
              <w:insideH w:val="single" w:sz="6" w:space="0"/>
              <w:insideV w:val="single" w:sz="6" w:space="0"/>
            </w:tcBorders>
            <w:shd w:val="clear" w:color="auto" w:fill="8FC043"/>
            <w:tcMar>
              <w:top w:w="100" w:type="dxa"/>
              <w:left w:w="120" w:type="dxa"/>
              <w:bottom w:w="100" w:type="dxa"/>
              <w:right w:w="120" w:type="dxa"/>
            </w:tcMar>
            <w:vAlign w:val="center"/>
          </w:tcPr>
          <w:p w14:paraId="4C9E19B7">
            <w:pPr>
              <w:spacing w:after="0"/>
              <w:jc w:val="center"/>
            </w:pPr>
            <w:r>
              <w:rPr>
                <w:rFonts w:ascii="Calibri" w:hAnsi="Calibri"/>
                <w:b/>
                <w:i w:val="0"/>
                <w:color w:val="FFFFFF"/>
                <w:sz w:val="18"/>
              </w:rPr>
              <w:t>5  Clôture</w:t>
            </w:r>
          </w:p>
        </w:tc>
      </w:tr>
      <w:tr w14:paraId="40B62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tcBorders>
              <w:top w:val="single" w:color="D7DEE8" w:sz="6" w:space="0"/>
              <w:left w:val="single" w:color="D7DEE8" w:sz="6" w:space="0"/>
              <w:bottom w:val="single" w:color="D7DEE8" w:sz="6" w:space="0"/>
              <w:right w:val="single" w:color="D7DEE8" w:sz="6" w:space="0"/>
              <w:insideH w:val="single" w:sz="6" w:space="0"/>
              <w:insideV w:val="single" w:sz="6" w:space="0"/>
            </w:tcBorders>
            <w:tcMar>
              <w:top w:w="100" w:type="dxa"/>
              <w:left w:w="120" w:type="dxa"/>
              <w:bottom w:w="100" w:type="dxa"/>
              <w:right w:w="120" w:type="dxa"/>
            </w:tcMar>
            <w:vAlign w:val="center"/>
          </w:tcPr>
          <w:p w14:paraId="5E07BBFB">
            <w:pPr>
              <w:spacing w:after="0"/>
              <w:jc w:val="center"/>
            </w:pPr>
            <w:r>
              <w:rPr>
                <w:rFonts w:ascii="Calibri" w:hAnsi="Calibri"/>
                <w:b w:val="0"/>
                <w:i w:val="0"/>
                <w:color w:val="243047"/>
                <w:sz w:val="17"/>
              </w:rPr>
              <w:t>L’usager renseigne le formulaire et reçoit un numéro de suivi.</w:t>
            </w:r>
          </w:p>
        </w:tc>
        <w:tc>
          <w:tcPr>
            <w:tcW w:w="1949" w:type="dxa"/>
            <w:tcBorders>
              <w:top w:val="single" w:color="D7DEE8" w:sz="6" w:space="0"/>
              <w:left w:val="single" w:color="D7DEE8" w:sz="6" w:space="0"/>
              <w:bottom w:val="single" w:color="D7DEE8" w:sz="6" w:space="0"/>
              <w:right w:val="single" w:color="D7DEE8" w:sz="6" w:space="0"/>
              <w:insideH w:val="single" w:sz="6" w:space="0"/>
              <w:insideV w:val="single" w:sz="6" w:space="0"/>
            </w:tcBorders>
            <w:tcMar>
              <w:top w:w="100" w:type="dxa"/>
              <w:left w:w="120" w:type="dxa"/>
              <w:bottom w:w="100" w:type="dxa"/>
              <w:right w:w="120" w:type="dxa"/>
            </w:tcMar>
            <w:vAlign w:val="center"/>
          </w:tcPr>
          <w:p w14:paraId="7CEBD7BA">
            <w:pPr>
              <w:spacing w:after="0"/>
              <w:jc w:val="center"/>
            </w:pPr>
            <w:r>
              <w:rPr>
                <w:rFonts w:ascii="Calibri" w:hAnsi="Calibri"/>
                <w:b w:val="0"/>
                <w:i w:val="0"/>
                <w:color w:val="243047"/>
                <w:sz w:val="17"/>
              </w:rPr>
              <w:t>L’Accueil vérifie, catégorise et choisit le service compétent.</w:t>
            </w:r>
          </w:p>
        </w:tc>
        <w:tc>
          <w:tcPr>
            <w:tcW w:w="1949" w:type="dxa"/>
            <w:tcBorders>
              <w:top w:val="single" w:color="D7DEE8" w:sz="6" w:space="0"/>
              <w:left w:val="single" w:color="D7DEE8" w:sz="6" w:space="0"/>
              <w:bottom w:val="single" w:color="D7DEE8" w:sz="6" w:space="0"/>
              <w:right w:val="single" w:color="D7DEE8" w:sz="6" w:space="0"/>
              <w:insideH w:val="single" w:sz="6" w:space="0"/>
              <w:insideV w:val="single" w:sz="6" w:space="0"/>
            </w:tcBorders>
            <w:tcMar>
              <w:top w:w="100" w:type="dxa"/>
              <w:left w:w="120" w:type="dxa"/>
              <w:bottom w:w="100" w:type="dxa"/>
              <w:right w:w="120" w:type="dxa"/>
            </w:tcMar>
            <w:vAlign w:val="center"/>
          </w:tcPr>
          <w:p w14:paraId="4FC620F0">
            <w:pPr>
              <w:spacing w:after="0"/>
              <w:jc w:val="center"/>
            </w:pPr>
            <w:r>
              <w:rPr>
                <w:rFonts w:ascii="Calibri" w:hAnsi="Calibri"/>
                <w:b w:val="0"/>
                <w:i w:val="0"/>
                <w:color w:val="243047"/>
                <w:sz w:val="17"/>
              </w:rPr>
              <w:t>Le chef de service confie le dossier à un agent, ou répond directement.</w:t>
            </w:r>
          </w:p>
        </w:tc>
        <w:tc>
          <w:tcPr>
            <w:tcW w:w="1949" w:type="dxa"/>
            <w:tcBorders>
              <w:top w:val="single" w:color="D7DEE8" w:sz="6" w:space="0"/>
              <w:left w:val="single" w:color="D7DEE8" w:sz="6" w:space="0"/>
              <w:bottom w:val="single" w:color="D7DEE8" w:sz="6" w:space="0"/>
              <w:right w:val="single" w:color="D7DEE8" w:sz="6" w:space="0"/>
              <w:insideH w:val="single" w:sz="6" w:space="0"/>
              <w:insideV w:val="single" w:sz="6" w:space="0"/>
            </w:tcBorders>
            <w:tcMar>
              <w:top w:w="100" w:type="dxa"/>
              <w:left w:w="120" w:type="dxa"/>
              <w:bottom w:w="100" w:type="dxa"/>
              <w:right w:w="120" w:type="dxa"/>
            </w:tcMar>
            <w:vAlign w:val="center"/>
          </w:tcPr>
          <w:p w14:paraId="2C796EB1">
            <w:pPr>
              <w:spacing w:after="0"/>
              <w:jc w:val="center"/>
            </w:pPr>
            <w:r>
              <w:rPr>
                <w:rFonts w:ascii="Calibri" w:hAnsi="Calibri"/>
                <w:b w:val="0"/>
                <w:i w:val="0"/>
                <w:color w:val="243047"/>
                <w:sz w:val="17"/>
              </w:rPr>
              <w:t>L’agent analyse le dossier et prépare la réponse avec ses pièces jointes.</w:t>
            </w:r>
          </w:p>
        </w:tc>
        <w:tc>
          <w:tcPr>
            <w:tcW w:w="1949" w:type="dxa"/>
            <w:tcBorders>
              <w:top w:val="single" w:color="D7DEE8" w:sz="6" w:space="0"/>
              <w:left w:val="single" w:color="D7DEE8" w:sz="6" w:space="0"/>
              <w:bottom w:val="single" w:color="D7DEE8" w:sz="6" w:space="0"/>
              <w:right w:val="single" w:color="D7DEE8" w:sz="6" w:space="0"/>
              <w:insideH w:val="single" w:sz="6" w:space="0"/>
              <w:insideV w:val="single" w:sz="6" w:space="0"/>
            </w:tcBorders>
            <w:tcMar>
              <w:top w:w="100" w:type="dxa"/>
              <w:left w:w="120" w:type="dxa"/>
              <w:bottom w:w="100" w:type="dxa"/>
              <w:right w:w="120" w:type="dxa"/>
            </w:tcMar>
            <w:vAlign w:val="center"/>
          </w:tcPr>
          <w:p w14:paraId="34009C52">
            <w:pPr>
              <w:spacing w:after="0"/>
              <w:jc w:val="center"/>
            </w:pPr>
            <w:r>
              <w:rPr>
                <w:rFonts w:ascii="Calibri" w:hAnsi="Calibri"/>
                <w:b w:val="0"/>
                <w:i w:val="0"/>
                <w:color w:val="243047"/>
                <w:sz w:val="17"/>
              </w:rPr>
              <w:t>La réponse est envoyée par courriel; la clôture intervient après succès de l’envoi.</w:t>
            </w:r>
          </w:p>
        </w:tc>
      </w:tr>
    </w:tbl>
    <w:p w14:paraId="12ED864C">
      <w:pPr>
        <w:spacing w:after="0"/>
      </w:pPr>
    </w:p>
    <w:tbl>
      <w:tblPr>
        <w:tblStyle w:val="65"/>
        <w:tblW w:w="9744"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44"/>
      </w:tblGrid>
      <w:tr w14:paraId="12E41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4" w:type="dxa"/>
            <w:tcBorders>
              <w:top w:val="single" w:color="8FC043" w:sz="8" w:space="0"/>
              <w:left w:val="single" w:color="8FC043" w:sz="8" w:space="0"/>
              <w:bottom w:val="single" w:color="8FC043" w:sz="8" w:space="0"/>
              <w:right w:val="single" w:color="8FC043" w:sz="8" w:space="0"/>
              <w:insideH w:val="single" w:sz="8" w:space="0"/>
              <w:insideV w:val="single" w:sz="8" w:space="0"/>
            </w:tcBorders>
            <w:shd w:val="clear" w:color="auto" w:fill="EEF7E9"/>
            <w:tcMar>
              <w:top w:w="100" w:type="dxa"/>
              <w:left w:w="120" w:type="dxa"/>
              <w:bottom w:w="100" w:type="dxa"/>
              <w:right w:w="120" w:type="dxa"/>
            </w:tcMar>
            <w:vAlign w:val="center"/>
          </w:tcPr>
          <w:p w14:paraId="64034E5B">
            <w:pPr>
              <w:spacing w:after="0" w:line="264" w:lineRule="auto"/>
            </w:pPr>
            <w:r>
              <w:rPr>
                <w:rFonts w:ascii="Calibri" w:hAnsi="Calibri"/>
                <w:b/>
                <w:i w:val="0"/>
                <w:color w:val="8FC043"/>
                <w:sz w:val="20"/>
              </w:rPr>
              <w:t xml:space="preserve">RÉSULTAT ATTENDU  </w:t>
            </w:r>
            <w:r>
              <w:rPr>
                <w:rFonts w:ascii="Calibri" w:hAnsi="Calibri"/>
                <w:b w:val="0"/>
                <w:i w:val="0"/>
                <w:color w:val="243047"/>
                <w:sz w:val="20"/>
              </w:rPr>
              <w:t>À tout moment, un dossier possède un statut, un responsable, un délai calculé et un historique consultable.</w:t>
            </w:r>
          </w:p>
        </w:tc>
      </w:tr>
    </w:tbl>
    <w:p w14:paraId="769BEA18">
      <w:pPr>
        <w:spacing w:after="40"/>
      </w:pPr>
    </w:p>
    <w:p w14:paraId="218930EC">
      <w:pPr>
        <w:pStyle w:val="3"/>
        <w:keepNext/>
        <w:keepLines/>
        <w:spacing w:before="180" w:after="80" w:line="240" w:lineRule="auto"/>
      </w:pPr>
      <w:r>
        <w:rPr>
          <w:rFonts w:ascii="Calibri" w:hAnsi="Calibri"/>
          <w:b/>
          <w:i w:val="0"/>
          <w:color w:val="3996D3"/>
          <w:sz w:val="25"/>
        </w:rPr>
        <w:t>Bénéfices pour les parties prenantes</w:t>
      </w:r>
    </w:p>
    <w:tbl>
      <w:tblPr>
        <w:tblStyle w:val="65"/>
        <w:tblW w:w="9744"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72"/>
        <w:gridCol w:w="4872"/>
      </w:tblGrid>
      <w:tr w14:paraId="41A7D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2"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EAF4FB"/>
            <w:tcMar>
              <w:top w:w="100" w:type="dxa"/>
              <w:left w:w="120" w:type="dxa"/>
              <w:bottom w:w="100" w:type="dxa"/>
              <w:right w:w="120" w:type="dxa"/>
            </w:tcMar>
            <w:vAlign w:val="center"/>
          </w:tcPr>
          <w:p w14:paraId="632C6100">
            <w:pPr>
              <w:spacing w:after="60"/>
            </w:pPr>
            <w:r>
              <w:rPr>
                <w:rFonts w:ascii="Calibri" w:hAnsi="Calibri"/>
                <w:b/>
                <w:i w:val="0"/>
                <w:color w:val="1C203D"/>
                <w:sz w:val="21"/>
              </w:rPr>
              <w:t>Pour l’usager</w:t>
            </w:r>
          </w:p>
          <w:p w14:paraId="5BA1BA97">
            <w:pPr>
              <w:spacing w:after="0" w:line="259" w:lineRule="auto"/>
            </w:pPr>
            <w:r>
              <w:rPr>
                <w:rFonts w:ascii="Calibri" w:hAnsi="Calibri"/>
                <w:b w:val="0"/>
                <w:i w:val="0"/>
                <w:color w:val="243047"/>
                <w:sz w:val="18"/>
              </w:rPr>
              <w:t>Un canal officiel, un dépôt guidé, un numéro de suivi et une réponse finale transmise à l’adresse déclarée.</w:t>
            </w:r>
          </w:p>
        </w:tc>
        <w:tc>
          <w:tcPr>
            <w:tcW w:w="4872"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EEF7E9"/>
            <w:tcMar>
              <w:top w:w="100" w:type="dxa"/>
              <w:left w:w="120" w:type="dxa"/>
              <w:bottom w:w="100" w:type="dxa"/>
              <w:right w:w="120" w:type="dxa"/>
            </w:tcMar>
            <w:vAlign w:val="center"/>
          </w:tcPr>
          <w:p w14:paraId="385BE56C">
            <w:pPr>
              <w:spacing w:after="60"/>
            </w:pPr>
            <w:r>
              <w:rPr>
                <w:rFonts w:ascii="Calibri" w:hAnsi="Calibri"/>
                <w:b/>
                <w:i w:val="0"/>
                <w:color w:val="1C203D"/>
                <w:sz w:val="21"/>
              </w:rPr>
              <w:t>Pour l’ANBG</w:t>
            </w:r>
          </w:p>
          <w:p w14:paraId="4127F1ED">
            <w:pPr>
              <w:spacing w:after="0" w:line="259" w:lineRule="auto"/>
            </w:pPr>
            <w:r>
              <w:rPr>
                <w:rFonts w:ascii="Calibri" w:hAnsi="Calibri"/>
                <w:b w:val="0"/>
                <w:i w:val="0"/>
                <w:color w:val="243047"/>
                <w:sz w:val="18"/>
              </w:rPr>
              <w:t>Une charge de travail visible, des responsabilités identifiées et des données fiables pour améliorer le service rendu.</w:t>
            </w:r>
          </w:p>
        </w:tc>
      </w:tr>
    </w:tbl>
    <w:p w14:paraId="1C9E085D">
      <w:r>
        <w:br w:type="page"/>
      </w:r>
    </w:p>
    <w:p w14:paraId="30D2F23C">
      <w:pPr>
        <w:spacing w:after="40"/>
      </w:pPr>
      <w:r>
        <w:rPr>
          <w:rFonts w:ascii="Calibri" w:hAnsi="Calibri"/>
          <w:b/>
          <w:i w:val="0"/>
          <w:color w:val="8FC043"/>
          <w:sz w:val="17"/>
        </w:rPr>
        <w:t>02  |  ACTEURS OPÉRATIONNELS</w:t>
      </w:r>
    </w:p>
    <w:p w14:paraId="74D02A61">
      <w:pPr>
        <w:pStyle w:val="2"/>
        <w:keepNext/>
        <w:keepLines/>
        <w:spacing w:before="280" w:after="120" w:line="240" w:lineRule="auto"/>
      </w:pPr>
      <w:r>
        <w:rPr>
          <w:rFonts w:ascii="Calibri" w:hAnsi="Calibri"/>
          <w:b/>
          <w:i w:val="0"/>
          <w:color w:val="1C203D"/>
          <w:sz w:val="32"/>
        </w:rPr>
        <w:t>Rôles directement impliqués dans le traitement</w:t>
      </w:r>
    </w:p>
    <w:p w14:paraId="29609972">
      <w:pPr>
        <w:spacing w:before="0" w:after="120" w:line="264" w:lineRule="auto"/>
        <w:jc w:val="both"/>
      </w:pPr>
      <w:r>
        <w:rPr>
          <w:rFonts w:ascii="Calibri" w:hAnsi="Calibri"/>
          <w:b w:val="0"/>
          <w:i w:val="0"/>
          <w:color w:val="243047"/>
          <w:sz w:val="21"/>
        </w:rPr>
        <w:t>Le fonctionnement repose sur une chaîne de responsabilité simple. Chaque acteur accède uniquement aux dossiers qui relèvent de son rôle et de son périmètre organisationnel. Les actions autorisées sont complétées par des permissions précises, afin d’éviter qu’un utilisateur ne modifie un dossier qui ne lui appartient pas.</w:t>
      </w:r>
    </w:p>
    <w:tbl>
      <w:tblPr>
        <w:tblStyle w:val="65"/>
        <w:tblW w:w="9744"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7440"/>
      </w:tblGrid>
      <w:tr w14:paraId="60FE9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EAF4FB"/>
            <w:tcMar>
              <w:top w:w="100" w:type="dxa"/>
              <w:left w:w="120" w:type="dxa"/>
              <w:bottom w:w="100" w:type="dxa"/>
              <w:right w:w="120" w:type="dxa"/>
            </w:tcMar>
            <w:vAlign w:val="center"/>
          </w:tcPr>
          <w:p w14:paraId="10904FD1">
            <w:pPr>
              <w:spacing w:after="40"/>
            </w:pPr>
            <w:r>
              <w:rPr>
                <w:rFonts w:ascii="Calibri" w:hAnsi="Calibri"/>
                <w:b/>
                <w:i w:val="0"/>
                <w:color w:val="1C203D"/>
                <w:sz w:val="21"/>
              </w:rPr>
              <w:t>Usager</w:t>
            </w:r>
          </w:p>
          <w:p w14:paraId="09585DA8">
            <w:pPr>
              <w:spacing w:after="0"/>
            </w:pPr>
            <w:r>
              <w:rPr>
                <w:rFonts w:ascii="Calibri" w:hAnsi="Calibri"/>
                <w:b w:val="0"/>
                <w:i/>
                <w:color w:val="667085"/>
                <w:sz w:val="17"/>
              </w:rPr>
              <w:t>Dépose la réclamation</w:t>
            </w:r>
          </w:p>
        </w:tc>
        <w:tc>
          <w:tcPr>
            <w:tcW w:w="7440"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FFF"/>
            <w:tcMar>
              <w:top w:w="100" w:type="dxa"/>
              <w:left w:w="120" w:type="dxa"/>
              <w:bottom w:w="100" w:type="dxa"/>
              <w:right w:w="120" w:type="dxa"/>
            </w:tcMar>
            <w:vAlign w:val="center"/>
          </w:tcPr>
          <w:p w14:paraId="6F76FA8B">
            <w:pPr>
              <w:spacing w:after="40"/>
            </w:pPr>
            <w:r>
              <w:rPr>
                <w:rFonts w:ascii="Calibri" w:hAnsi="Calibri"/>
                <w:b w:val="0"/>
                <w:i w:val="0"/>
                <w:color w:val="243047"/>
                <w:sz w:val="19"/>
              </w:rPr>
              <w:t>Accède au formulaire public sans compte interne; saisit son identité et l’objet de la réclamation; ajoute, si nécessaire, une pièce PDF ou image; obtient un numéro de suivi; reçoit la réponse définitive par courriel.</w:t>
            </w:r>
          </w:p>
        </w:tc>
      </w:tr>
    </w:tbl>
    <w:p w14:paraId="202383F6">
      <w:pPr>
        <w:spacing w:after="0"/>
      </w:pPr>
    </w:p>
    <w:tbl>
      <w:tblPr>
        <w:tblStyle w:val="65"/>
        <w:tblW w:w="9744"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7440"/>
      </w:tblGrid>
      <w:tr w14:paraId="187CE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EEF7E9"/>
            <w:tcMar>
              <w:top w:w="100" w:type="dxa"/>
              <w:left w:w="120" w:type="dxa"/>
              <w:bottom w:w="100" w:type="dxa"/>
              <w:right w:w="120" w:type="dxa"/>
            </w:tcMar>
            <w:vAlign w:val="center"/>
          </w:tcPr>
          <w:p w14:paraId="158003FD">
            <w:pPr>
              <w:spacing w:after="40"/>
            </w:pPr>
            <w:r>
              <w:rPr>
                <w:rFonts w:ascii="Calibri" w:hAnsi="Calibri"/>
                <w:b/>
                <w:i w:val="0"/>
                <w:color w:val="1C203D"/>
                <w:sz w:val="21"/>
              </w:rPr>
              <w:t>Agent d’accueil</w:t>
            </w:r>
          </w:p>
          <w:p w14:paraId="5DC836C4">
            <w:pPr>
              <w:spacing w:after="0"/>
            </w:pPr>
            <w:r>
              <w:rPr>
                <w:rFonts w:ascii="Calibri" w:hAnsi="Calibri"/>
                <w:b w:val="0"/>
                <w:i/>
                <w:color w:val="667085"/>
                <w:sz w:val="17"/>
              </w:rPr>
              <w:t>Qualifie et oriente</w:t>
            </w:r>
          </w:p>
        </w:tc>
        <w:tc>
          <w:tcPr>
            <w:tcW w:w="7440"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FFF"/>
            <w:tcMar>
              <w:top w:w="100" w:type="dxa"/>
              <w:left w:w="120" w:type="dxa"/>
              <w:bottom w:w="100" w:type="dxa"/>
              <w:right w:w="120" w:type="dxa"/>
            </w:tcMar>
            <w:vAlign w:val="center"/>
          </w:tcPr>
          <w:p w14:paraId="321105EC">
            <w:pPr>
              <w:spacing w:after="40"/>
            </w:pPr>
            <w:r>
              <w:rPr>
                <w:rFonts w:ascii="Calibri" w:hAnsi="Calibri"/>
                <w:b w:val="0"/>
                <w:i w:val="0"/>
                <w:color w:val="243047"/>
                <w:sz w:val="19"/>
              </w:rPr>
              <w:t>Consulte les nouvelles réclamations; vérifie les informations et les pièces; recherche ou filtre les dossiers; affecte le dossier à une direction et à un service; peut traiter directement un cas simple et annuler une affectation au service lorsque cela est permis.</w:t>
            </w:r>
          </w:p>
        </w:tc>
      </w:tr>
    </w:tbl>
    <w:p w14:paraId="3E90736F">
      <w:pPr>
        <w:spacing w:after="0"/>
      </w:pPr>
    </w:p>
    <w:tbl>
      <w:tblPr>
        <w:tblStyle w:val="65"/>
        <w:tblW w:w="9744"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7440"/>
      </w:tblGrid>
      <w:tr w14:paraId="25507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6DF"/>
            <w:tcMar>
              <w:top w:w="100" w:type="dxa"/>
              <w:left w:w="120" w:type="dxa"/>
              <w:bottom w:w="100" w:type="dxa"/>
              <w:right w:w="120" w:type="dxa"/>
            </w:tcMar>
            <w:vAlign w:val="center"/>
          </w:tcPr>
          <w:p w14:paraId="524141E3">
            <w:pPr>
              <w:spacing w:after="40"/>
            </w:pPr>
            <w:r>
              <w:rPr>
                <w:rFonts w:ascii="Calibri" w:hAnsi="Calibri"/>
                <w:b/>
                <w:i w:val="0"/>
                <w:color w:val="1C203D"/>
                <w:sz w:val="21"/>
              </w:rPr>
              <w:t>Chef de service</w:t>
            </w:r>
          </w:p>
          <w:p w14:paraId="2ABBDBFF">
            <w:pPr>
              <w:spacing w:after="0"/>
            </w:pPr>
            <w:r>
              <w:rPr>
                <w:rFonts w:ascii="Calibri" w:hAnsi="Calibri"/>
                <w:b w:val="0"/>
                <w:i/>
                <w:color w:val="667085"/>
                <w:sz w:val="17"/>
              </w:rPr>
              <w:t>Organise le traitement</w:t>
            </w:r>
          </w:p>
        </w:tc>
        <w:tc>
          <w:tcPr>
            <w:tcW w:w="7440"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FFF"/>
            <w:tcMar>
              <w:top w:w="100" w:type="dxa"/>
              <w:left w:w="120" w:type="dxa"/>
              <w:bottom w:w="100" w:type="dxa"/>
              <w:right w:w="120" w:type="dxa"/>
            </w:tcMar>
            <w:vAlign w:val="center"/>
          </w:tcPr>
          <w:p w14:paraId="6D74EAB8">
            <w:pPr>
              <w:spacing w:after="40"/>
            </w:pPr>
            <w:r>
              <w:rPr>
                <w:rFonts w:ascii="Calibri" w:hAnsi="Calibri"/>
                <w:b w:val="0"/>
                <w:i w:val="0"/>
                <w:color w:val="243047"/>
                <w:sz w:val="19"/>
              </w:rPr>
              <w:t>Visualise les dossiers relevant de son service; apprécie la charge et l’urgence; affecte chaque réclamation à un agent; peut annuler cette affectation ou répondre directement avant délégation; surveille les alertes, les délais et les performances du service.</w:t>
            </w:r>
          </w:p>
        </w:tc>
      </w:tr>
    </w:tbl>
    <w:p w14:paraId="445DA0E4">
      <w:pPr>
        <w:spacing w:after="0"/>
      </w:pPr>
    </w:p>
    <w:tbl>
      <w:tblPr>
        <w:tblStyle w:val="65"/>
        <w:tblW w:w="9744"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7440"/>
      </w:tblGrid>
      <w:tr w14:paraId="7B48E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EAF4FB"/>
            <w:tcMar>
              <w:top w:w="100" w:type="dxa"/>
              <w:left w:w="120" w:type="dxa"/>
              <w:bottom w:w="100" w:type="dxa"/>
              <w:right w:w="120" w:type="dxa"/>
            </w:tcMar>
            <w:vAlign w:val="center"/>
          </w:tcPr>
          <w:p w14:paraId="2F28E3DD">
            <w:pPr>
              <w:spacing w:after="40"/>
            </w:pPr>
            <w:r>
              <w:rPr>
                <w:rFonts w:ascii="Calibri" w:hAnsi="Calibri"/>
                <w:b/>
                <w:i w:val="0"/>
                <w:color w:val="1C203D"/>
                <w:sz w:val="21"/>
              </w:rPr>
              <w:t>Agent traitant</w:t>
            </w:r>
          </w:p>
          <w:p w14:paraId="63B2FA1D">
            <w:pPr>
              <w:spacing w:after="0"/>
            </w:pPr>
            <w:r>
              <w:rPr>
                <w:rFonts w:ascii="Calibri" w:hAnsi="Calibri"/>
                <w:b w:val="0"/>
                <w:i/>
                <w:color w:val="667085"/>
                <w:sz w:val="17"/>
              </w:rPr>
              <w:t>Instruit et répond</w:t>
            </w:r>
          </w:p>
        </w:tc>
        <w:tc>
          <w:tcPr>
            <w:tcW w:w="7440"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FFF"/>
            <w:tcMar>
              <w:top w:w="100" w:type="dxa"/>
              <w:left w:w="120" w:type="dxa"/>
              <w:bottom w:w="100" w:type="dxa"/>
              <w:right w:w="120" w:type="dxa"/>
            </w:tcMar>
            <w:vAlign w:val="center"/>
          </w:tcPr>
          <w:p w14:paraId="6E449772">
            <w:pPr>
              <w:spacing w:after="40"/>
            </w:pPr>
            <w:r>
              <w:rPr>
                <w:rFonts w:ascii="Calibri" w:hAnsi="Calibri"/>
                <w:b w:val="0"/>
                <w:i w:val="0"/>
                <w:color w:val="243047"/>
                <w:sz w:val="19"/>
              </w:rPr>
              <w:t>Accède aux dossiers qui lui sont personnellement affectés; consulte l’historique et les justificatifs; rédige la réponse finale; joint jusqu’à cinq documents de réponse; déclenche l’envoi par courriel et peut relancer un envoi ayant échoué lorsque cette option est autorisée.</w:t>
            </w:r>
          </w:p>
        </w:tc>
      </w:tr>
    </w:tbl>
    <w:p w14:paraId="6E45A219">
      <w:pPr>
        <w:spacing w:after="0"/>
      </w:pPr>
    </w:p>
    <w:p w14:paraId="1028401E">
      <w:pPr>
        <w:pStyle w:val="3"/>
        <w:keepNext/>
        <w:keepLines/>
        <w:spacing w:before="180" w:after="80" w:line="240" w:lineRule="auto"/>
      </w:pPr>
      <w:r>
        <w:rPr>
          <w:rFonts w:ascii="Calibri" w:hAnsi="Calibri"/>
          <w:b/>
          <w:i w:val="0"/>
          <w:color w:val="3996D3"/>
          <w:sz w:val="25"/>
        </w:rPr>
        <w:t>Principe de responsabilité</w:t>
      </w:r>
    </w:p>
    <w:p w14:paraId="0E18BA1A">
      <w:pPr>
        <w:spacing w:before="0" w:after="120" w:line="264" w:lineRule="auto"/>
        <w:jc w:val="both"/>
      </w:pPr>
      <w:r>
        <w:rPr>
          <w:rFonts w:ascii="Calibri" w:hAnsi="Calibri"/>
          <w:b w:val="0"/>
          <w:i w:val="0"/>
          <w:color w:val="243047"/>
          <w:sz w:val="21"/>
        </w:rPr>
        <w:t>La réclamation ne change pas seulement de statut : elle change aussi de détenteur opérationnel. L’Accueil est responsable de l’orientation, le chef de service de la répartition interne et l’agent de l’instruction. Cette séparation rend les responsabilités lisibles et permet de calculer des alertes adaptées à chaque étape.</w:t>
      </w:r>
    </w:p>
    <w:tbl>
      <w:tblPr>
        <w:tblStyle w:val="65"/>
        <w:tblW w:w="9744"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44"/>
      </w:tblGrid>
      <w:tr w14:paraId="700E1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4" w:type="dxa"/>
            <w:tcBorders>
              <w:top w:val="single" w:color="F9B13C" w:sz="8" w:space="0"/>
              <w:left w:val="single" w:color="F9B13C" w:sz="8" w:space="0"/>
              <w:bottom w:val="single" w:color="F9B13C" w:sz="8" w:space="0"/>
              <w:right w:val="single" w:color="F9B13C" w:sz="8" w:space="0"/>
              <w:insideH w:val="single" w:sz="8" w:space="0"/>
              <w:insideV w:val="single" w:sz="8" w:space="0"/>
            </w:tcBorders>
            <w:shd w:val="clear" w:color="auto" w:fill="FFF6DF"/>
            <w:tcMar>
              <w:top w:w="100" w:type="dxa"/>
              <w:left w:w="120" w:type="dxa"/>
              <w:bottom w:w="100" w:type="dxa"/>
              <w:right w:w="120" w:type="dxa"/>
            </w:tcMar>
            <w:vAlign w:val="center"/>
          </w:tcPr>
          <w:p w14:paraId="18C6AD9A">
            <w:pPr>
              <w:spacing w:after="0" w:line="264" w:lineRule="auto"/>
            </w:pPr>
            <w:r>
              <w:rPr>
                <w:rFonts w:ascii="Calibri" w:hAnsi="Calibri"/>
                <w:b/>
                <w:i w:val="0"/>
                <w:color w:val="F9B13C"/>
                <w:sz w:val="20"/>
              </w:rPr>
              <w:t xml:space="preserve">POINT DE CONTRÔLE  </w:t>
            </w:r>
            <w:r>
              <w:rPr>
                <w:rFonts w:ascii="Calibri" w:hAnsi="Calibri"/>
                <w:b w:val="0"/>
                <w:i w:val="0"/>
                <w:color w:val="243047"/>
                <w:sz w:val="20"/>
              </w:rPr>
              <w:t>Une réponse préparée ne vaut pas encore clôture. Le dossier est clôturé uniquement lorsque le système confirme la réussite de l’envoi du courriel à l’usager.</w:t>
            </w:r>
          </w:p>
        </w:tc>
      </w:tr>
    </w:tbl>
    <w:p w14:paraId="1090551B">
      <w:pPr>
        <w:spacing w:after="40"/>
      </w:pPr>
    </w:p>
    <w:p w14:paraId="589BC1B0">
      <w:pPr>
        <w:pStyle w:val="3"/>
        <w:keepNext/>
        <w:keepLines/>
        <w:spacing w:before="180" w:after="80" w:line="240" w:lineRule="auto"/>
      </w:pPr>
      <w:r>
        <w:rPr>
          <w:rFonts w:ascii="Calibri" w:hAnsi="Calibri"/>
          <w:b/>
          <w:i w:val="0"/>
          <w:color w:val="3996D3"/>
          <w:sz w:val="25"/>
        </w:rPr>
        <w:t>États principaux du dossier</w:t>
      </w:r>
    </w:p>
    <w:p w14:paraId="7B8E619C">
      <w:pPr>
        <w:spacing w:before="0" w:after="0" w:line="264" w:lineRule="auto"/>
        <w:jc w:val="both"/>
      </w:pPr>
      <w:r>
        <w:rPr>
          <w:rFonts w:ascii="Calibri" w:hAnsi="Calibri"/>
          <w:b w:val="0"/>
          <w:i w:val="0"/>
          <w:color w:val="243047"/>
          <w:sz w:val="21"/>
        </w:rPr>
        <w:t>Le cycle est matérialisé par cinq états lisibles : nouvelle, affectée au service, affectée à un agent, réponse prête et clôturée. Ils permettent de repérer immédiatement l’étape active et d’appliquer le bon niveau d’alerte.</w:t>
      </w:r>
    </w:p>
    <w:p w14:paraId="41E4DD46">
      <w:r>
        <w:br w:type="page"/>
      </w:r>
    </w:p>
    <w:p w14:paraId="639A3EBB">
      <w:pPr>
        <w:spacing w:after="40"/>
      </w:pPr>
      <w:r>
        <w:rPr>
          <w:rFonts w:ascii="Calibri" w:hAnsi="Calibri"/>
          <w:b/>
          <w:i w:val="0"/>
          <w:color w:val="8FC043"/>
          <w:sz w:val="17"/>
        </w:rPr>
        <w:t>03  |  SUPERVISION ET ADMINISTRATION</w:t>
      </w:r>
    </w:p>
    <w:p w14:paraId="0DD16C94">
      <w:pPr>
        <w:pStyle w:val="2"/>
        <w:keepNext/>
        <w:keepLines/>
        <w:spacing w:before="280" w:after="120" w:line="240" w:lineRule="auto"/>
      </w:pPr>
      <w:r>
        <w:rPr>
          <w:rFonts w:ascii="Calibri" w:hAnsi="Calibri"/>
          <w:b/>
          <w:i w:val="0"/>
          <w:color w:val="1C203D"/>
          <w:sz w:val="32"/>
        </w:rPr>
        <w:t>Rôles de pilotage, de contrôle et de gouvernance</w:t>
      </w:r>
    </w:p>
    <w:p w14:paraId="6DE0AE79">
      <w:pPr>
        <w:spacing w:before="0" w:after="120" w:line="264" w:lineRule="auto"/>
        <w:jc w:val="both"/>
      </w:pPr>
      <w:r>
        <w:rPr>
          <w:rFonts w:ascii="Calibri" w:hAnsi="Calibri"/>
          <w:b w:val="0"/>
          <w:i w:val="0"/>
          <w:color w:val="243047"/>
          <w:sz w:val="21"/>
        </w:rPr>
        <w:t>En complément des acteurs qui manipulent directement les dossiers, l’application propose des profils de supervision. Leur valeur principale est la visibilité consolidée : ils observent la qualité du traitement, comparent les services et identifient les retards sans intervenir nécessairement dans la rédaction de la réponse.</w:t>
      </w:r>
    </w:p>
    <w:tbl>
      <w:tblPr>
        <w:tblStyle w:val="65"/>
        <w:tblW w:w="9744"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7440"/>
      </w:tblGrid>
      <w:tr w14:paraId="3179E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EAF4FB"/>
            <w:tcMar>
              <w:top w:w="100" w:type="dxa"/>
              <w:left w:w="120" w:type="dxa"/>
              <w:bottom w:w="100" w:type="dxa"/>
              <w:right w:w="120" w:type="dxa"/>
            </w:tcMar>
            <w:vAlign w:val="center"/>
          </w:tcPr>
          <w:p w14:paraId="7F48D3D2">
            <w:pPr>
              <w:spacing w:after="40"/>
            </w:pPr>
            <w:r>
              <w:rPr>
                <w:rFonts w:ascii="Calibri" w:hAnsi="Calibri"/>
                <w:b/>
                <w:i w:val="0"/>
                <w:color w:val="1C203D"/>
                <w:sz w:val="21"/>
              </w:rPr>
              <w:t>Chef de direction</w:t>
            </w:r>
          </w:p>
          <w:p w14:paraId="4F980C56">
            <w:pPr>
              <w:spacing w:after="0"/>
            </w:pPr>
            <w:r>
              <w:rPr>
                <w:rFonts w:ascii="Calibri" w:hAnsi="Calibri"/>
                <w:b w:val="0"/>
                <w:i/>
                <w:color w:val="667085"/>
                <w:sz w:val="17"/>
              </w:rPr>
              <w:t>Supervise sa direction</w:t>
            </w:r>
          </w:p>
        </w:tc>
        <w:tc>
          <w:tcPr>
            <w:tcW w:w="7440"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FFF"/>
            <w:tcMar>
              <w:top w:w="100" w:type="dxa"/>
              <w:left w:w="120" w:type="dxa"/>
              <w:bottom w:w="100" w:type="dxa"/>
              <w:right w:w="120" w:type="dxa"/>
            </w:tcMar>
            <w:vAlign w:val="center"/>
          </w:tcPr>
          <w:p w14:paraId="0CB63224">
            <w:pPr>
              <w:spacing w:after="40"/>
            </w:pPr>
            <w:r>
              <w:rPr>
                <w:rFonts w:ascii="Calibri" w:hAnsi="Calibri"/>
                <w:b w:val="0"/>
                <w:i w:val="0"/>
                <w:color w:val="243047"/>
                <w:sz w:val="19"/>
              </w:rPr>
              <w:t>Consulte les réclamations et les performances des services rattachés à sa direction. Dans la version actuelle, son accès est principalement orienté vers la lecture et le suivi; la rédaction de la réponse reste à la chaîne opérationnelle.</w:t>
            </w:r>
          </w:p>
        </w:tc>
      </w:tr>
    </w:tbl>
    <w:p w14:paraId="23350B56">
      <w:pPr>
        <w:spacing w:after="0"/>
      </w:pPr>
    </w:p>
    <w:tbl>
      <w:tblPr>
        <w:tblStyle w:val="65"/>
        <w:tblW w:w="9744"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7440"/>
      </w:tblGrid>
      <w:tr w14:paraId="16B4A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EEF7E9"/>
            <w:tcMar>
              <w:top w:w="100" w:type="dxa"/>
              <w:left w:w="120" w:type="dxa"/>
              <w:bottom w:w="100" w:type="dxa"/>
              <w:right w:w="120" w:type="dxa"/>
            </w:tcMar>
            <w:vAlign w:val="center"/>
          </w:tcPr>
          <w:p w14:paraId="4954116E">
            <w:pPr>
              <w:spacing w:after="40"/>
            </w:pPr>
            <w:r>
              <w:rPr>
                <w:rFonts w:ascii="Calibri" w:hAnsi="Calibri"/>
                <w:b/>
                <w:i w:val="0"/>
                <w:color w:val="1C203D"/>
                <w:sz w:val="21"/>
              </w:rPr>
              <w:t>CIQ</w:t>
            </w:r>
          </w:p>
          <w:p w14:paraId="74E10BF1">
            <w:pPr>
              <w:spacing w:after="0"/>
            </w:pPr>
            <w:r>
              <w:rPr>
                <w:rFonts w:ascii="Calibri" w:hAnsi="Calibri"/>
                <w:b w:val="0"/>
                <w:i/>
                <w:color w:val="667085"/>
                <w:sz w:val="17"/>
              </w:rPr>
              <w:t>Contrôle la qualité</w:t>
            </w:r>
          </w:p>
        </w:tc>
        <w:tc>
          <w:tcPr>
            <w:tcW w:w="7440"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FFF"/>
            <w:tcMar>
              <w:top w:w="100" w:type="dxa"/>
              <w:left w:w="120" w:type="dxa"/>
              <w:bottom w:w="100" w:type="dxa"/>
              <w:right w:w="120" w:type="dxa"/>
            </w:tcMar>
            <w:vAlign w:val="center"/>
          </w:tcPr>
          <w:p w14:paraId="3E5C68AC">
            <w:pPr>
              <w:spacing w:after="40"/>
            </w:pPr>
            <w:r>
              <w:rPr>
                <w:rFonts w:ascii="Calibri" w:hAnsi="Calibri"/>
                <w:b w:val="0"/>
                <w:i w:val="0"/>
                <w:color w:val="243047"/>
                <w:sz w:val="19"/>
              </w:rPr>
              <w:t>Dispose d’une vision transversale; consulte les dossiers, l’historique et les registres; suit les délais et les anomalies; exploite les tableaux de bord; exporte les données en PDF ou Excel pour les travaux de contrôle interne et de reporting.</w:t>
            </w:r>
          </w:p>
        </w:tc>
      </w:tr>
    </w:tbl>
    <w:p w14:paraId="19335B29">
      <w:pPr>
        <w:spacing w:after="0"/>
      </w:pPr>
    </w:p>
    <w:tbl>
      <w:tblPr>
        <w:tblStyle w:val="65"/>
        <w:tblW w:w="9744"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7440"/>
      </w:tblGrid>
      <w:tr w14:paraId="59E21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6DF"/>
            <w:tcMar>
              <w:top w:w="100" w:type="dxa"/>
              <w:left w:w="120" w:type="dxa"/>
              <w:bottom w:w="100" w:type="dxa"/>
              <w:right w:w="120" w:type="dxa"/>
            </w:tcMar>
            <w:vAlign w:val="center"/>
          </w:tcPr>
          <w:p w14:paraId="2E987FF8">
            <w:pPr>
              <w:spacing w:after="40"/>
            </w:pPr>
            <w:r>
              <w:rPr>
                <w:rFonts w:ascii="Calibri" w:hAnsi="Calibri"/>
                <w:b/>
                <w:i w:val="0"/>
                <w:color w:val="1C203D"/>
                <w:sz w:val="21"/>
              </w:rPr>
              <w:t>Direction générale</w:t>
            </w:r>
          </w:p>
          <w:p w14:paraId="1DF22DCD">
            <w:pPr>
              <w:spacing w:after="0"/>
            </w:pPr>
            <w:r>
              <w:rPr>
                <w:rFonts w:ascii="Calibri" w:hAnsi="Calibri"/>
                <w:b w:val="0"/>
                <w:i/>
                <w:color w:val="667085"/>
                <w:sz w:val="17"/>
              </w:rPr>
              <w:t>Pilote au niveau stratégique</w:t>
            </w:r>
          </w:p>
        </w:tc>
        <w:tc>
          <w:tcPr>
            <w:tcW w:w="7440"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FFF"/>
            <w:tcMar>
              <w:top w:w="100" w:type="dxa"/>
              <w:left w:w="120" w:type="dxa"/>
              <w:bottom w:w="100" w:type="dxa"/>
              <w:right w:w="120" w:type="dxa"/>
            </w:tcMar>
            <w:vAlign w:val="center"/>
          </w:tcPr>
          <w:p w14:paraId="05E54100">
            <w:pPr>
              <w:spacing w:after="40"/>
            </w:pPr>
            <w:r>
              <w:rPr>
                <w:rFonts w:ascii="Calibri" w:hAnsi="Calibri"/>
                <w:b w:val="0"/>
                <w:i w:val="0"/>
                <w:color w:val="243047"/>
                <w:sz w:val="19"/>
              </w:rPr>
              <w:t>Accède à une vue globale et consolidée des volumes, délais, taux de clôture et tendances. Elle peut apprécier la performance des directions et services, repérer les points de blocage et orienter les décisions d’amélioration.</w:t>
            </w:r>
          </w:p>
        </w:tc>
      </w:tr>
    </w:tbl>
    <w:p w14:paraId="50B6EF01">
      <w:pPr>
        <w:spacing w:after="0"/>
      </w:pPr>
    </w:p>
    <w:tbl>
      <w:tblPr>
        <w:tblStyle w:val="65"/>
        <w:tblW w:w="9744"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7440"/>
      </w:tblGrid>
      <w:tr w14:paraId="069C4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EAF4FB"/>
            <w:tcMar>
              <w:top w:w="100" w:type="dxa"/>
              <w:left w:w="120" w:type="dxa"/>
              <w:bottom w:w="100" w:type="dxa"/>
              <w:right w:w="120" w:type="dxa"/>
            </w:tcMar>
            <w:vAlign w:val="center"/>
          </w:tcPr>
          <w:p w14:paraId="02550242">
            <w:pPr>
              <w:spacing w:after="40"/>
            </w:pPr>
            <w:r>
              <w:rPr>
                <w:rFonts w:ascii="Calibri" w:hAnsi="Calibri"/>
                <w:b/>
                <w:i w:val="0"/>
                <w:color w:val="1C203D"/>
                <w:sz w:val="21"/>
              </w:rPr>
              <w:t>Administrateur</w:t>
            </w:r>
          </w:p>
          <w:p w14:paraId="288E9495">
            <w:pPr>
              <w:spacing w:after="0"/>
            </w:pPr>
            <w:r>
              <w:rPr>
                <w:rFonts w:ascii="Calibri" w:hAnsi="Calibri"/>
                <w:b w:val="0"/>
                <w:i/>
                <w:color w:val="667085"/>
                <w:sz w:val="17"/>
              </w:rPr>
              <w:t>Configure et sécurise</w:t>
            </w:r>
          </w:p>
        </w:tc>
        <w:tc>
          <w:tcPr>
            <w:tcW w:w="7440"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FFF"/>
            <w:tcMar>
              <w:top w:w="100" w:type="dxa"/>
              <w:left w:w="120" w:type="dxa"/>
              <w:bottom w:w="100" w:type="dxa"/>
              <w:right w:w="120" w:type="dxa"/>
            </w:tcMar>
            <w:vAlign w:val="center"/>
          </w:tcPr>
          <w:p w14:paraId="5C54C21A">
            <w:pPr>
              <w:spacing w:after="40"/>
            </w:pPr>
            <w:r>
              <w:rPr>
                <w:rFonts w:ascii="Calibri" w:hAnsi="Calibri"/>
                <w:b w:val="0"/>
                <w:i w:val="0"/>
                <w:color w:val="243047"/>
                <w:sz w:val="19"/>
              </w:rPr>
              <w:t>Gère les utilisateurs, comptes, rôles, permissions, directions et services; active ou désactive les accès; réinitialise les mots de passe; règle les paramètres, jours fériés et seuils SLA; dispose des droits nécessaires au maintien de la plateforme.</w:t>
            </w:r>
          </w:p>
        </w:tc>
      </w:tr>
    </w:tbl>
    <w:p w14:paraId="378CF1DD">
      <w:pPr>
        <w:spacing w:after="0"/>
      </w:pPr>
    </w:p>
    <w:tbl>
      <w:tblPr>
        <w:tblStyle w:val="65"/>
        <w:tblW w:w="9744"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7440"/>
      </w:tblGrid>
      <w:tr w14:paraId="40166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4F6F8"/>
            <w:tcMar>
              <w:top w:w="100" w:type="dxa"/>
              <w:left w:w="120" w:type="dxa"/>
              <w:bottom w:w="100" w:type="dxa"/>
              <w:right w:w="120" w:type="dxa"/>
            </w:tcMar>
            <w:vAlign w:val="center"/>
          </w:tcPr>
          <w:p w14:paraId="598E0EB8">
            <w:pPr>
              <w:spacing w:after="40"/>
            </w:pPr>
            <w:r>
              <w:rPr>
                <w:rFonts w:ascii="Calibri" w:hAnsi="Calibri"/>
                <w:b/>
                <w:i w:val="0"/>
                <w:color w:val="1C203D"/>
                <w:sz w:val="21"/>
              </w:rPr>
              <w:t>Lecture seule</w:t>
            </w:r>
          </w:p>
          <w:p w14:paraId="45FD5898">
            <w:pPr>
              <w:spacing w:after="0"/>
            </w:pPr>
            <w:r>
              <w:rPr>
                <w:rFonts w:ascii="Calibri" w:hAnsi="Calibri"/>
                <w:b w:val="0"/>
                <w:i/>
                <w:color w:val="667085"/>
                <w:sz w:val="17"/>
              </w:rPr>
              <w:t>Consulte sans modifier</w:t>
            </w:r>
          </w:p>
        </w:tc>
        <w:tc>
          <w:tcPr>
            <w:tcW w:w="7440"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FFF"/>
            <w:tcMar>
              <w:top w:w="100" w:type="dxa"/>
              <w:left w:w="120" w:type="dxa"/>
              <w:bottom w:w="100" w:type="dxa"/>
              <w:right w:w="120" w:type="dxa"/>
            </w:tcMar>
            <w:vAlign w:val="center"/>
          </w:tcPr>
          <w:p w14:paraId="750C6F52">
            <w:pPr>
              <w:spacing w:after="40"/>
            </w:pPr>
            <w:r>
              <w:rPr>
                <w:rFonts w:ascii="Calibri" w:hAnsi="Calibri"/>
                <w:b w:val="0"/>
                <w:i w:val="0"/>
                <w:color w:val="243047"/>
                <w:sz w:val="19"/>
              </w:rPr>
              <w:t>Accède aux écrans et indicateurs autorisés dans son périmètre, sans pouvoir affecter, rédiger, envoyer ni modifier les données. Ce rôle convient aux besoins d’observation ou d’audit sans action opérationnelle.</w:t>
            </w:r>
          </w:p>
        </w:tc>
      </w:tr>
    </w:tbl>
    <w:p w14:paraId="6EADED62">
      <w:pPr>
        <w:spacing w:after="0"/>
      </w:pPr>
    </w:p>
    <w:p w14:paraId="67C76E89">
      <w:pPr>
        <w:pStyle w:val="3"/>
        <w:keepNext/>
        <w:keepLines/>
        <w:spacing w:before="180" w:after="80" w:line="240" w:lineRule="auto"/>
      </w:pPr>
      <w:r>
        <w:rPr>
          <w:rFonts w:ascii="Calibri" w:hAnsi="Calibri"/>
          <w:b/>
          <w:i w:val="0"/>
          <w:color w:val="3996D3"/>
          <w:sz w:val="25"/>
        </w:rPr>
        <w:t>Règle d’accès aux données</w:t>
      </w:r>
    </w:p>
    <w:p w14:paraId="43FBEA69">
      <w:pPr>
        <w:spacing w:before="0" w:after="120" w:line="264" w:lineRule="auto"/>
        <w:jc w:val="both"/>
      </w:pPr>
      <w:r>
        <w:rPr>
          <w:rFonts w:ascii="Calibri" w:hAnsi="Calibri"/>
          <w:b w:val="0"/>
          <w:i w:val="0"/>
          <w:color w:val="243047"/>
          <w:sz w:val="21"/>
        </w:rPr>
        <w:t>Le contrôle d’accès combine le rôle, les permissions détaillées et le rattachement organisationnel. Un agent voit ses dossiers; un chef de service voit son service; un chef de direction voit sa direction; les profils CIQ, Direction générale ou administrateur peuvent disposer d’une vision globale selon les permissions attribuées. Cette logique limite l’exposition des informations tout en conservant les besoins de pilotage.</w:t>
      </w:r>
    </w:p>
    <w:tbl>
      <w:tblPr>
        <w:tblStyle w:val="65"/>
        <w:tblW w:w="9744"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44"/>
      </w:tblGrid>
      <w:tr w14:paraId="29475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4" w:type="dxa"/>
            <w:tcBorders>
              <w:top w:val="single" w:color="3996D3" w:sz="8" w:space="0"/>
              <w:left w:val="single" w:color="3996D3" w:sz="8" w:space="0"/>
              <w:bottom w:val="single" w:color="3996D3" w:sz="8" w:space="0"/>
              <w:right w:val="single" w:color="3996D3" w:sz="8" w:space="0"/>
              <w:insideH w:val="single" w:sz="8" w:space="0"/>
              <w:insideV w:val="single" w:sz="8" w:space="0"/>
            </w:tcBorders>
            <w:shd w:val="clear" w:color="auto" w:fill="EAF4FB"/>
            <w:tcMar>
              <w:top w:w="100" w:type="dxa"/>
              <w:left w:w="120" w:type="dxa"/>
              <w:bottom w:w="100" w:type="dxa"/>
              <w:right w:w="120" w:type="dxa"/>
            </w:tcMar>
            <w:vAlign w:val="center"/>
          </w:tcPr>
          <w:p w14:paraId="4BD3ED83">
            <w:pPr>
              <w:spacing w:after="0" w:line="264" w:lineRule="auto"/>
            </w:pPr>
            <w:r>
              <w:rPr>
                <w:rFonts w:ascii="Calibri" w:hAnsi="Calibri"/>
                <w:b/>
                <w:i w:val="0"/>
                <w:color w:val="3996D3"/>
                <w:sz w:val="20"/>
              </w:rPr>
              <w:t xml:space="preserve">SÉPARATION DES FONCTIONS  </w:t>
            </w:r>
            <w:r>
              <w:rPr>
                <w:rFonts w:ascii="Calibri" w:hAnsi="Calibri"/>
                <w:b w:val="0"/>
                <w:i w:val="0"/>
                <w:color w:val="243047"/>
                <w:sz w:val="20"/>
              </w:rPr>
              <w:t>Le traitement, le contrôle et l’administration sont confiés à des profils distincts. Cette séparation réduit les modifications injustifiées et renforce la valeur probante de l’historique.</w:t>
            </w:r>
          </w:p>
        </w:tc>
      </w:tr>
    </w:tbl>
    <w:p w14:paraId="29770A52">
      <w:pPr>
        <w:spacing w:after="40"/>
      </w:pPr>
    </w:p>
    <w:p w14:paraId="64EE7CD4">
      <w:r>
        <w:br w:type="page"/>
      </w:r>
    </w:p>
    <w:p w14:paraId="1AEBAF07">
      <w:pPr>
        <w:spacing w:after="40"/>
      </w:pPr>
      <w:r>
        <w:rPr>
          <w:rFonts w:ascii="Calibri" w:hAnsi="Calibri"/>
          <w:b/>
          <w:i w:val="0"/>
          <w:color w:val="8FC043"/>
          <w:sz w:val="17"/>
        </w:rPr>
        <w:t>04  |  FONCTIONS CLÉS ET FIABILITÉ</w:t>
      </w:r>
    </w:p>
    <w:p w14:paraId="55397D20">
      <w:pPr>
        <w:pStyle w:val="2"/>
        <w:keepNext/>
        <w:keepLines/>
        <w:spacing w:before="280" w:after="120" w:line="240" w:lineRule="auto"/>
      </w:pPr>
      <w:r>
        <w:rPr>
          <w:rFonts w:ascii="Calibri" w:hAnsi="Calibri"/>
          <w:b/>
          <w:i w:val="0"/>
          <w:color w:val="1C203D"/>
          <w:sz w:val="32"/>
        </w:rPr>
        <w:t>Ce que la plateforme apporte au quotidien</w:t>
      </w:r>
    </w:p>
    <w:tbl>
      <w:tblPr>
        <w:tblStyle w:val="65"/>
        <w:tblW w:w="9744"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72"/>
        <w:gridCol w:w="4872"/>
      </w:tblGrid>
      <w:tr w14:paraId="5CCCD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2"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EAF4FB"/>
            <w:tcMar>
              <w:top w:w="100" w:type="dxa"/>
              <w:left w:w="120" w:type="dxa"/>
              <w:bottom w:w="100" w:type="dxa"/>
              <w:right w:w="120" w:type="dxa"/>
            </w:tcMar>
            <w:vAlign w:val="center"/>
          </w:tcPr>
          <w:p w14:paraId="0E812B7F">
            <w:pPr>
              <w:spacing w:after="60"/>
            </w:pPr>
            <w:r>
              <w:rPr>
                <w:rFonts w:ascii="Calibri" w:hAnsi="Calibri"/>
                <w:b/>
                <w:i w:val="0"/>
                <w:color w:val="1C203D"/>
                <w:sz w:val="21"/>
              </w:rPr>
              <w:t>Suivi des délais ouvrés</w:t>
            </w:r>
          </w:p>
          <w:p w14:paraId="77121E3C">
            <w:pPr>
              <w:spacing w:after="0" w:line="259" w:lineRule="auto"/>
            </w:pPr>
            <w:r>
              <w:rPr>
                <w:rFonts w:ascii="Calibri" w:hAnsi="Calibri"/>
                <w:b w:val="0"/>
                <w:i w:val="0"/>
                <w:color w:val="243047"/>
                <w:sz w:val="18"/>
              </w:rPr>
              <w:t>Le moteur SLA tient compte des jours et horaires de travail ainsi que des jours fériés. La configuration actuelle vise 24 heures ouvrées et distingue des seuils d’alerte pour l’Accueil, le chef de service, l’agent et le délai global.</w:t>
            </w:r>
          </w:p>
        </w:tc>
        <w:tc>
          <w:tcPr>
            <w:tcW w:w="4872"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EEF7E9"/>
            <w:tcMar>
              <w:top w:w="100" w:type="dxa"/>
              <w:left w:w="120" w:type="dxa"/>
              <w:bottom w:w="100" w:type="dxa"/>
              <w:right w:w="120" w:type="dxa"/>
            </w:tcMar>
            <w:vAlign w:val="center"/>
          </w:tcPr>
          <w:p w14:paraId="21EEFA61">
            <w:pPr>
              <w:spacing w:after="60"/>
            </w:pPr>
            <w:r>
              <w:rPr>
                <w:rFonts w:ascii="Calibri" w:hAnsi="Calibri"/>
                <w:b/>
                <w:i w:val="0"/>
                <w:color w:val="1C203D"/>
                <w:sz w:val="21"/>
              </w:rPr>
              <w:t>Alertes visuelles</w:t>
            </w:r>
          </w:p>
          <w:p w14:paraId="5094D5F7">
            <w:pPr>
              <w:spacing w:after="0" w:line="259" w:lineRule="auto"/>
            </w:pPr>
            <w:r>
              <w:rPr>
                <w:rFonts w:ascii="Calibri" w:hAnsi="Calibri"/>
                <w:b w:val="0"/>
                <w:i w:val="0"/>
                <w:color w:val="243047"/>
                <w:sz w:val="18"/>
              </w:rPr>
              <w:t>Un code vert, orange ou rouge permet d’identifier immédiatement les dossiers dans les temps, proches de l’échéance ou en retard. Les alertes évoluent avec l’étape active du traitement.</w:t>
            </w:r>
          </w:p>
        </w:tc>
      </w:tr>
      <w:tr w14:paraId="341DF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2"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6DF"/>
            <w:vAlign w:val="center"/>
          </w:tcPr>
          <w:p w14:paraId="0081EB29">
            <w:pPr>
              <w:spacing w:after="60"/>
            </w:pPr>
            <w:r>
              <w:rPr>
                <w:rFonts w:ascii="Calibri" w:hAnsi="Calibri"/>
                <w:b/>
                <w:i w:val="0"/>
                <w:color w:val="1C203D"/>
                <w:sz w:val="21"/>
              </w:rPr>
              <w:t>Réponse par courriel</w:t>
            </w:r>
          </w:p>
          <w:p w14:paraId="1793D7E1">
            <w:pPr>
              <w:spacing w:after="0" w:line="259" w:lineRule="auto"/>
            </w:pPr>
            <w:r>
              <w:rPr>
                <w:rFonts w:ascii="Calibri" w:hAnsi="Calibri"/>
                <w:b w:val="0"/>
                <w:i w:val="0"/>
                <w:color w:val="243047"/>
                <w:sz w:val="18"/>
              </w:rPr>
              <w:t>L’envoi de la réponse est exécuté en file d’attente. Les pièces jointes sont intégrées au message; en cas d’échec, l’erreur est enregistrée et une nouvelle tentative peut être lancée sans clôture prématurée.</w:t>
            </w:r>
          </w:p>
        </w:tc>
        <w:tc>
          <w:tcPr>
            <w:tcW w:w="4872"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EAF4FB"/>
            <w:vAlign w:val="center"/>
          </w:tcPr>
          <w:p w14:paraId="528F53B0">
            <w:pPr>
              <w:spacing w:after="60"/>
            </w:pPr>
            <w:r>
              <w:rPr>
                <w:rFonts w:ascii="Calibri" w:hAnsi="Calibri"/>
                <w:b/>
                <w:i w:val="0"/>
                <w:color w:val="1C203D"/>
                <w:sz w:val="21"/>
              </w:rPr>
              <w:t>Traçabilité complète</w:t>
            </w:r>
          </w:p>
          <w:p w14:paraId="7F178C6F">
            <w:pPr>
              <w:spacing w:after="0" w:line="259" w:lineRule="auto"/>
            </w:pPr>
            <w:r>
              <w:rPr>
                <w:rFonts w:ascii="Calibri" w:hAnsi="Calibri"/>
                <w:b w:val="0"/>
                <w:i w:val="0"/>
                <w:color w:val="243047"/>
                <w:sz w:val="18"/>
              </w:rPr>
              <w:t>Les affectations, changements de statut, réponses, consultations sensibles, envois, exports et actions d’administration alimentent un historique. Le CIQ peut ainsi reconstituer le parcours d’un dossier.</w:t>
            </w:r>
          </w:p>
        </w:tc>
      </w:tr>
      <w:tr w14:paraId="5CA24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2"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EEF7E9"/>
            <w:vAlign w:val="center"/>
          </w:tcPr>
          <w:p w14:paraId="7A094087">
            <w:pPr>
              <w:spacing w:after="60"/>
            </w:pPr>
            <w:r>
              <w:rPr>
                <w:rFonts w:ascii="Calibri" w:hAnsi="Calibri"/>
                <w:b/>
                <w:i w:val="0"/>
                <w:color w:val="1C203D"/>
                <w:sz w:val="21"/>
              </w:rPr>
              <w:t>Tableaux de bord</w:t>
            </w:r>
          </w:p>
          <w:p w14:paraId="346DCC28">
            <w:pPr>
              <w:spacing w:after="0" w:line="259" w:lineRule="auto"/>
            </w:pPr>
            <w:r>
              <w:rPr>
                <w:rFonts w:ascii="Calibri" w:hAnsi="Calibri"/>
                <w:b w:val="0"/>
                <w:i w:val="0"/>
                <w:color w:val="243047"/>
                <w:sz w:val="18"/>
              </w:rPr>
              <w:t>Les indicateurs présentent les volumes reçus, ouverts ou clôturés, les dossiers à risque ou en retard, les délais moyens et les répartitions par période, statut, direction, service ou agent.</w:t>
            </w:r>
          </w:p>
        </w:tc>
        <w:tc>
          <w:tcPr>
            <w:tcW w:w="4872"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6DF"/>
            <w:vAlign w:val="center"/>
          </w:tcPr>
          <w:p w14:paraId="488CD5D4">
            <w:pPr>
              <w:spacing w:after="60"/>
            </w:pPr>
            <w:r>
              <w:rPr>
                <w:rFonts w:ascii="Calibri" w:hAnsi="Calibri"/>
                <w:b/>
                <w:i w:val="0"/>
                <w:color w:val="1C203D"/>
                <w:sz w:val="21"/>
              </w:rPr>
              <w:t>Exports et registres</w:t>
            </w:r>
          </w:p>
          <w:p w14:paraId="39684373">
            <w:pPr>
              <w:spacing w:after="0" w:line="259" w:lineRule="auto"/>
            </w:pPr>
            <w:r>
              <w:rPr>
                <w:rFonts w:ascii="Calibri" w:hAnsi="Calibri"/>
                <w:b w:val="0"/>
                <w:i w:val="0"/>
                <w:color w:val="243047"/>
                <w:sz w:val="18"/>
              </w:rPr>
              <w:t>Les données filtrées peuvent être exportées en PDF ou au format Excel. Des registres dédiés facilitent le suivi des courriels, des contrôles CIQ et des actions récentes.</w:t>
            </w:r>
          </w:p>
        </w:tc>
      </w:tr>
    </w:tbl>
    <w:p w14:paraId="4865B18C">
      <w:pPr>
        <w:pStyle w:val="3"/>
        <w:keepNext/>
        <w:keepLines/>
        <w:spacing w:before="180" w:after="80" w:line="240" w:lineRule="auto"/>
      </w:pPr>
      <w:r>
        <w:rPr>
          <w:rFonts w:ascii="Calibri" w:hAnsi="Calibri"/>
          <w:b/>
          <w:i w:val="0"/>
          <w:color w:val="3996D3"/>
          <w:sz w:val="25"/>
        </w:rPr>
        <w:t>Protection des informations</w:t>
      </w:r>
    </w:p>
    <w:p w14:paraId="7D5A4891">
      <w:pPr>
        <w:spacing w:before="0" w:after="120" w:line="264" w:lineRule="auto"/>
        <w:jc w:val="both"/>
      </w:pPr>
      <w:r>
        <w:rPr>
          <w:rFonts w:ascii="Calibri" w:hAnsi="Calibri"/>
          <w:b w:val="0"/>
          <w:i w:val="0"/>
          <w:color w:val="243047"/>
          <w:sz w:val="21"/>
        </w:rPr>
        <w:t>Les comptes internes sont authentifiés et les autorisations sont vérifiées côté serveur. Après cinq échecs de connexion, un verrouillage temporaire de quinze minutes peut être appliqué. Les comptes créés ou réinitialisés doivent changer leur mot de passe. Les pièces jointes sont conservées dans un espace privé, et des limitations de fréquence protègent les formulaires publics, la connexion et les interfaces applicatives contre les usages abusifs.</w:t>
      </w:r>
    </w:p>
    <w:p w14:paraId="37E78F15">
      <w:pPr>
        <w:spacing w:before="0" w:after="120" w:line="264" w:lineRule="auto"/>
        <w:jc w:val="both"/>
      </w:pPr>
      <w:r>
        <w:rPr>
          <w:rFonts w:ascii="Calibri" w:hAnsi="Calibri"/>
          <w:b w:val="0"/>
          <w:i w:val="0"/>
          <w:color w:val="243047"/>
          <w:sz w:val="21"/>
        </w:rPr>
        <w:t>La plateforme ne se limite donc pas à enregistrer une réclamation : elle sécurise le traitement, conserve les preuves utiles et fournit les éléments de contrôle nécessaires à une administration publique. Cette approche améliore la continuité du service même lorsque plusieurs agents interviennent successivement.</w:t>
      </w:r>
    </w:p>
    <w:p w14:paraId="1A367FEB">
      <w:pPr>
        <w:pStyle w:val="3"/>
        <w:keepNext/>
        <w:keepLines/>
        <w:spacing w:before="180" w:after="80" w:line="240" w:lineRule="auto"/>
      </w:pPr>
      <w:r>
        <w:rPr>
          <w:rFonts w:ascii="Calibri" w:hAnsi="Calibri"/>
          <w:b/>
          <w:i w:val="0"/>
          <w:color w:val="3996D3"/>
          <w:sz w:val="25"/>
        </w:rPr>
        <w:t>Indicateurs utiles au pilotage</w:t>
      </w:r>
    </w:p>
    <w:p w14:paraId="1AC1D0C3">
      <w:pPr>
        <w:pStyle w:val="33"/>
        <w:spacing w:before="0" w:after="40" w:line="264" w:lineRule="auto"/>
        <w:ind w:left="720" w:hanging="360"/>
      </w:pPr>
      <w:r>
        <w:rPr>
          <w:rFonts w:ascii="Calibri" w:hAnsi="Calibri"/>
          <w:b w:val="0"/>
          <w:i w:val="0"/>
          <w:color w:val="243047"/>
          <w:sz w:val="21"/>
        </w:rPr>
        <w:t>nombre de réclamations reçues, ouvertes et clôturées sur une période donnée;</w:t>
      </w:r>
    </w:p>
    <w:p w14:paraId="30F79C13">
      <w:pPr>
        <w:pStyle w:val="33"/>
        <w:spacing w:before="0" w:after="40" w:line="264" w:lineRule="auto"/>
        <w:ind w:left="720" w:hanging="360"/>
      </w:pPr>
      <w:r>
        <w:rPr>
          <w:rFonts w:ascii="Calibri" w:hAnsi="Calibri"/>
          <w:b w:val="0"/>
          <w:i w:val="0"/>
          <w:color w:val="243047"/>
          <w:sz w:val="21"/>
        </w:rPr>
        <w:t>taux de traitement dans le délai, dossiers à risque et dossiers en retard;</w:t>
      </w:r>
    </w:p>
    <w:p w14:paraId="2CD56960">
      <w:pPr>
        <w:pStyle w:val="33"/>
        <w:spacing w:before="0" w:after="40" w:line="264" w:lineRule="auto"/>
        <w:ind w:left="720" w:hanging="360"/>
      </w:pPr>
      <w:r>
        <w:rPr>
          <w:rFonts w:ascii="Calibri" w:hAnsi="Calibri"/>
          <w:b w:val="0"/>
          <w:i w:val="0"/>
          <w:color w:val="243047"/>
          <w:sz w:val="21"/>
        </w:rPr>
        <w:t>délai moyen ouvré et répartition par direction, service, agent ou statut;</w:t>
      </w:r>
    </w:p>
    <w:p w14:paraId="2C70D6D3">
      <w:pPr>
        <w:pStyle w:val="33"/>
        <w:spacing w:before="0" w:after="40" w:line="264" w:lineRule="auto"/>
        <w:ind w:left="720" w:hanging="360"/>
      </w:pPr>
      <w:r>
        <w:rPr>
          <w:rFonts w:ascii="Calibri" w:hAnsi="Calibri"/>
          <w:b w:val="0"/>
          <w:i w:val="0"/>
          <w:color w:val="243047"/>
          <w:sz w:val="21"/>
        </w:rPr>
        <w:t>activité récente, état des envois de courriels et éléments du registre de contrôle.</w:t>
      </w:r>
    </w:p>
    <w:tbl>
      <w:tblPr>
        <w:tblStyle w:val="65"/>
        <w:tblW w:w="9744"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44"/>
      </w:tblGrid>
      <w:tr w14:paraId="40C75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4" w:type="dxa"/>
            <w:tcBorders>
              <w:top w:val="single" w:color="8FC043" w:sz="8" w:space="0"/>
              <w:left w:val="single" w:color="8FC043" w:sz="8" w:space="0"/>
              <w:bottom w:val="single" w:color="8FC043" w:sz="8" w:space="0"/>
              <w:right w:val="single" w:color="8FC043" w:sz="8" w:space="0"/>
              <w:insideH w:val="single" w:sz="8" w:space="0"/>
              <w:insideV w:val="single" w:sz="8" w:space="0"/>
            </w:tcBorders>
            <w:shd w:val="clear" w:color="auto" w:fill="EEF7E9"/>
            <w:tcMar>
              <w:top w:w="100" w:type="dxa"/>
              <w:left w:w="120" w:type="dxa"/>
              <w:bottom w:w="100" w:type="dxa"/>
              <w:right w:w="120" w:type="dxa"/>
            </w:tcMar>
            <w:vAlign w:val="center"/>
          </w:tcPr>
          <w:p w14:paraId="528A12D3">
            <w:pPr>
              <w:spacing w:after="0" w:line="264" w:lineRule="auto"/>
            </w:pPr>
            <w:r>
              <w:rPr>
                <w:rFonts w:ascii="Calibri" w:hAnsi="Calibri"/>
                <w:b/>
                <w:i w:val="0"/>
                <w:color w:val="8FC043"/>
                <w:sz w:val="20"/>
              </w:rPr>
              <w:t xml:space="preserve">LECTURE RAPIDE  </w:t>
            </w:r>
            <w:r>
              <w:rPr>
                <w:rFonts w:ascii="Calibri" w:hAnsi="Calibri"/>
                <w:b w:val="0"/>
                <w:i w:val="0"/>
                <w:color w:val="243047"/>
                <w:sz w:val="20"/>
              </w:rPr>
              <w:t>Les filtres par période et périmètre transforment ces indicateurs globaux en vues directement exploitables par chaque responsable.</w:t>
            </w:r>
          </w:p>
        </w:tc>
      </w:tr>
    </w:tbl>
    <w:p w14:paraId="2C325373">
      <w:pPr>
        <w:spacing w:after="40"/>
      </w:pPr>
    </w:p>
    <w:p w14:paraId="4E7BDEC9">
      <w:r>
        <w:br w:type="page"/>
      </w:r>
    </w:p>
    <w:p w14:paraId="426356D1">
      <w:pPr>
        <w:spacing w:after="40"/>
      </w:pPr>
      <w:r>
        <w:rPr>
          <w:rFonts w:ascii="Calibri" w:hAnsi="Calibri"/>
          <w:b/>
          <w:i w:val="0"/>
          <w:color w:val="8FC043"/>
          <w:sz w:val="17"/>
        </w:rPr>
        <w:t>05  |  ARCHITECTURE TECHNIQUE</w:t>
      </w:r>
    </w:p>
    <w:p w14:paraId="51E3F28C">
      <w:pPr>
        <w:pStyle w:val="2"/>
        <w:keepNext/>
        <w:keepLines/>
        <w:spacing w:before="280" w:after="120" w:line="240" w:lineRule="auto"/>
      </w:pPr>
      <w:r>
        <w:rPr>
          <w:rFonts w:ascii="Calibri" w:hAnsi="Calibri"/>
          <w:b/>
          <w:i w:val="0"/>
          <w:color w:val="1C203D"/>
          <w:sz w:val="32"/>
        </w:rPr>
        <w:t>Une application web structurée et maintenable</w:t>
      </w:r>
    </w:p>
    <w:p w14:paraId="10880639">
      <w:pPr>
        <w:spacing w:before="0" w:after="120" w:line="264" w:lineRule="auto"/>
        <w:jc w:val="both"/>
      </w:pPr>
      <w:r>
        <w:rPr>
          <w:rFonts w:ascii="Calibri" w:hAnsi="Calibri"/>
          <w:b w:val="0"/>
          <w:i w:val="0"/>
          <w:color w:val="243047"/>
          <w:sz w:val="21"/>
        </w:rPr>
        <w:t>La solution est développée sous forme d’application web selon le modèle MVC. Cette organisation sépare les règles métier, les données et les interfaces, ce qui facilite la maintenance et l’évolution. Les contrôleurs orchestrent les actions, les modèles représentent les entités de gestion et les vues Blade produisent les écrans destinés aux utilisateurs.</w:t>
      </w:r>
    </w:p>
    <w:tbl>
      <w:tblPr>
        <w:tblStyle w:val="65"/>
        <w:tblW w:w="9744"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0"/>
        <w:gridCol w:w="2597"/>
        <w:gridCol w:w="4797"/>
      </w:tblGrid>
      <w:tr w14:paraId="39A99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50" w:type="dxa"/>
            <w:tcBorders>
              <w:top w:val="single" w:color="FFFFFF" w:sz="6" w:space="0"/>
              <w:left w:val="single" w:color="FFFFFF" w:sz="6" w:space="0"/>
              <w:bottom w:val="single" w:color="FFFFFF" w:sz="6" w:space="0"/>
              <w:right w:val="single" w:color="FFFFFF" w:sz="6" w:space="0"/>
              <w:insideH w:val="single" w:sz="6" w:space="0"/>
              <w:insideV w:val="single" w:sz="6" w:space="0"/>
            </w:tcBorders>
            <w:shd w:val="clear" w:color="auto" w:fill="1C203D"/>
            <w:tcMar>
              <w:top w:w="100" w:type="dxa"/>
              <w:left w:w="120" w:type="dxa"/>
              <w:bottom w:w="100" w:type="dxa"/>
              <w:right w:w="120" w:type="dxa"/>
            </w:tcMar>
            <w:vAlign w:val="center"/>
          </w:tcPr>
          <w:p w14:paraId="6E4A1323">
            <w:pPr>
              <w:spacing w:after="0"/>
              <w:jc w:val="center"/>
            </w:pPr>
            <w:r>
              <w:rPr>
                <w:rFonts w:ascii="Calibri" w:hAnsi="Calibri"/>
                <w:b/>
                <w:i w:val="0"/>
                <w:color w:val="FFFFFF"/>
                <w:sz w:val="19"/>
              </w:rPr>
              <w:t>Couche</w:t>
            </w:r>
          </w:p>
        </w:tc>
        <w:tc>
          <w:tcPr>
            <w:tcW w:w="2597" w:type="dxa"/>
            <w:tcBorders>
              <w:top w:val="single" w:color="FFFFFF" w:sz="6" w:space="0"/>
              <w:left w:val="single" w:color="FFFFFF" w:sz="6" w:space="0"/>
              <w:bottom w:val="single" w:color="FFFFFF" w:sz="6" w:space="0"/>
              <w:right w:val="single" w:color="FFFFFF" w:sz="6" w:space="0"/>
              <w:insideH w:val="single" w:sz="6" w:space="0"/>
              <w:insideV w:val="single" w:sz="6" w:space="0"/>
            </w:tcBorders>
            <w:shd w:val="clear" w:color="auto" w:fill="1C203D"/>
            <w:tcMar>
              <w:top w:w="100" w:type="dxa"/>
              <w:left w:w="120" w:type="dxa"/>
              <w:bottom w:w="100" w:type="dxa"/>
              <w:right w:w="120" w:type="dxa"/>
            </w:tcMar>
            <w:vAlign w:val="center"/>
          </w:tcPr>
          <w:p w14:paraId="3251BF85">
            <w:pPr>
              <w:spacing w:after="0"/>
              <w:jc w:val="center"/>
            </w:pPr>
            <w:r>
              <w:rPr>
                <w:rFonts w:ascii="Calibri" w:hAnsi="Calibri"/>
                <w:b/>
                <w:i w:val="0"/>
                <w:color w:val="FFFFFF"/>
                <w:sz w:val="19"/>
              </w:rPr>
              <w:t>Technologies</w:t>
            </w:r>
          </w:p>
        </w:tc>
        <w:tc>
          <w:tcPr>
            <w:tcW w:w="4797" w:type="dxa"/>
            <w:tcBorders>
              <w:top w:val="single" w:color="FFFFFF" w:sz="6" w:space="0"/>
              <w:left w:val="single" w:color="FFFFFF" w:sz="6" w:space="0"/>
              <w:bottom w:val="single" w:color="FFFFFF" w:sz="6" w:space="0"/>
              <w:right w:val="single" w:color="FFFFFF" w:sz="6" w:space="0"/>
              <w:insideH w:val="single" w:sz="6" w:space="0"/>
              <w:insideV w:val="single" w:sz="6" w:space="0"/>
            </w:tcBorders>
            <w:shd w:val="clear" w:color="auto" w:fill="1C203D"/>
            <w:tcMar>
              <w:top w:w="100" w:type="dxa"/>
              <w:left w:w="120" w:type="dxa"/>
              <w:bottom w:w="100" w:type="dxa"/>
              <w:right w:w="120" w:type="dxa"/>
            </w:tcMar>
            <w:vAlign w:val="center"/>
          </w:tcPr>
          <w:p w14:paraId="3F800507">
            <w:pPr>
              <w:spacing w:after="0"/>
              <w:jc w:val="center"/>
            </w:pPr>
            <w:r>
              <w:rPr>
                <w:rFonts w:ascii="Calibri" w:hAnsi="Calibri"/>
                <w:b/>
                <w:i w:val="0"/>
                <w:color w:val="FFFFFF"/>
                <w:sz w:val="19"/>
              </w:rPr>
              <w:t>Rôle dans la solution</w:t>
            </w:r>
          </w:p>
        </w:tc>
      </w:tr>
      <w:tr w14:paraId="5FED5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FFF"/>
            <w:vAlign w:val="center"/>
          </w:tcPr>
          <w:p w14:paraId="3FE64CFA">
            <w:pPr>
              <w:spacing w:after="0"/>
            </w:pPr>
            <w:r>
              <w:rPr>
                <w:rFonts w:ascii="Calibri" w:hAnsi="Calibri"/>
                <w:b/>
                <w:i w:val="0"/>
                <w:color w:val="1C203D"/>
                <w:sz w:val="17"/>
              </w:rPr>
              <w:t>Back-end</w:t>
            </w:r>
          </w:p>
        </w:tc>
        <w:tc>
          <w:tcPr>
            <w:tcW w:w="2597"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FFF"/>
            <w:vAlign w:val="center"/>
          </w:tcPr>
          <w:p w14:paraId="43382039">
            <w:pPr>
              <w:spacing w:after="0"/>
            </w:pPr>
            <w:r>
              <w:rPr>
                <w:rFonts w:ascii="Calibri" w:hAnsi="Calibri"/>
                <w:b w:val="0"/>
                <w:i w:val="0"/>
                <w:color w:val="243047"/>
                <w:sz w:val="17"/>
              </w:rPr>
              <w:t>PHP 8.2, Laravel 12</w:t>
            </w:r>
          </w:p>
        </w:tc>
        <w:tc>
          <w:tcPr>
            <w:tcW w:w="4797"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FFF"/>
            <w:vAlign w:val="center"/>
          </w:tcPr>
          <w:p w14:paraId="4962B4D4">
            <w:pPr>
              <w:spacing w:after="0"/>
            </w:pPr>
            <w:r>
              <w:rPr>
                <w:rFonts w:ascii="Calibri" w:hAnsi="Calibri"/>
                <w:b w:val="0"/>
                <w:i w:val="0"/>
                <w:color w:val="243047"/>
                <w:sz w:val="17"/>
              </w:rPr>
              <w:t>Gestion du workflow, des règles métier, de l’authentification, des permissions, des exports et des traitements différés.</w:t>
            </w:r>
          </w:p>
        </w:tc>
      </w:tr>
      <w:tr w14:paraId="2DEEF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4F6F8"/>
            <w:vAlign w:val="center"/>
          </w:tcPr>
          <w:p w14:paraId="3A4283DA">
            <w:pPr>
              <w:spacing w:after="0"/>
            </w:pPr>
            <w:r>
              <w:rPr>
                <w:rFonts w:ascii="Calibri" w:hAnsi="Calibri"/>
                <w:b/>
                <w:i w:val="0"/>
                <w:color w:val="1C203D"/>
                <w:sz w:val="17"/>
              </w:rPr>
              <w:t>Interface</w:t>
            </w:r>
          </w:p>
        </w:tc>
        <w:tc>
          <w:tcPr>
            <w:tcW w:w="2597"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4F6F8"/>
            <w:vAlign w:val="center"/>
          </w:tcPr>
          <w:p w14:paraId="2F2E347E">
            <w:pPr>
              <w:spacing w:after="0"/>
            </w:pPr>
            <w:r>
              <w:rPr>
                <w:rFonts w:ascii="Calibri" w:hAnsi="Calibri"/>
                <w:b w:val="0"/>
                <w:i w:val="0"/>
                <w:color w:val="243047"/>
                <w:sz w:val="17"/>
              </w:rPr>
              <w:t>Blade, Tailwind CSS 4, JavaScript</w:t>
            </w:r>
          </w:p>
        </w:tc>
        <w:tc>
          <w:tcPr>
            <w:tcW w:w="4797"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4F6F8"/>
            <w:vAlign w:val="center"/>
          </w:tcPr>
          <w:p w14:paraId="5EB9A98D">
            <w:pPr>
              <w:spacing w:after="0"/>
            </w:pPr>
            <w:r>
              <w:rPr>
                <w:rFonts w:ascii="Calibri" w:hAnsi="Calibri"/>
                <w:b w:val="0"/>
                <w:i w:val="0"/>
                <w:color w:val="243047"/>
                <w:sz w:val="17"/>
              </w:rPr>
              <w:t>Écrans responsifs, formulaires, tableaux de bord, filtres et interactions côté navigateur.</w:t>
            </w:r>
          </w:p>
        </w:tc>
      </w:tr>
      <w:tr w14:paraId="03D0E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FFF"/>
            <w:vAlign w:val="center"/>
          </w:tcPr>
          <w:p w14:paraId="63F5DFC9">
            <w:pPr>
              <w:spacing w:after="0"/>
            </w:pPr>
            <w:r>
              <w:rPr>
                <w:rFonts w:ascii="Calibri" w:hAnsi="Calibri"/>
                <w:b/>
                <w:i w:val="0"/>
                <w:color w:val="1C203D"/>
                <w:sz w:val="17"/>
              </w:rPr>
              <w:t>Construction</w:t>
            </w:r>
          </w:p>
        </w:tc>
        <w:tc>
          <w:tcPr>
            <w:tcW w:w="2597"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FFF"/>
            <w:vAlign w:val="center"/>
          </w:tcPr>
          <w:p w14:paraId="77E56416">
            <w:pPr>
              <w:spacing w:after="0"/>
            </w:pPr>
            <w:r>
              <w:rPr>
                <w:rFonts w:ascii="Calibri" w:hAnsi="Calibri"/>
                <w:b w:val="0"/>
                <w:i w:val="0"/>
                <w:color w:val="243047"/>
                <w:sz w:val="17"/>
              </w:rPr>
              <w:t>Vite 7, npm</w:t>
            </w:r>
          </w:p>
        </w:tc>
        <w:tc>
          <w:tcPr>
            <w:tcW w:w="4797"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FFF"/>
            <w:vAlign w:val="center"/>
          </w:tcPr>
          <w:p w14:paraId="31265FA1">
            <w:pPr>
              <w:spacing w:after="0"/>
            </w:pPr>
            <w:r>
              <w:rPr>
                <w:rFonts w:ascii="Calibri" w:hAnsi="Calibri"/>
                <w:b w:val="0"/>
                <w:i w:val="0"/>
                <w:color w:val="243047"/>
                <w:sz w:val="17"/>
              </w:rPr>
              <w:t>Compilation et optimisation des feuilles de style et scripts utilisés par l’interface.</w:t>
            </w:r>
          </w:p>
        </w:tc>
      </w:tr>
      <w:tr w14:paraId="2988C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4F6F8"/>
            <w:vAlign w:val="center"/>
          </w:tcPr>
          <w:p w14:paraId="3B28EC16">
            <w:pPr>
              <w:spacing w:after="0"/>
            </w:pPr>
            <w:r>
              <w:rPr>
                <w:rFonts w:ascii="Calibri" w:hAnsi="Calibri"/>
                <w:b/>
                <w:i w:val="0"/>
                <w:color w:val="1C203D"/>
                <w:sz w:val="17"/>
              </w:rPr>
              <w:t>Données</w:t>
            </w:r>
          </w:p>
        </w:tc>
        <w:tc>
          <w:tcPr>
            <w:tcW w:w="2597"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4F6F8"/>
            <w:vAlign w:val="center"/>
          </w:tcPr>
          <w:p w14:paraId="21F17646">
            <w:pPr>
              <w:spacing w:after="0"/>
            </w:pPr>
            <w:r>
              <w:rPr>
                <w:rFonts w:ascii="Calibri" w:hAnsi="Calibri"/>
                <w:b w:val="0"/>
                <w:i w:val="0"/>
                <w:color w:val="243047"/>
                <w:sz w:val="17"/>
              </w:rPr>
              <w:t>Eloquent ORM; SQLite ou PostgreSQL</w:t>
            </w:r>
          </w:p>
        </w:tc>
        <w:tc>
          <w:tcPr>
            <w:tcW w:w="4797"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4F6F8"/>
            <w:vAlign w:val="center"/>
          </w:tcPr>
          <w:p w14:paraId="60CC250A">
            <w:pPr>
              <w:spacing w:after="0"/>
            </w:pPr>
            <w:r>
              <w:rPr>
                <w:rFonts w:ascii="Calibri" w:hAnsi="Calibri"/>
                <w:b w:val="0"/>
                <w:i w:val="0"/>
                <w:color w:val="243047"/>
                <w:sz w:val="17"/>
              </w:rPr>
              <w:t>Persistance des usagers, réclamations, affectations, réponses, historiques, paramètres et référentiels. SQLite convient à certains environnements locaux; PostgreSQL est prévu pour le déploiement conteneurisé.</w:t>
            </w:r>
          </w:p>
        </w:tc>
      </w:tr>
      <w:tr w14:paraId="3091E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FFF"/>
            <w:vAlign w:val="center"/>
          </w:tcPr>
          <w:p w14:paraId="6E0C1B8F">
            <w:pPr>
              <w:spacing w:after="0"/>
            </w:pPr>
            <w:r>
              <w:rPr>
                <w:rFonts w:ascii="Calibri" w:hAnsi="Calibri"/>
                <w:b/>
                <w:i w:val="0"/>
                <w:color w:val="1C203D"/>
                <w:sz w:val="17"/>
              </w:rPr>
              <w:t>Sécurité</w:t>
            </w:r>
          </w:p>
        </w:tc>
        <w:tc>
          <w:tcPr>
            <w:tcW w:w="2597"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FFF"/>
            <w:vAlign w:val="center"/>
          </w:tcPr>
          <w:p w14:paraId="676FCB38">
            <w:pPr>
              <w:spacing w:after="0"/>
            </w:pPr>
            <w:r>
              <w:rPr>
                <w:rFonts w:ascii="Calibri" w:hAnsi="Calibri"/>
                <w:b w:val="0"/>
                <w:i w:val="0"/>
                <w:color w:val="243047"/>
                <w:sz w:val="17"/>
              </w:rPr>
              <w:t>Spatie Laravel Permission</w:t>
            </w:r>
          </w:p>
        </w:tc>
        <w:tc>
          <w:tcPr>
            <w:tcW w:w="4797"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FFF"/>
            <w:vAlign w:val="center"/>
          </w:tcPr>
          <w:p w14:paraId="5BC0AEF3">
            <w:pPr>
              <w:spacing w:after="0"/>
            </w:pPr>
            <w:r>
              <w:rPr>
                <w:rFonts w:ascii="Calibri" w:hAnsi="Calibri"/>
                <w:b w:val="0"/>
                <w:i w:val="0"/>
                <w:color w:val="243047"/>
                <w:sz w:val="17"/>
              </w:rPr>
              <w:t>Gestion des rôles et permissions, complétée par les périmètres de service et de direction.</w:t>
            </w:r>
          </w:p>
        </w:tc>
      </w:tr>
      <w:tr w14:paraId="56786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4F6F8"/>
            <w:vAlign w:val="center"/>
          </w:tcPr>
          <w:p w14:paraId="4098AD93">
            <w:pPr>
              <w:spacing w:after="0"/>
            </w:pPr>
            <w:r>
              <w:rPr>
                <w:rFonts w:ascii="Calibri" w:hAnsi="Calibri"/>
                <w:b/>
                <w:i w:val="0"/>
                <w:color w:val="1C203D"/>
                <w:sz w:val="17"/>
              </w:rPr>
              <w:t>Documents</w:t>
            </w:r>
          </w:p>
        </w:tc>
        <w:tc>
          <w:tcPr>
            <w:tcW w:w="2597"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4F6F8"/>
            <w:vAlign w:val="center"/>
          </w:tcPr>
          <w:p w14:paraId="38BF7E8A">
            <w:pPr>
              <w:spacing w:after="0"/>
            </w:pPr>
            <w:r>
              <w:rPr>
                <w:rFonts w:ascii="Calibri" w:hAnsi="Calibri"/>
                <w:b w:val="0"/>
                <w:i w:val="0"/>
                <w:color w:val="243047"/>
                <w:sz w:val="17"/>
              </w:rPr>
              <w:t>Dompdf, Laravel Excel</w:t>
            </w:r>
          </w:p>
        </w:tc>
        <w:tc>
          <w:tcPr>
            <w:tcW w:w="4797"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4F6F8"/>
            <w:vAlign w:val="center"/>
          </w:tcPr>
          <w:p w14:paraId="25F9E248">
            <w:pPr>
              <w:spacing w:after="0"/>
            </w:pPr>
            <w:r>
              <w:rPr>
                <w:rFonts w:ascii="Calibri" w:hAnsi="Calibri"/>
                <w:b w:val="0"/>
                <w:i w:val="0"/>
                <w:color w:val="243047"/>
                <w:sz w:val="17"/>
              </w:rPr>
              <w:t>Génération des exports PDF et XLSX destinés au suivi, au contrôle et au reporting.</w:t>
            </w:r>
          </w:p>
        </w:tc>
      </w:tr>
      <w:tr w14:paraId="10083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FFF"/>
            <w:vAlign w:val="center"/>
          </w:tcPr>
          <w:p w14:paraId="7184C0F4">
            <w:pPr>
              <w:spacing w:after="0"/>
            </w:pPr>
            <w:r>
              <w:rPr>
                <w:rFonts w:ascii="Calibri" w:hAnsi="Calibri"/>
                <w:b/>
                <w:i w:val="0"/>
                <w:color w:val="1C203D"/>
                <w:sz w:val="17"/>
              </w:rPr>
              <w:t>Exécution</w:t>
            </w:r>
          </w:p>
        </w:tc>
        <w:tc>
          <w:tcPr>
            <w:tcW w:w="2597"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FFF"/>
            <w:vAlign w:val="center"/>
          </w:tcPr>
          <w:p w14:paraId="2F65D637">
            <w:pPr>
              <w:spacing w:after="0"/>
            </w:pPr>
            <w:r>
              <w:rPr>
                <w:rFonts w:ascii="Calibri" w:hAnsi="Calibri"/>
                <w:b w:val="0"/>
                <w:i w:val="0"/>
                <w:color w:val="243047"/>
                <w:sz w:val="17"/>
              </w:rPr>
              <w:t>Files d’attente, SMTP, stockage privé</w:t>
            </w:r>
          </w:p>
        </w:tc>
        <w:tc>
          <w:tcPr>
            <w:tcW w:w="4797"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FFFFF"/>
            <w:vAlign w:val="center"/>
          </w:tcPr>
          <w:p w14:paraId="3AED7731">
            <w:pPr>
              <w:spacing w:after="0"/>
            </w:pPr>
            <w:r>
              <w:rPr>
                <w:rFonts w:ascii="Calibri" w:hAnsi="Calibri"/>
                <w:b w:val="0"/>
                <w:i w:val="0"/>
                <w:color w:val="243047"/>
                <w:sz w:val="17"/>
              </w:rPr>
              <w:t>Envoi fiable des courriels, traitement asynchrone et protection des pièces jointes.</w:t>
            </w:r>
          </w:p>
        </w:tc>
      </w:tr>
      <w:tr w14:paraId="3A474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4F6F8"/>
            <w:vAlign w:val="center"/>
          </w:tcPr>
          <w:p w14:paraId="584001CB">
            <w:pPr>
              <w:spacing w:after="0"/>
            </w:pPr>
            <w:r>
              <w:rPr>
                <w:rFonts w:ascii="Calibri" w:hAnsi="Calibri"/>
                <w:b/>
                <w:i w:val="0"/>
                <w:color w:val="1C203D"/>
                <w:sz w:val="17"/>
              </w:rPr>
              <w:t>Déploiement &amp; tests</w:t>
            </w:r>
          </w:p>
        </w:tc>
        <w:tc>
          <w:tcPr>
            <w:tcW w:w="2597"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4F6F8"/>
            <w:vAlign w:val="center"/>
          </w:tcPr>
          <w:p w14:paraId="1E00E22F">
            <w:pPr>
              <w:spacing w:after="0"/>
            </w:pPr>
            <w:r>
              <w:rPr>
                <w:rFonts w:ascii="Calibri" w:hAnsi="Calibri"/>
                <w:b w:val="0"/>
                <w:i w:val="0"/>
                <w:color w:val="243047"/>
                <w:sz w:val="17"/>
              </w:rPr>
              <w:t>Docker, Composer, PHPUnit</w:t>
            </w:r>
          </w:p>
        </w:tc>
        <w:tc>
          <w:tcPr>
            <w:tcW w:w="4797" w:type="dxa"/>
            <w:tcBorders>
              <w:top w:val="single" w:color="D7DEE8" w:sz="6" w:space="0"/>
              <w:left w:val="single" w:color="D7DEE8" w:sz="6" w:space="0"/>
              <w:bottom w:val="single" w:color="D7DEE8" w:sz="6" w:space="0"/>
              <w:right w:val="single" w:color="D7DEE8" w:sz="6" w:space="0"/>
              <w:insideH w:val="single" w:sz="6" w:space="0"/>
              <w:insideV w:val="single" w:sz="6" w:space="0"/>
            </w:tcBorders>
            <w:shd w:val="clear" w:color="auto" w:fill="F4F6F8"/>
            <w:vAlign w:val="center"/>
          </w:tcPr>
          <w:p w14:paraId="73D6918F">
            <w:pPr>
              <w:spacing w:after="0"/>
            </w:pPr>
            <w:r>
              <w:rPr>
                <w:rFonts w:ascii="Calibri" w:hAnsi="Calibri"/>
                <w:b w:val="0"/>
                <w:i w:val="0"/>
                <w:color w:val="243047"/>
                <w:sz w:val="17"/>
              </w:rPr>
              <w:t>Environnement reproductible, installation des dépendances et vérification automatisée des principaux parcours fonctionnels.</w:t>
            </w:r>
          </w:p>
        </w:tc>
      </w:tr>
    </w:tbl>
    <w:p w14:paraId="36F9601B">
      <w:pPr>
        <w:pStyle w:val="3"/>
        <w:keepNext/>
        <w:keepLines/>
        <w:spacing w:before="180" w:after="80" w:line="240" w:lineRule="auto"/>
      </w:pPr>
      <w:r>
        <w:rPr>
          <w:rFonts w:ascii="Calibri" w:hAnsi="Calibri"/>
          <w:b/>
          <w:i w:val="0"/>
          <w:color w:val="3996D3"/>
          <w:sz w:val="25"/>
        </w:rPr>
        <w:t>Données métier structurantes</w:t>
      </w:r>
    </w:p>
    <w:p w14:paraId="7A02A6B8">
      <w:pPr>
        <w:spacing w:before="0" w:after="120" w:line="264" w:lineRule="auto"/>
        <w:jc w:val="both"/>
      </w:pPr>
      <w:r>
        <w:rPr>
          <w:rFonts w:ascii="Calibri" w:hAnsi="Calibri"/>
          <w:b w:val="0"/>
          <w:i w:val="0"/>
          <w:color w:val="243047"/>
          <w:sz w:val="21"/>
        </w:rPr>
        <w:t>Le modèle de données relie notamment les usagers, réclamations, affectations, réponses, pièces jointes, directions, services et utilisateurs. Il comprend aussi l’historique des actions, les notifications, les exports et les paramètres SLA. Ces relations constituent la mémoire du processus et rendent possibles les contrôles et statistiques.</w:t>
      </w:r>
    </w:p>
    <w:tbl>
      <w:tblPr>
        <w:tblStyle w:val="65"/>
        <w:tblW w:w="9744"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44"/>
      </w:tblGrid>
      <w:tr w14:paraId="2937D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4" w:type="dxa"/>
            <w:tcBorders>
              <w:top w:val="single" w:color="8FC043" w:sz="8" w:space="0"/>
              <w:left w:val="single" w:color="8FC043" w:sz="8" w:space="0"/>
              <w:bottom w:val="single" w:color="8FC043" w:sz="8" w:space="0"/>
              <w:right w:val="single" w:color="8FC043" w:sz="8" w:space="0"/>
              <w:insideH w:val="single" w:sz="8" w:space="0"/>
              <w:insideV w:val="single" w:sz="8" w:space="0"/>
            </w:tcBorders>
            <w:shd w:val="clear" w:color="auto" w:fill="EEF7E9"/>
            <w:tcMar>
              <w:top w:w="100" w:type="dxa"/>
              <w:left w:w="120" w:type="dxa"/>
              <w:bottom w:w="100" w:type="dxa"/>
              <w:right w:w="120" w:type="dxa"/>
            </w:tcMar>
            <w:vAlign w:val="center"/>
          </w:tcPr>
          <w:p w14:paraId="42082A2C">
            <w:pPr>
              <w:spacing w:after="0" w:line="264" w:lineRule="auto"/>
            </w:pPr>
            <w:r>
              <w:rPr>
                <w:rFonts w:ascii="Calibri" w:hAnsi="Calibri"/>
                <w:b/>
                <w:i w:val="0"/>
                <w:color w:val="8FC043"/>
                <w:sz w:val="20"/>
              </w:rPr>
              <w:t xml:space="preserve">BILAN  </w:t>
            </w:r>
            <w:r>
              <w:rPr>
                <w:rFonts w:ascii="Calibri" w:hAnsi="Calibri"/>
                <w:b w:val="0"/>
                <w:i w:val="0"/>
                <w:color w:val="243047"/>
                <w:sz w:val="20"/>
              </w:rPr>
              <w:t>L’application transforme un traitement dispersé en un processus numérique mesurable : une entrée unique, des responsabilités définies, des délais surveillés, une réponse sécurisée et une information consolidée pour la décision.</w:t>
            </w:r>
          </w:p>
        </w:tc>
      </w:tr>
    </w:tbl>
    <w:p w14:paraId="09E35F26">
      <w:pPr>
        <w:spacing w:after="40"/>
      </w:pPr>
    </w:p>
    <w:p w14:paraId="50028492">
      <w:pPr>
        <w:spacing w:before="0" w:after="0" w:line="264" w:lineRule="auto"/>
        <w:jc w:val="both"/>
      </w:pPr>
      <w:r>
        <w:rPr>
          <w:rFonts w:ascii="Calibri" w:hAnsi="Calibri"/>
          <w:b w:val="0"/>
          <w:i w:val="0"/>
          <w:color w:val="243047"/>
          <w:sz w:val="21"/>
        </w:rPr>
        <w:t>En définitive, la valeur de la solution tient autant à ses fonctionnalités qu’à son organisation. Elle rapproche les besoins des usagers, le travail des services et les exigences de contrôle de l’ANBG dans un même outil. Sa stack Laravel reste sobre, documentée et adaptée à une évolution progressive : nouveaux types de demandes, notifications supplémentaires, enrichissement des indicateurs ou interconnexion avec d’autres systèmes.</w:t>
      </w:r>
    </w:p>
    <w:sectPr>
      <w:footerReference r:id="rId5" w:type="default"/>
      <w:pgSz w:w="11906" w:h="16838"/>
      <w:pgMar w:top="1134" w:right="1134" w:bottom="1020" w:left="1134" w:header="482" w:footer="454"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9E902">
    <w:pPr>
      <w:pStyle w:val="24"/>
      <w:spacing w:before="40"/>
      <w:jc w:val="center"/>
    </w:pPr>
    <w:r>
      <w:rPr>
        <w:rFonts w:ascii="Calibri" w:hAnsi="Calibri"/>
        <w:b w:val="0"/>
        <w:i w:val="0"/>
        <w:color w:val="667085"/>
        <w:sz w:val="16"/>
      </w:rPr>
      <w:t xml:space="preserve">Résumé fonctionnel et technique  •  Septembre 2026  •  </w:t>
    </w:r>
    <w:r>
      <w:rPr>
        <w:color w:val="667085"/>
        <w:sz w:val="16"/>
      </w:rPr>
      <w:fldChar w:fldCharType="begin"/>
    </w:r>
    <w:r>
      <w:rPr>
        <w:color w:val="667085"/>
        <w:sz w:val="16"/>
      </w:rPr>
      <w:instrText xml:space="preserve"> PAGE </w:instrText>
    </w:r>
    <w:r>
      <w:rPr>
        <w:color w:val="667085"/>
        <w:sz w:val="16"/>
      </w:rPr>
      <w:fldChar w:fldCharType="separate"/>
    </w:r>
    <w:r>
      <w:rPr>
        <w:color w:val="667085"/>
        <w:sz w:val="16"/>
      </w:rPr>
      <w:t>2</w:t>
    </w:r>
    <w:r>
      <w:rPr>
        <w:color w:val="667085"/>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DF1F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59" w:semiHidden="0" w:name="Table Grid"/>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Theme="minorEastAsia" w:cstheme="minorBidi"/>
      <w:color w:val="243047"/>
      <w:sz w:val="21"/>
      <w:szCs w:val="22"/>
      <w:lang w:val="en-US" w:eastAsia="en-US" w:bidi="ar-SA"/>
    </w:rPr>
  </w:style>
  <w:style w:type="paragraph" w:styleId="2">
    <w:name w:val="heading 1"/>
    <w:basedOn w:val="1"/>
    <w:next w:val="1"/>
    <w:link w:val="39"/>
    <w:qFormat/>
    <w:uiPriority w:val="9"/>
    <w:pPr>
      <w:keepNext/>
      <w:keepLines/>
      <w:spacing w:before="280" w:after="120"/>
      <w:outlineLvl w:val="0"/>
    </w:pPr>
    <w:rPr>
      <w:rFonts w:asciiTheme="majorHAnsi" w:hAnsiTheme="majorHAnsi" w:eastAsiaTheme="majorEastAsia" w:cstheme="majorBidi"/>
      <w:b/>
      <w:bCs/>
      <w:color w:val="1C203D"/>
      <w:sz w:val="32"/>
      <w:szCs w:val="28"/>
    </w:rPr>
  </w:style>
  <w:style w:type="paragraph" w:styleId="3">
    <w:name w:val="heading 2"/>
    <w:basedOn w:val="1"/>
    <w:next w:val="1"/>
    <w:link w:val="40"/>
    <w:unhideWhenUsed/>
    <w:qFormat/>
    <w:uiPriority w:val="9"/>
    <w:pPr>
      <w:keepNext/>
      <w:keepLines/>
      <w:spacing w:before="180" w:after="80"/>
      <w:outlineLvl w:val="1"/>
    </w:pPr>
    <w:rPr>
      <w:rFonts w:asciiTheme="majorHAnsi" w:hAnsiTheme="majorHAnsi" w:eastAsiaTheme="majorEastAsia" w:cstheme="majorBidi"/>
      <w:b/>
      <w:bCs/>
      <w:color w:val="3996D3"/>
      <w:sz w:val="25"/>
      <w:szCs w:val="26"/>
    </w:rPr>
  </w:style>
  <w:style w:type="paragraph" w:styleId="4">
    <w:name w:val="heading 3"/>
    <w:basedOn w:val="1"/>
    <w:next w:val="1"/>
    <w:link w:val="41"/>
    <w:unhideWhenUsed/>
    <w:qFormat/>
    <w:uiPriority w:val="9"/>
    <w:pPr>
      <w:keepNext/>
      <w:keepLines/>
      <w:spacing w:before="180" w:after="80"/>
      <w:outlineLvl w:val="2"/>
    </w:pPr>
    <w:rPr>
      <w:rFonts w:asciiTheme="majorHAnsi" w:hAnsiTheme="majorHAnsi" w:eastAsiaTheme="majorEastAsia" w:cstheme="majorBidi"/>
      <w:b/>
      <w:bCs/>
      <w:color w:val="1C203D"/>
      <w:sz w:val="22"/>
    </w:rPr>
  </w:style>
  <w:style w:type="paragraph" w:styleId="5">
    <w:name w:val="heading 4"/>
    <w:basedOn w:val="1"/>
    <w:next w:val="1"/>
    <w:link w:val="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qFormat/>
    <w:uiPriority w:val="99"/>
    <w:pPr>
      <w:numPr>
        <w:ilvl w:val="0"/>
        <w:numId w:val="1"/>
      </w:numPr>
      <w:contextualSpacing/>
    </w:pPr>
  </w:style>
  <w:style w:type="paragraph" w:styleId="16">
    <w:name w:val="List Continue 2"/>
    <w:basedOn w:val="1"/>
    <w:unhideWhenUsed/>
    <w:qFormat/>
    <w:uiPriority w:val="99"/>
    <w:pPr>
      <w:spacing w:after="120"/>
      <w:ind w:left="720"/>
      <w:contextualSpacing/>
    </w:pPr>
  </w:style>
  <w:style w:type="paragraph" w:styleId="17">
    <w:name w:val="List Number 3"/>
    <w:basedOn w:val="1"/>
    <w:unhideWhenUsed/>
    <w:qFormat/>
    <w:uiPriority w:val="99"/>
    <w:pPr>
      <w:numPr>
        <w:ilvl w:val="0"/>
        <w:numId w:val="2"/>
      </w:numPr>
      <w:contextualSpacing/>
    </w:pPr>
  </w:style>
  <w:style w:type="paragraph" w:styleId="18">
    <w:name w:val="Body Text 3"/>
    <w:basedOn w:val="1"/>
    <w:link w:val="47"/>
    <w:unhideWhenUsed/>
    <w:qFormat/>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qFormat/>
    <w:uiPriority w:val="99"/>
    <w:pPr>
      <w:numPr>
        <w:ilvl w:val="0"/>
        <w:numId w:val="3"/>
      </w:numPr>
      <w:contextualSpacing/>
    </w:pPr>
  </w:style>
  <w:style w:type="paragraph" w:styleId="21">
    <w:name w:val="Body Text"/>
    <w:basedOn w:val="1"/>
    <w:link w:val="45"/>
    <w:unhideWhenUsed/>
    <w:qFormat/>
    <w:uiPriority w:val="99"/>
    <w:pPr>
      <w:spacing w:after="120"/>
    </w:pPr>
  </w:style>
  <w:style w:type="paragraph" w:styleId="22">
    <w:name w:val="List 3"/>
    <w:basedOn w:val="1"/>
    <w:unhideWhenUsed/>
    <w:qFormat/>
    <w:uiPriority w:val="99"/>
    <w:pPr>
      <w:ind w:left="1080" w:hanging="360"/>
      <w:contextualSpacing/>
    </w:pPr>
  </w:style>
  <w:style w:type="paragraph" w:styleId="23">
    <w:name w:val="Body Text 2"/>
    <w:basedOn w:val="1"/>
    <w:link w:val="46"/>
    <w:unhideWhenUsed/>
    <w:qFormat/>
    <w:uiPriority w:val="99"/>
    <w:pPr>
      <w:spacing w:after="120" w:line="480" w:lineRule="auto"/>
    </w:pPr>
  </w:style>
  <w:style w:type="paragraph" w:styleId="24">
    <w:name w:val="footer"/>
    <w:basedOn w:val="1"/>
    <w:link w:val="37"/>
    <w:unhideWhenUsed/>
    <w:qFormat/>
    <w:uiPriority w:val="99"/>
    <w:pPr>
      <w:tabs>
        <w:tab w:val="center" w:pos="4680"/>
        <w:tab w:val="right" w:pos="9360"/>
      </w:tabs>
      <w:spacing w:after="0" w:line="240" w:lineRule="auto"/>
    </w:pPr>
  </w:style>
  <w:style w:type="paragraph" w:styleId="25">
    <w:name w:val="List"/>
    <w:basedOn w:val="1"/>
    <w:unhideWhenUsed/>
    <w:qFormat/>
    <w:uiPriority w:val="99"/>
    <w:pPr>
      <w:ind w:left="360" w:hanging="360"/>
      <w:contextualSpacing/>
    </w:pPr>
  </w:style>
  <w:style w:type="paragraph" w:styleId="26">
    <w:name w:val="header"/>
    <w:basedOn w:val="1"/>
    <w:link w:val="36"/>
    <w:unhideWhenUsed/>
    <w:qFormat/>
    <w:uiPriority w:val="99"/>
    <w:pPr>
      <w:tabs>
        <w:tab w:val="center" w:pos="4680"/>
        <w:tab w:val="right" w:pos="9360"/>
      </w:tabs>
      <w:spacing w:after="0" w:line="240" w:lineRule="auto"/>
    </w:pPr>
  </w:style>
  <w:style w:type="paragraph" w:styleId="27">
    <w:name w:val="macro"/>
    <w:link w:val="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8">
    <w:name w:val="List Continue 3"/>
    <w:basedOn w:val="1"/>
    <w:unhideWhenUsed/>
    <w:uiPriority w:val="99"/>
    <w:pPr>
      <w:spacing w:after="120"/>
      <w:ind w:left="1080"/>
      <w:contextualSpacing/>
    </w:pPr>
  </w:style>
  <w:style w:type="paragraph" w:styleId="29">
    <w:name w:val="List Number 2"/>
    <w:basedOn w:val="1"/>
    <w:unhideWhenUsed/>
    <w:qFormat/>
    <w:uiPriority w:val="99"/>
    <w:pPr>
      <w:numPr>
        <w:ilvl w:val="0"/>
        <w:numId w:val="4"/>
      </w:numPr>
      <w:contextualSpacing/>
    </w:pPr>
  </w:style>
  <w:style w:type="paragraph" w:styleId="30">
    <w:name w:val="List Bullet 3"/>
    <w:basedOn w:val="1"/>
    <w:unhideWhenUsed/>
    <w:qFormat/>
    <w:uiPriority w:val="99"/>
    <w:pPr>
      <w:numPr>
        <w:ilvl w:val="0"/>
        <w:numId w:val="5"/>
      </w:numPr>
      <w:contextualSpacing/>
    </w:pPr>
  </w:style>
  <w:style w:type="paragraph" w:styleId="31">
    <w:name w:val="List 2"/>
    <w:basedOn w:val="1"/>
    <w:unhideWhenUsed/>
    <w:qFormat/>
    <w:uiPriority w:val="99"/>
    <w:pPr>
      <w:ind w:left="720" w:hanging="360"/>
      <w:contextualSpacing/>
    </w:pPr>
  </w:style>
  <w:style w:type="paragraph" w:styleId="32">
    <w:name w:val="List Continue"/>
    <w:basedOn w:val="1"/>
    <w:unhideWhenUsed/>
    <w:qFormat/>
    <w:uiPriority w:val="99"/>
    <w:pPr>
      <w:spacing w:after="120"/>
      <w:ind w:left="360"/>
      <w:contextualSpacing/>
    </w:pPr>
  </w:style>
  <w:style w:type="paragraph" w:styleId="33">
    <w:name w:val="List Bullet"/>
    <w:basedOn w:val="1"/>
    <w:unhideWhenUsed/>
    <w:qFormat/>
    <w:uiPriority w:val="99"/>
    <w:pPr>
      <w:numPr>
        <w:ilvl w:val="0"/>
        <w:numId w:val="6"/>
      </w:numPr>
      <w:contextualSpacing/>
    </w:pPr>
  </w:style>
  <w:style w:type="paragraph" w:styleId="34">
    <w:name w:val="Title"/>
    <w:basedOn w:val="1"/>
    <w:next w:val="1"/>
    <w:link w:val="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36">
    <w:name w:val="Header Char"/>
    <w:basedOn w:val="11"/>
    <w:link w:val="26"/>
    <w:qFormat/>
    <w:uiPriority w:val="99"/>
  </w:style>
  <w:style w:type="character" w:customStyle="1" w:styleId="37">
    <w:name w:val="Footer Char"/>
    <w:basedOn w:val="11"/>
    <w:link w:val="24"/>
    <w:qFormat/>
    <w:uiPriority w:val="99"/>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le Char"/>
    <w:basedOn w:val="11"/>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ubtitle Char"/>
    <w:basedOn w:val="11"/>
    <w:link w:val="1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4">
    <w:name w:val="List Paragraph"/>
    <w:basedOn w:val="1"/>
    <w:qFormat/>
    <w:uiPriority w:val="34"/>
    <w:pPr>
      <w:ind w:left="720"/>
      <w:contextualSpacing/>
    </w:pPr>
  </w:style>
  <w:style w:type="character" w:customStyle="1" w:styleId="45">
    <w:name w:val="Body Text Char"/>
    <w:basedOn w:val="11"/>
    <w:link w:val="21"/>
    <w:uiPriority w:val="99"/>
  </w:style>
  <w:style w:type="character" w:customStyle="1" w:styleId="46">
    <w:name w:val="Body Text 2 Char"/>
    <w:basedOn w:val="11"/>
    <w:link w:val="23"/>
    <w:qFormat/>
    <w:uiPriority w:val="99"/>
  </w:style>
  <w:style w:type="character" w:customStyle="1" w:styleId="47">
    <w:name w:val="Body Text 3 Char"/>
    <w:basedOn w:val="11"/>
    <w:link w:val="18"/>
    <w:qFormat/>
    <w:uiPriority w:val="99"/>
    <w:rPr>
      <w:sz w:val="16"/>
      <w:szCs w:val="16"/>
    </w:rPr>
  </w:style>
  <w:style w:type="character" w:customStyle="1" w:styleId="48">
    <w:name w:val="Macro Text Char"/>
    <w:basedOn w:val="11"/>
    <w:link w:val="27"/>
    <w:qFormat/>
    <w:uiPriority w:val="99"/>
    <w:rPr>
      <w:rFonts w:ascii="Courier" w:hAnsi="Courier"/>
      <w:sz w:val="20"/>
      <w:szCs w:val="20"/>
    </w:rPr>
  </w:style>
  <w:style w:type="paragraph"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Quote Char"/>
    <w:basedOn w:val="11"/>
    <w:link w:val="49"/>
    <w:qFormat/>
    <w:uiPriority w:val="29"/>
    <w:rPr>
      <w:i/>
      <w:iCs/>
      <w:color w:val="000000" w:themeColor="text1"/>
      <w14:textFill>
        <w14:solidFill>
          <w14:schemeClr w14:val="tx1"/>
        </w14:solidFill>
      </w14:textFill>
    </w:rPr>
  </w:style>
  <w:style w:type="character" w:customStyle="1" w:styleId="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Intense Quote Char"/>
    <w:basedOn w:val="11"/>
    <w:link w:val="57"/>
    <w:qFormat/>
    <w:uiPriority w:val="30"/>
    <w:rPr>
      <w:b/>
      <w:bCs/>
      <w:i/>
      <w:iCs/>
      <w:color w:val="4F81BD" w:themeColor="accent1"/>
      <w14:textFill>
        <w14:solidFill>
          <w14:schemeClr w14:val="accent1"/>
        </w14:solidFill>
      </w14:textFill>
    </w:rPr>
  </w:style>
  <w:style w:type="character" w:customStyle="1" w:styleId="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11"/>
    <w:qFormat/>
    <w:uiPriority w:val="21"/>
    <w:rPr>
      <w:b/>
      <w:bCs/>
      <w:i/>
      <w:iCs/>
      <w:color w:val="4F81BD" w:themeColor="accent1"/>
      <w14:textFill>
        <w14:solidFill>
          <w14:schemeClr w14:val="accent1"/>
        </w14:solidFill>
      </w14:textFill>
    </w:rPr>
  </w:style>
  <w:style w:type="character" w:customStyle="1" w:styleId="61">
    <w:name w:val="Subtle Reference"/>
    <w:basedOn w:val="11"/>
    <w:qFormat/>
    <w:uiPriority w:val="31"/>
    <w:rPr>
      <w:smallCaps/>
      <w:color w:val="C0504D" w:themeColor="accent2"/>
      <w:u w:val="single"/>
      <w14:textFill>
        <w14:solidFill>
          <w14:schemeClr w14:val="accent2"/>
        </w14:solidFill>
      </w14:textFill>
    </w:rPr>
  </w:style>
  <w:style w:type="character" w:customStyle="1" w:styleId="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11"/>
    <w:qFormat/>
    <w:uiPriority w:val="33"/>
    <w:rPr>
      <w:b/>
      <w:bCs/>
      <w:smallCaps/>
      <w:spacing w:val="5"/>
    </w:rPr>
  </w:style>
  <w:style w:type="paragraph" w:customStyle="1" w:styleId="64">
    <w:name w:val="TOC Heading"/>
    <w:basedOn w:val="2"/>
    <w:next w:val="1"/>
    <w:semiHidden/>
    <w:unhideWhenUsed/>
    <w:qFormat/>
    <w:uiPriority w:val="39"/>
    <w:pPr>
      <w:outlineLvl w:val="9"/>
    </w:pPr>
  </w:style>
  <w:style w:type="table" w:styleId="65">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6">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ANBG</dc:creator>
  <dc:description>Document de synthèse professionnelle</dc:description>
  <cp:keywords>ANBG, réclamations, rôles, Laravel, rapport de stage</cp:keywords>
  <cp:lastModifiedBy>HP</cp:lastModifiedBy>
  <dcterms:modified xsi:type="dcterms:W3CDTF">2026-09-02T22:13:19Z</dcterms:modified>
  <dc:subject>Présentation fonctionnelle, rôles utilisateurs et stack technique</dc:subject>
  <dc:title>Résumé de l’application de gestion des réclamations — ANBG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1036-12.1.0.28032</vt:lpwstr>
  </property>
  <property fmtid="{D5CDD505-2E9C-101B-9397-08002B2CF9AE}" pid="3" name="ICV">
    <vt:lpwstr>87D11FC91B9D4C8D9BFDB31A63AD459A_12</vt:lpwstr>
  </property>
</Properties>
</file>