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Explication des KPI du controle interne</w:t>
      </w:r>
    </w:p>
    <w:p>
      <w:pPr>
        <w:spacing w:after="280"/>
      </w:pPr>
      <w:r>
        <w:rPr>
          <w:rFonts w:ascii="Aptos" w:hAnsi="Aptos"/>
          <w:color w:val="505569"/>
          <w:sz w:val="24"/>
        </w:rPr>
        <w:t>Tableau de bord des reclamations ANBG</w:t>
      </w:r>
    </w:p>
    <w:p>
      <w:pPr>
        <w:spacing w:after="140" w:line="259" w:lineRule="auto"/>
      </w:pPr>
      <w:r>
        <w:rPr>
          <w:rFonts w:ascii="Aptos" w:hAnsi="Aptos"/>
          <w:sz w:val="21"/>
        </w:rPr>
        <w:t>Ce document explique les indicateurs affiches dans le bloc Volume et activite du tableau de bord du controle interne. Il precise ce que chaque KPI mesure, comment il est calcule, comment l'interpreter et quelles limites garder en tete lors de la lecture des chiffres en production.</w:t>
      </w:r>
    </w:p>
    <w:p>
      <w:pPr>
        <w:spacing w:after="140" w:line="259" w:lineRule="auto"/>
      </w:pPr>
      <w:r>
        <w:rPr>
          <w:rFonts w:ascii="Aptos" w:hAnsi="Aptos"/>
          <w:sz w:val="21"/>
        </w:rPr>
        <w:t>L'exemple utilise les chiffres visibles sur l'ecran de production : 488 reclamations recues, 345 cloturees, 143 en attente, 108 en retard, 43,5 % dans les delais et 9,90 h de delai moyen de traitement.</w:t>
      </w:r>
    </w:p>
    <w:p>
      <w:pPr>
        <w:pStyle w:val="Heading1"/>
      </w:pPr>
      <w:r>
        <w:rPr>
          <w:rFonts w:ascii="Aptos Display" w:hAnsi="Aptos Display"/>
          <w:color w:val="000000"/>
        </w:rPr>
        <w:t>Synthese des KPI affiches</w:t>
      </w:r>
    </w:p>
    <w:tbl>
      <w:tblPr>
        <w:tblW w:type="auto" w:w="0"/>
        <w:tblLayout w:type="fixed"/>
        <w:tblLook w:firstColumn="1" w:firstRow="1" w:lastColumn="0" w:lastRow="0" w:noHBand="0" w:noVBand="1" w:val="04A0"/>
      </w:tblPr>
      <w:tblGrid>
        <w:gridCol w:w="2324"/>
        <w:gridCol w:w="1247"/>
        <w:gridCol w:w="3005"/>
        <w:gridCol w:w="3061"/>
      </w:tblGrid>
      <w:tr>
        <w:tc>
          <w:tcPr>
            <w:tcW w:type="dxa" w:w="25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KPI</w:t>
            </w:r>
          </w:p>
        </w:tc>
        <w:tc>
          <w:tcPr>
            <w:tcW w:type="dxa" w:w="25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Valeur</w:t>
            </w:r>
          </w:p>
        </w:tc>
        <w:tc>
          <w:tcPr>
            <w:tcW w:type="dxa" w:w="25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Ce que cela mesure</w:t>
            </w:r>
          </w:p>
        </w:tc>
        <w:tc>
          <w:tcPr>
            <w:tcW w:type="dxa" w:w="25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Lecture rapide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Reclamations recues</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
              <w:rPr>
                <w:rFonts w:ascii="Aptos" w:hAnsi="Aptos"/>
                <w:b w:val="0"/>
                <w:color w:val="000000"/>
                <w:sz w:val="18"/>
              </w:rPr>
              <w:t>488</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Nombre total de reclamations enregistrees dans le perimetre filtre.</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Volume entrant global.</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Cloturees</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center"/>
            </w:pPr>
            <w:r/>
            <w:r>
              <w:rPr>
                <w:rFonts w:ascii="Aptos" w:hAnsi="Aptos"/>
                <w:b w:val="0"/>
                <w:color w:val="000000"/>
                <w:sz w:val="18"/>
              </w:rPr>
              <w:t>345</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Nombre de dossiers termines avec le statut cloturee.</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Volume deja traite.</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En attente</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
              <w:rPr>
                <w:rFonts w:ascii="Aptos" w:hAnsi="Aptos"/>
                <w:b w:val="0"/>
                <w:color w:val="000000"/>
                <w:sz w:val="18"/>
              </w:rPr>
              <w:t>143</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Nombre de dossiers non clotures.</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Stock restant a traiter.</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En retard</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center"/>
            </w:pPr>
            <w:r/>
            <w:r>
              <w:rPr>
                <w:rFonts w:ascii="Aptos" w:hAnsi="Aptos"/>
                <w:b w:val="0"/>
                <w:color w:val="000000"/>
                <w:sz w:val="18"/>
              </w:rPr>
              <w:t>108</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Nombre de dossiers dont l'indicateur global de delai est en retard.</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Dossiers hors delai, ouverts ou deja termines.</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Taux dans les delais</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
              <w:rPr>
                <w:rFonts w:ascii="Aptos" w:hAnsi="Aptos"/>
                <w:b w:val="0"/>
                <w:color w:val="000000"/>
                <w:sz w:val="18"/>
              </w:rPr>
              <w:t>43,5 %</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Part des dossiers clotures qui ont respecte le delai.</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Indicateur de conformite du traitement.</w:t>
            </w:r>
          </w:p>
        </w:tc>
      </w:tr>
      <w:tr>
        <w:tc>
          <w:tcPr>
            <w:tcW w:type="dxa" w:w="23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Delai moyen traitement</w:t>
            </w:r>
          </w:p>
        </w:tc>
        <w:tc>
          <w:tcPr>
            <w:tcW w:type="dxa" w:w="124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center"/>
            </w:pPr>
            <w:r/>
            <w:r>
              <w:rPr>
                <w:rFonts w:ascii="Aptos" w:hAnsi="Aptos"/>
                <w:b w:val="0"/>
                <w:color w:val="000000"/>
                <w:sz w:val="18"/>
              </w:rPr>
              <w:t>9,90 h</w:t>
            </w:r>
          </w:p>
        </w:tc>
        <w:tc>
          <w:tcPr>
            <w:tcW w:type="dxa" w:w="3005"/>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Moyenne des heures ouvrees de traitement sur les dossiers clotures.</w:t>
            </w:r>
          </w:p>
        </w:tc>
        <w:tc>
          <w:tcPr>
            <w:tcW w:type="dxa" w:w="306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Vitesse moyenne de traitement des dossiers termines.</w:t>
            </w:r>
          </w:p>
        </w:tc>
      </w:tr>
    </w:tbl>
    <w:p>
      <w:pPr>
        <w:pStyle w:val="Heading1"/>
      </w:pPr>
      <w:r>
        <w:rPr>
          <w:rFonts w:ascii="Aptos Display" w:hAnsi="Aptos Display"/>
          <w:color w:val="000000"/>
        </w:rPr>
        <w:t>Regle generale de lecture</w:t>
      </w:r>
    </w:p>
    <w:p>
      <w:pPr>
        <w:spacing w:after="140" w:line="259" w:lineRule="auto"/>
      </w:pPr>
      <w:r>
        <w:rPr>
          <w:rFonts w:ascii="Aptos" w:hAnsi="Aptos"/>
          <w:sz w:val="21"/>
        </w:rPr>
        <w:t>Les KPI sont toujours calcules apres application des filtres situes en haut du tableau de bord : periode, date de debut, date de fin, direction, service et application. Sur l'ecran de production analyse, les filtres sont sur Toute periode, Toutes les directions, Tous les services et Tous. Les chiffres representent donc le perimetre global visible par l'utilisateur.</w:t>
      </w:r>
    </w:p>
    <w:p>
      <w:pPr>
        <w:spacing w:after="140" w:line="259" w:lineRule="auto"/>
      </w:pPr>
      <w:r>
        <w:rPr>
          <w:rFonts w:ascii="Aptos" w:hAnsi="Aptos"/>
          <w:sz w:val="21"/>
        </w:rPr>
        <w:t>Il faut distinguer les indicateurs de volume et les indicateurs de delai. Les volumes comptent des dossiers. Les indicateurs de delai qualifient le respect ou le depassement des delais de traitement.</w:t>
      </w:r>
    </w:p>
    <w:p>
      <w:pPr>
        <w:pStyle w:val="Heading1"/>
      </w:pPr>
      <w:r>
        <w:rPr>
          <w:rFonts w:ascii="Aptos Display" w:hAnsi="Aptos Display"/>
          <w:color w:val="000000"/>
        </w:rPr>
        <w:t>Definition detaillee des indicateurs</w:t>
      </w:r>
    </w:p>
    <w:p>
      <w:pPr>
        <w:pStyle w:val="Heading2"/>
      </w:pPr>
      <w:r>
        <w:rPr>
          <w:rFonts w:ascii="Aptos Display" w:hAnsi="Aptos Display"/>
          <w:color w:val="000000"/>
        </w:rPr>
        <w:t>Reclamations recues</w:t>
      </w:r>
    </w:p>
    <w:p>
      <w:pPr>
        <w:spacing w:after="140" w:line="259" w:lineRule="auto"/>
      </w:pPr>
      <w:r>
        <w:rPr>
          <w:rFonts w:ascii="Aptos" w:hAnsi="Aptos"/>
          <w:sz w:val="21"/>
        </w:rPr>
        <w:t>Ce KPI compte toutes les reclamations creees dans l'application sur le perimetre filtre. Une demande est prise en compte des sa soumission par l'usager, meme si elle n'est pas encore affectee a un service.</w:t>
      </w:r>
    </w:p>
    <w:p>
      <w:pPr>
        <w:spacing w:before="80" w:after="160"/>
        <w:jc w:val="center"/>
      </w:pPr>
      <w:r>
        <w:rPr>
          <w:rFonts w:ascii="Aptos" w:hAnsi="Aptos"/>
          <w:b/>
          <w:sz w:val="21"/>
        </w:rPr>
        <w:t>Reclamations recues = nombre total de demandes du perimetre</w:t>
      </w:r>
    </w:p>
    <w:p>
      <w:pPr>
        <w:pStyle w:val="Heading2"/>
      </w:pPr>
      <w:r>
        <w:rPr>
          <w:rFonts w:ascii="Aptos Display" w:hAnsi="Aptos Display"/>
          <w:color w:val="000000"/>
        </w:rPr>
        <w:t>Cloturees</w:t>
      </w:r>
    </w:p>
    <w:p>
      <w:pPr>
        <w:spacing w:after="140" w:line="259" w:lineRule="auto"/>
      </w:pPr>
      <w:r>
        <w:rPr>
          <w:rFonts w:ascii="Aptos" w:hAnsi="Aptos"/>
          <w:sz w:val="21"/>
        </w:rPr>
        <w:t>Ce KPI compte les demandes dont le statut est cloturee. Une demande cloturee correspond a un dossier termine dans le workflow, generalement apres envoi ou finalisation de la reponse a l'usager.</w:t>
      </w:r>
    </w:p>
    <w:p>
      <w:pPr>
        <w:spacing w:before="80" w:after="160"/>
        <w:jc w:val="center"/>
      </w:pPr>
      <w:r>
        <w:rPr>
          <w:rFonts w:ascii="Aptos" w:hAnsi="Aptos"/>
          <w:b/>
          <w:sz w:val="21"/>
        </w:rPr>
        <w:t>Cloturees = nombre de demandes avec statut cloturee</w:t>
      </w:r>
    </w:p>
    <w:p>
      <w:pPr>
        <w:pStyle w:val="Heading2"/>
      </w:pPr>
      <w:r>
        <w:rPr>
          <w:rFonts w:ascii="Aptos Display" w:hAnsi="Aptos Display"/>
          <w:color w:val="000000"/>
        </w:rPr>
        <w:t>En attente</w:t>
      </w:r>
    </w:p>
    <w:p>
      <w:pPr>
        <w:spacing w:after="140" w:line="259" w:lineRule="auto"/>
      </w:pPr>
      <w:r>
        <w:rPr>
          <w:rFonts w:ascii="Aptos" w:hAnsi="Aptos"/>
          <w:sz w:val="21"/>
        </w:rPr>
        <w:t>Ce KPI correspond aux demandes non cloturees. Il ne designe pas un seul statut technique. Il peut regrouper des demandes nouvelles, affectees a un service, affectees a un agent ou avec une reponse preparee mais non finalisee.</w:t>
      </w:r>
    </w:p>
    <w:p>
      <w:pPr>
        <w:spacing w:before="80" w:after="160"/>
        <w:jc w:val="center"/>
      </w:pPr>
      <w:r>
        <w:rPr>
          <w:rFonts w:ascii="Aptos" w:hAnsi="Aptos"/>
          <w:b/>
          <w:sz w:val="21"/>
        </w:rPr>
        <w:t>En attente = reclamations recues - cloturees</w:t>
      </w:r>
    </w:p>
    <w:p>
      <w:pPr>
        <w:spacing w:after="140" w:line="259" w:lineRule="auto"/>
      </w:pPr>
      <w:r>
        <w:rPr>
          <w:rFonts w:ascii="Aptos" w:hAnsi="Aptos"/>
          <w:sz w:val="21"/>
        </w:rPr>
        <w:t>Dans l'exemple de production :</w:t>
      </w:r>
    </w:p>
    <w:p>
      <w:pPr>
        <w:spacing w:before="80" w:after="160"/>
        <w:jc w:val="center"/>
      </w:pPr>
      <w:r>
        <w:rPr>
          <w:rFonts w:ascii="Aptos" w:hAnsi="Aptos"/>
          <w:b/>
          <w:sz w:val="21"/>
        </w:rPr>
        <w:t>488 - 345 = 143 dossiers en attente</w:t>
      </w:r>
    </w:p>
    <w:p>
      <w:pPr>
        <w:pStyle w:val="Heading2"/>
      </w:pPr>
      <w:r>
        <w:rPr>
          <w:rFonts w:ascii="Aptos Display" w:hAnsi="Aptos Display"/>
          <w:color w:val="000000"/>
        </w:rPr>
        <w:t>En retard</w:t>
      </w:r>
    </w:p>
    <w:p>
      <w:pPr>
        <w:spacing w:after="140" w:line="259" w:lineRule="auto"/>
      </w:pPr>
      <w:r>
        <w:rPr>
          <w:rFonts w:ascii="Aptos" w:hAnsi="Aptos"/>
          <w:sz w:val="21"/>
        </w:rPr>
        <w:t>Ce KPI compte les demandes dont l'indicateur global de delai est marque en retard. Il ne faut pas le confondre avec les dossiers en attente. Un dossier peut etre en retard tout en etant encore ouvert, ou avoir ete cloture apres le delai autorise.</w:t>
      </w:r>
    </w:p>
    <w:p>
      <w:pPr>
        <w:spacing w:before="80" w:after="160"/>
        <w:jc w:val="center"/>
      </w:pPr>
      <w:r>
        <w:rPr>
          <w:rFonts w:ascii="Aptos" w:hAnsi="Aptos"/>
          <w:b/>
          <w:sz w:val="21"/>
        </w:rPr>
        <w:t>En retard = nombre de demandes avec delai_alerte egal a en_retard</w:t>
      </w:r>
    </w:p>
    <w:p>
      <w:pPr>
        <w:spacing w:after="140" w:line="259" w:lineRule="auto"/>
      </w:pPr>
      <w:r>
        <w:rPr>
          <w:rFonts w:ascii="Aptos" w:hAnsi="Aptos"/>
          <w:sz w:val="21"/>
        </w:rPr>
        <w:t>C'est un indicateur d'alerte pour le controle interne. Il sert a identifier les dossiers qui ont depasse le delai global attendu, puis a rechercher dans quelles directions ou services ces depassements se concentrent.</w:t>
      </w:r>
    </w:p>
    <w:p>
      <w:r>
        <w:br w:type="page"/>
      </w:r>
    </w:p>
    <w:p>
      <w:pPr>
        <w:pStyle w:val="Heading1"/>
      </w:pPr>
      <w:r>
        <w:rPr>
          <w:rFonts w:ascii="Aptos Display" w:hAnsi="Aptos Display"/>
          <w:color w:val="000000"/>
        </w:rPr>
        <w:t>Calcul du taux dans les delais</w:t>
      </w:r>
    </w:p>
    <w:p>
      <w:pPr>
        <w:spacing w:after="140" w:line="259" w:lineRule="auto"/>
      </w:pPr>
      <w:r>
        <w:rPr>
          <w:rFonts w:ascii="Aptos" w:hAnsi="Aptos"/>
          <w:sz w:val="21"/>
        </w:rPr>
        <w:t>Le taux dans les delais est calcule uniquement sur les dossiers clotures. Il ne se calcule pas sur toutes les reclamations recues. Les dossiers encore en attente ne sont donc pas inclus dans ce pourcentage.</w:t>
      </w:r>
    </w:p>
    <w:p>
      <w:pPr>
        <w:spacing w:before="80" w:after="160"/>
        <w:jc w:val="center"/>
      </w:pPr>
      <w:r>
        <w:rPr>
          <w:rFonts w:ascii="Aptos" w:hAnsi="Aptos"/>
          <w:b/>
          <w:sz w:val="21"/>
        </w:rPr>
        <w:t>Taux dans les delais = dossiers clotures dans les delais / dossiers clotures x 100</w:t>
      </w:r>
    </w:p>
    <w:p>
      <w:pPr>
        <w:spacing w:after="140" w:line="259" w:lineRule="auto"/>
      </w:pPr>
      <w:r>
        <w:rPr>
          <w:rFonts w:ascii="Aptos" w:hAnsi="Aptos"/>
          <w:sz w:val="21"/>
        </w:rPr>
        <w:t>Dans l'application, un dossier entre dans les dossiers clotures dans les delais lorsqu'il remplit deux conditions :</w:t>
      </w:r>
    </w:p>
    <w:p>
      <w:pPr>
        <w:pStyle w:val="ListBullet"/>
        <w:spacing w:after="80"/>
      </w:pPr>
      <w:r>
        <w:rPr>
          <w:rFonts w:ascii="Aptos" w:hAnsi="Aptos"/>
          <w:sz w:val="20"/>
        </w:rPr>
        <w:t>son statut est cloturee ;</w:t>
      </w:r>
    </w:p>
    <w:p>
      <w:pPr>
        <w:pStyle w:val="ListBullet"/>
        <w:spacing w:after="80"/>
      </w:pPr>
      <w:r>
        <w:rPr>
          <w:rFonts w:ascii="Aptos" w:hAnsi="Aptos"/>
          <w:sz w:val="20"/>
        </w:rPr>
        <w:t>son indicateur global de delai est dans_les_delais.</w:t>
      </w:r>
    </w:p>
    <w:p>
      <w:pPr>
        <w:pStyle w:val="Heading2"/>
      </w:pPr>
      <w:r>
        <w:rPr>
          <w:rFonts w:ascii="Aptos Display" w:hAnsi="Aptos Display"/>
          <w:color w:val="000000"/>
        </w:rPr>
        <w:t>Application a l'exemple de production</w:t>
      </w:r>
    </w:p>
    <w:p>
      <w:pPr>
        <w:spacing w:after="140" w:line="259" w:lineRule="auto"/>
      </w:pPr>
      <w:r>
        <w:rPr>
          <w:rFonts w:ascii="Aptos" w:hAnsi="Aptos"/>
          <w:sz w:val="21"/>
        </w:rPr>
        <w:t>L'ecran affiche 345 dossiers clotures et un taux dans les delais de 43,5 %. Le nombre de dossiers clotures dans les delais peut donc etre retrouve ainsi :</w:t>
      </w:r>
    </w:p>
    <w:p>
      <w:pPr>
        <w:spacing w:before="80" w:after="160"/>
        <w:jc w:val="center"/>
      </w:pPr>
      <w:r>
        <w:rPr>
          <w:rFonts w:ascii="Aptos" w:hAnsi="Aptos"/>
          <w:b/>
          <w:sz w:val="21"/>
        </w:rPr>
        <w:t>345 x 43,5 / 100 = 150,075</w:t>
      </w:r>
    </w:p>
    <w:p>
      <w:pPr>
        <w:spacing w:after="140" w:line="259" w:lineRule="auto"/>
      </w:pPr>
      <w:r>
        <w:rPr>
          <w:rFonts w:ascii="Aptos" w:hAnsi="Aptos"/>
          <w:sz w:val="21"/>
        </w:rPr>
        <w:t>On lit donc environ 150 dossiers clotures dans les delais et environ 195 dossiers clotures hors delai. Le calcul est arrondi dans l'interface, ce qui explique que le resultat exact puisse ne pas etre un entier parfait.</w:t>
      </w:r>
    </w:p>
    <w:tbl>
      <w:tblPr>
        <w:tblW w:type="auto" w:w="0"/>
        <w:tblLayout w:type="fixed"/>
        <w:tblLook w:firstColumn="1" w:firstRow="1" w:lastColumn="0" w:lastRow="0" w:noHBand="0" w:noVBand="1" w:val="04A0"/>
      </w:tblPr>
      <w:tblGrid>
        <w:gridCol w:w="3402"/>
        <w:gridCol w:w="2268"/>
        <w:gridCol w:w="3969"/>
      </w:tblGrid>
      <w:tr>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Element</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Valeur</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Interpretation</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Total cloturees</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
              <w:rPr>
                <w:rFonts w:ascii="Aptos" w:hAnsi="Aptos"/>
                <w:b w:val="0"/>
                <w:color w:val="000000"/>
                <w:sz w:val="18"/>
              </w:rPr>
              <w:t>345</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Denominateur du pourcentage.</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Taux dans les delais</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center"/>
            </w:pPr>
            <w:r/>
            <w:r>
              <w:rPr>
                <w:rFonts w:ascii="Aptos" w:hAnsi="Aptos"/>
                <w:b w:val="0"/>
                <w:color w:val="000000"/>
                <w:sz w:val="18"/>
              </w:rPr>
              <w:t>43,5 %</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Part conforme parmi les dossiers termines.</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Cloturees dans les delais</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center"/>
            </w:pPr>
            <w:r/>
            <w:r>
              <w:rPr>
                <w:rFonts w:ascii="Aptos" w:hAnsi="Aptos"/>
                <w:b w:val="0"/>
                <w:color w:val="000000"/>
                <w:sz w:val="18"/>
              </w:rPr>
              <w:t>environ 150</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jc w:val="left"/>
            </w:pPr>
            <w:r/>
            <w:r>
              <w:rPr>
                <w:rFonts w:ascii="Aptos" w:hAnsi="Aptos"/>
                <w:b w:val="0"/>
                <w:color w:val="000000"/>
                <w:sz w:val="18"/>
              </w:rPr>
              <w:t>Numerateur du pourcentage.</w:t>
            </w:r>
          </w:p>
        </w:tc>
      </w:tr>
      <w:tr>
        <w:tc>
          <w:tcPr>
            <w:tcW w:type="dxa" w:w="340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Cloturees hors delai</w:t>
            </w:r>
          </w:p>
        </w:tc>
        <w:tc>
          <w:tcPr>
            <w:tcW w:type="dxa" w:w="22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center"/>
            </w:pPr>
            <w:r/>
            <w:r>
              <w:rPr>
                <w:rFonts w:ascii="Aptos" w:hAnsi="Aptos"/>
                <w:b w:val="0"/>
                <w:color w:val="000000"/>
                <w:sz w:val="18"/>
              </w:rPr>
              <w:t>environ 195</w:t>
            </w:r>
          </w:p>
        </w:tc>
        <w:tc>
          <w:tcPr>
            <w:tcW w:type="dxa" w:w="396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pPr>
              <w:jc w:val="left"/>
            </w:pPr>
            <w:r/>
            <w:r>
              <w:rPr>
                <w:rFonts w:ascii="Aptos" w:hAnsi="Aptos"/>
                <w:b w:val="0"/>
                <w:color w:val="000000"/>
                <w:sz w:val="18"/>
              </w:rPr>
              <w:t>Dossiers termines mais hors delai.</w:t>
            </w:r>
          </w:p>
        </w:tc>
      </w:tr>
    </w:tbl>
    <w:p>
      <w:pPr>
        <w:pStyle w:val="Heading1"/>
      </w:pPr>
      <w:r>
        <w:rPr>
          <w:rFonts w:ascii="Aptos Display" w:hAnsi="Aptos Display"/>
          <w:color w:val="000000"/>
        </w:rPr>
        <w:t>Pourquoi le taux dans les delais ne correspond pas au KPI En retard</w:t>
      </w:r>
    </w:p>
    <w:p>
      <w:pPr>
        <w:spacing w:after="140" w:line="259" w:lineRule="auto"/>
      </w:pPr>
      <w:r>
        <w:rPr>
          <w:rFonts w:ascii="Aptos" w:hAnsi="Aptos"/>
          <w:sz w:val="21"/>
        </w:rPr>
        <w:t>Le KPI Taux dans les delais regarde seulement les dossiers clotures. Le KPI En retard compte les dossiers dont l'indicateur global est en retard dans le perimetre, qu'ils soient encore ouverts ou deja clotures. Les deux indicateurs ne sont donc pas des complements directs.</w:t>
      </w:r>
    </w:p>
    <w:tbl>
      <w:tblPr>
        <w:tblW w:type="auto" w:w="0"/>
        <w:tblLayout w:type="fixed"/>
        <w:tblLook w:firstColumn="1" w:firstRow="1" w:lastColumn="0" w:lastRow="0" w:noHBand="0" w:noVBand="1" w:val="04A0"/>
      </w:tblPr>
      <w:tblGrid>
        <w:gridCol w:w="3437"/>
        <w:gridCol w:w="3437"/>
        <w:gridCol w:w="3437"/>
      </w:tblGrid>
      <w:tr>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Indicateur</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Base de calcul</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Ce qu'il repond</w:t>
            </w:r>
          </w:p>
        </w:tc>
      </w:tr>
      <w:tr>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Taux dans les delais</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Dossiers clotures uniquement</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Parmi les dossiers termines, quelle part a respecte le delai ?</w:t>
            </w:r>
          </w:p>
        </w:tc>
      </w:tr>
      <w:tr>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En retard</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Tous les dossiers du perimetre avec alerte globale en retard</w:t>
            </w:r>
          </w:p>
        </w:tc>
        <w:tc>
          <w:tcPr>
            <w:tcW w:type="dxa" w:w="343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Combien de dossiers sont ou ont ete hors delai ?</w:t>
            </w:r>
          </w:p>
        </w:tc>
      </w:tr>
    </w:tbl>
    <w:p>
      <w:pPr>
        <w:spacing w:after="140" w:line="259" w:lineRule="auto"/>
      </w:pPr>
      <w:r>
        <w:rPr>
          <w:rFonts w:ascii="Aptos" w:hAnsi="Aptos"/>
          <w:sz w:val="21"/>
        </w:rPr>
        <w:t>Ainsi, il est possible d'avoir 108 dossiers en retard et un taux dans les delais de 43,5 %. Cela signifie que l'indicateur de retard signale un volume de dossiers problematiques, tandis que le pourcentage mesure la conformite des dossiers deja finalises.</w:t>
      </w:r>
    </w:p>
    <w:p>
      <w:pPr>
        <w:pStyle w:val="Heading1"/>
      </w:pPr>
      <w:r>
        <w:rPr>
          <w:rFonts w:ascii="Aptos Display" w:hAnsi="Aptos Display"/>
          <w:color w:val="000000"/>
        </w:rPr>
        <w:t>Delai moyen de traitement</w:t>
      </w:r>
    </w:p>
    <w:p>
      <w:pPr>
        <w:spacing w:after="140" w:line="259" w:lineRule="auto"/>
      </w:pPr>
      <w:r>
        <w:rPr>
          <w:rFonts w:ascii="Aptos" w:hAnsi="Aptos"/>
          <w:sz w:val="21"/>
        </w:rPr>
        <w:t>Le delai moyen de traitement est calcule sur les dossiers clotures. Il represente la moyenne des heures ouvrees de traitement, et non une duree calendaire brute. Les heures non ouvrees, les weekends ou jours feries peuvent etre exclus selon la configuration de delai active.</w:t>
      </w:r>
    </w:p>
    <w:p>
      <w:pPr>
        <w:spacing w:before="80" w:after="160"/>
        <w:jc w:val="center"/>
      </w:pPr>
      <w:r>
        <w:rPr>
          <w:rFonts w:ascii="Aptos" w:hAnsi="Aptos"/>
          <w:b/>
          <w:sz w:val="21"/>
        </w:rPr>
        <w:t>Delai moyen = moyenne des heures ouvrees de cloture des dossiers clotures</w:t>
      </w:r>
    </w:p>
    <w:p>
      <w:pPr>
        <w:spacing w:after="140" w:line="259" w:lineRule="auto"/>
      </w:pPr>
      <w:r>
        <w:rPr>
          <w:rFonts w:ascii="Aptos" w:hAnsi="Aptos"/>
          <w:sz w:val="21"/>
        </w:rPr>
        <w:t>Dans l'exemple de production, 9,90 h signifie que les dossiers clotures ont pris en moyenne 9,90 heures ouvrees pour etre traites. Ce chiffre peut rester faible meme si le taux dans les delais est faible, car la moyenne peut etre influencee par beaucoup de dossiers traites rapidement et quelques dossiers tres en retard.</w:t>
      </w:r>
    </w:p>
    <w:p>
      <w:r>
        <w:br w:type="page"/>
      </w:r>
    </w:p>
    <w:p>
      <w:pPr>
        <w:pStyle w:val="Heading1"/>
      </w:pPr>
      <w:r>
        <w:rPr>
          <w:rFonts w:ascii="Aptos Display" w:hAnsi="Aptos Display"/>
          <w:color w:val="000000"/>
        </w:rPr>
        <w:t>Comment presenter ces KPI en controle interne</w:t>
      </w:r>
    </w:p>
    <w:p>
      <w:pPr>
        <w:spacing w:after="140" w:line="259" w:lineRule="auto"/>
      </w:pPr>
      <w:r>
        <w:rPr>
          <w:rFonts w:ascii="Aptos" w:hAnsi="Aptos"/>
          <w:sz w:val="21"/>
        </w:rPr>
        <w:t>Une lecture claire peut etre formulee ainsi :</w:t>
      </w:r>
    </w:p>
    <w:p>
      <w:pPr>
        <w:pStyle w:val="ListBullet"/>
        <w:spacing w:after="80"/>
      </w:pPr>
      <w:r>
        <w:rPr>
          <w:rFonts w:ascii="Aptos" w:hAnsi="Aptos"/>
          <w:sz w:val="20"/>
        </w:rPr>
        <w:t>488 reclamations ont ete recues sur le perimetre global.</w:t>
      </w:r>
    </w:p>
    <w:p>
      <w:pPr>
        <w:pStyle w:val="ListBullet"/>
        <w:spacing w:after="80"/>
      </w:pPr>
      <w:r>
        <w:rPr>
          <w:rFonts w:ascii="Aptos" w:hAnsi="Aptos"/>
          <w:sz w:val="20"/>
        </w:rPr>
        <w:t>345 dossiers sont clotures, soit environ 70,7 % du volume recu.</w:t>
      </w:r>
    </w:p>
    <w:p>
      <w:pPr>
        <w:pStyle w:val="ListBullet"/>
        <w:spacing w:after="80"/>
      </w:pPr>
      <w:r>
        <w:rPr>
          <w:rFonts w:ascii="Aptos" w:hAnsi="Aptos"/>
          <w:sz w:val="20"/>
        </w:rPr>
        <w:t>143 dossiers restent en attente de cloture.</w:t>
      </w:r>
    </w:p>
    <w:p>
      <w:pPr>
        <w:pStyle w:val="ListBullet"/>
        <w:spacing w:after="80"/>
      </w:pPr>
      <w:r>
        <w:rPr>
          <w:rFonts w:ascii="Aptos" w:hAnsi="Aptos"/>
          <w:sz w:val="20"/>
        </w:rPr>
        <w:t>108 dossiers sont signales en retard sur le delai global.</w:t>
      </w:r>
    </w:p>
    <w:p>
      <w:pPr>
        <w:pStyle w:val="ListBullet"/>
        <w:spacing w:after="80"/>
      </w:pPr>
      <w:r>
        <w:rPr>
          <w:rFonts w:ascii="Aptos" w:hAnsi="Aptos"/>
          <w:sz w:val="20"/>
        </w:rPr>
        <w:t>43,5 % des dossiers clotures ont ete traites dans les delais, soit environ 150 dossiers conformes sur 345 clotures.</w:t>
      </w:r>
    </w:p>
    <w:p>
      <w:pPr>
        <w:pStyle w:val="ListBullet"/>
        <w:spacing w:after="80"/>
      </w:pPr>
      <w:r>
        <w:rPr>
          <w:rFonts w:ascii="Aptos" w:hAnsi="Aptos"/>
          <w:sz w:val="20"/>
        </w:rPr>
        <w:t>Le delai moyen de traitement des dossiers clotures est de 9,90 heures ouvrees.</w:t>
      </w:r>
    </w:p>
    <w:p>
      <w:pPr>
        <w:pStyle w:val="Heading1"/>
      </w:pPr>
      <w:r>
        <w:rPr>
          <w:rFonts w:ascii="Aptos Display" w:hAnsi="Aptos Display"/>
          <w:color w:val="000000"/>
        </w:rPr>
        <w:t>Points d'attention</w:t>
      </w:r>
    </w:p>
    <w:tbl>
      <w:tblPr>
        <w:tblW w:type="auto" w:w="0"/>
        <w:tblLayout w:type="fixed"/>
        <w:tblLook w:firstColumn="1" w:firstRow="1" w:lastColumn="0" w:lastRow="0" w:noHBand="0" w:noVBand="1" w:val="04A0"/>
      </w:tblPr>
      <w:tblGrid>
        <w:gridCol w:w="5156"/>
        <w:gridCol w:w="5156"/>
      </w:tblGrid>
      <w:tr>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Point</w:t>
            </w:r>
          </w:p>
        </w:tc>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2A44"/>
          </w:tcPr>
          <w:p>
            <w:pPr>
              <w:jc w:val="center"/>
            </w:pPr>
            <w:r>
              <w:rPr>
                <w:b/>
                <w:color w:val="FFFFFF"/>
              </w:rPr>
            </w:r>
            <w:r>
              <w:rPr>
                <w:rFonts w:ascii="Aptos" w:hAnsi="Aptos"/>
                <w:b/>
                <w:color w:val="FFFFFF"/>
                <w:sz w:val="18"/>
              </w:rPr>
              <w:t>Explication</w:t>
            </w:r>
          </w:p>
        </w:tc>
      </w:tr>
      <w:tr>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Ne pas calculer le taux sur 488</w:t>
            </w:r>
          </w:p>
        </w:tc>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Le taux dans les delais se calcule sur les dossiers clotures, donc sur 345 dans cet exemple.</w:t>
            </w:r>
          </w:p>
        </w:tc>
      </w:tr>
      <w:tr>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Ne pas confondre retard et attente</w:t>
            </w:r>
          </w:p>
        </w:tc>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Un dossier en attente n'est pas automatiquement en retard. Il le devient si le delai global est depasse.</w:t>
            </w:r>
          </w:p>
        </w:tc>
      </w:tr>
      <w:tr>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Analyser par direction et service</w:t>
            </w:r>
          </w:p>
        </w:tc>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
              <w:rPr>
                <w:rFonts w:ascii="Aptos" w:hAnsi="Aptos"/>
                <w:b w:val="0"/>
                <w:color w:val="000000"/>
                <w:sz w:val="18"/>
              </w:rPr>
              <w:t>Le chiffre global indique un probleme, mais l'action corrective depend des services qui concentrent les retards.</w:t>
            </w:r>
          </w:p>
        </w:tc>
      </w:tr>
      <w:tr>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Tenir compte des filtres</w:t>
            </w:r>
          </w:p>
        </w:tc>
        <w:tc>
          <w:tcPr>
            <w:tcW w:type="dxa" w:w="51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6F8FB"/>
          </w:tcPr>
          <w:p>
            <w:r/>
            <w:r>
              <w:rPr>
                <w:rFonts w:ascii="Aptos" w:hAnsi="Aptos"/>
                <w:b w:val="0"/>
                <w:color w:val="000000"/>
                <w:sz w:val="18"/>
              </w:rPr>
              <w:t>Changer la periode, la direction, le service ou l'application modifie tous les KPI.</w:t>
            </w:r>
          </w:p>
        </w:tc>
      </w:tr>
    </w:tbl>
    <w:p>
      <w:pPr>
        <w:pStyle w:val="Heading1"/>
      </w:pPr>
      <w:r>
        <w:rPr>
          <w:rFonts w:ascii="Aptos Display" w:hAnsi="Aptos Display"/>
          <w:color w:val="000000"/>
        </w:rPr>
        <w:t>Formule de reference a retenir</w:t>
      </w:r>
    </w:p>
    <w:p>
      <w:pPr>
        <w:spacing w:after="140" w:line="259" w:lineRule="auto"/>
      </w:pPr>
      <w:r>
        <w:rPr>
          <w:rFonts w:ascii="Aptos" w:hAnsi="Aptos"/>
          <w:sz w:val="21"/>
        </w:rPr>
        <w:t>La formule principale du tableau de bord est la suivante :</w:t>
      </w:r>
    </w:p>
    <w:p>
      <w:pPr>
        <w:spacing w:before="80" w:after="160"/>
        <w:jc w:val="center"/>
      </w:pPr>
      <w:r>
        <w:rPr>
          <w:rFonts w:ascii="Aptos" w:hAnsi="Aptos"/>
          <w:b/>
          <w:sz w:val="21"/>
        </w:rPr>
        <w:t>Taux dans les delais = demandes cloturees avec delai_alerte dans_les_delais / demandes cloturees x 100</w:t>
      </w:r>
    </w:p>
    <w:p>
      <w:pPr>
        <w:spacing w:after="140" w:line="259" w:lineRule="auto"/>
      </w:pPr>
      <w:r>
        <w:rPr>
          <w:rFonts w:ascii="Aptos" w:hAnsi="Aptos"/>
          <w:sz w:val="21"/>
        </w:rPr>
        <w:t>Dans l'exemple de production, ce calcul donne environ 150 dossiers clotures dans les delais sur 345 dossiers clotures, soit 43,5 %.</w:t>
      </w:r>
    </w:p>
    <w:sectPr w:rsidR="00FC693F" w:rsidRPr="0006063C" w:rsidSect="00034616">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