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starting</w:t>
      </w:r>
      <w:r>
        <w:t xml:space="preserve"> </w:t>
      </w:r>
      <w:r>
        <w:t xml:space="preserve">1988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ppendix-s1-figure-s1."/>
    <w:p>
      <w:pPr>
        <w:pStyle w:val="Heading1"/>
      </w:pPr>
      <w:r>
        <w:t xml:space="preserve">Appendix S1 Figure S1.</w:t>
      </w:r>
    </w:p>
    <w:p>
      <w:pPr>
        <w:pStyle w:val="FirstParagraph"/>
      </w:pPr>
      <w:r>
        <w:drawing>
          <wp:inline>
            <wp:extent cx="5943600" cy="4953000"/>
            <wp:effectExtent b="0" l="0" r="0" t="0"/>
            <wp:docPr descr="" title="" id="21" name="Picture"/>
            <a:graphic>
              <a:graphicData uri="http://schemas.openxmlformats.org/drawingml/2006/picture">
                <pic:pic>
                  <pic:nvPicPr>
                    <pic:cNvPr descr="739_routes_1988_start_files/figure-docx/render%20biomass%20and%20energy%20histograms-1.png" id="22" name="Picture"/>
                    <pic:cNvPicPr>
                      <a:picLocks noChangeArrowheads="1" noChangeAspect="1"/>
                    </pic:cNvPicPr>
                  </pic:nvPicPr>
                  <pic:blipFill>
                    <a:blip r:embed="rId20"/>
                    <a:stretch>
                      <a:fillRect/>
                    </a:stretch>
                  </pic:blipFill>
                  <pic:spPr bwMode="auto">
                    <a:xfrm>
                      <a:off x="0" y="0"/>
                      <a:ext cx="5943600" cy="4953000"/>
                    </a:xfrm>
                    <a:prstGeom prst="rect">
                      <a:avLst/>
                    </a:prstGeom>
                    <a:noFill/>
                    <a:ln w="9525">
                      <a:noFill/>
                      <a:headEnd/>
                      <a:tailEnd/>
                    </a:ln>
                  </pic:spPr>
                </pic:pic>
              </a:graphicData>
            </a:graphic>
          </wp:inline>
        </w:drawing>
      </w:r>
    </w:p>
    <w:p>
      <w:pPr>
        <w:pStyle w:val="BodyText"/>
      </w:pPr>
      <w:r>
        <w:rPr>
          <w:bCs/>
          <w:b/>
        </w:rPr>
        <w:t xml:space="preserve">Appendix S1 Figure S1</w:t>
      </w:r>
      <w:r>
        <w:t xml:space="preserve">. Histograms showing the direction and magnitude of long-term trends for the null-model (left) and observed (right) changes in biomass (A) and energy use (B), for communities whose best-fitting model includes a significant slope and/or interaction term.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w:t>
      </w:r>
    </w:p>
    <w:p>
      <w:r>
        <w:br w:type="page"/>
      </w:r>
    </w:p>
    <w:bookmarkEnd w:id="23"/>
    <w:bookmarkStart w:id="27" w:name="appendix-s1-figure-s2."/>
    <w:p>
      <w:pPr>
        <w:pStyle w:val="Heading1"/>
      </w:pPr>
      <w:r>
        <w:t xml:space="preserve">Appendix S1 Figure S2.</w:t>
      </w:r>
    </w:p>
    <w:p>
      <w:pPr>
        <w:pStyle w:val="FirstParagraph"/>
      </w:pPr>
      <w:r>
        <w:drawing>
          <wp:inline>
            <wp:extent cx="5943600" cy="3714750"/>
            <wp:effectExtent b="0" l="0" r="0" t="0"/>
            <wp:docPr descr="" title="" id="25" name="Picture"/>
            <a:graphic>
              <a:graphicData uri="http://schemas.openxmlformats.org/drawingml/2006/picture">
                <pic:pic>
                  <pic:nvPicPr>
                    <pic:cNvPr descr="739_routes_1988_start_files/figure-docx/render%20isd%20change%20plots-1.png" id="26" name="Picture"/>
                    <pic:cNvPicPr>
                      <a:picLocks noChangeArrowheads="1" noChangeAspect="1"/>
                    </pic:cNvPicPr>
                  </pic:nvPicPr>
                  <pic:blipFill>
                    <a:blip r:embed="rId2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rPr>
          <w:bCs/>
          <w:b/>
        </w:rPr>
        <w:t xml:space="preserve">Appendix S1 Figure S2.</w:t>
      </w:r>
      <w:r>
        <w:t xml:space="preserve"> </w:t>
      </w:r>
      <w:r>
        <w:t xml:space="preserve">Histograms of (A) change in mean body size from the first to the last five years of monitoring, and (B) overall change in the size structure for routes whose dynamics for total biomass were best-described using no temporal trend (bottom row; intercept-only model), separate trends for observed and null dynamics (middle row), or the same trend for observed and null dynamics (top row). Change in mean body size (A) is calculated as the ratio of the mean body size of all individuals observed in the last 5 years of the timeseries relative to the mean body size of all individuals observed in the first 5 years. Overall change in the ISD (B) is calculated as the degree of turnover between the ISDs for the first and last five years of the timeseries (see text).</w:t>
      </w:r>
    </w:p>
    <w:p>
      <w:r>
        <w:br w:type="page"/>
      </w:r>
    </w:p>
    <w:bookmarkEnd w:id="27"/>
    <w:bookmarkStart w:id="28" w:name="appendix-s1-table-s1."/>
    <w:p>
      <w:pPr>
        <w:pStyle w:val="Heading1"/>
      </w:pPr>
      <w:r>
        <w:t xml:space="preserve">Appendix S1 Table S1.</w:t>
      </w:r>
    </w:p>
    <w:tbl>
      <w:tblPr>
        <w:tblStyle w:val="Table"/>
        <w:tblW w:type="pct" w:w="5000"/>
        <w:tblLook w:firstRow="1" w:lastRow="0" w:firstColumn="0" w:lastColumn="0" w:noHBand="0" w:noVBand="0" w:val="0020"/>
        <w:jc w:val="start"/>
      </w:tblPr>
      <w:tblGrid>
        <w:gridCol w:w="1771"/>
        <w:gridCol w:w="2188"/>
        <w:gridCol w:w="1771"/>
        <w:gridCol w:w="2188"/>
      </w:tblGrid>
      <w:tr>
        <w:trPr>
          <w:tblHeader w:val="true"/>
        </w:trPr>
        <w:tc>
          <w:tcPr/>
          <w:p>
            <w:pPr>
              <w:pStyle w:val="Compact"/>
              <w:jc w:val="left"/>
            </w:pPr>
            <w:r>
              <w:t xml:space="preserve">Currency</w:t>
            </w:r>
          </w:p>
        </w:tc>
        <w:tc>
          <w:tcPr/>
          <w:p>
            <w:pPr>
              <w:pStyle w:val="Compact"/>
              <w:jc w:val="left"/>
            </w:pPr>
            <w:r>
              <w:t xml:space="preserve">Selected model</w:t>
            </w:r>
          </w:p>
        </w:tc>
        <w:tc>
          <w:tcPr/>
          <w:p>
            <w:pPr>
              <w:pStyle w:val="Compact"/>
              <w:jc w:val="right"/>
            </w:pPr>
            <w:r>
              <w:t xml:space="preserve">Number of routes</w:t>
            </w:r>
          </w:p>
        </w:tc>
        <w:tc>
          <w:tcPr/>
          <w:p>
            <w:pPr>
              <w:pStyle w:val="Compact"/>
              <w:jc w:val="right"/>
            </w:pPr>
            <w:r>
              <w:t xml:space="preserve">Proportion of routes</w:t>
            </w:r>
          </w:p>
        </w:tc>
      </w:tr>
      <w:tr>
        <w:tc>
          <w:tcPr/>
          <w:p>
            <w:pPr>
              <w:pStyle w:val="Compact"/>
              <w:jc w:val="left"/>
            </w:pPr>
            <w:r>
              <w:t xml:space="preserve">Total biomass</w:t>
            </w:r>
          </w:p>
        </w:tc>
        <w:tc>
          <w:tcPr/>
          <w:p>
            <w:pPr>
              <w:pStyle w:val="Compact"/>
              <w:jc w:val="left"/>
            </w:pPr>
            <w:r>
              <w:t xml:space="preserve">Intercept-only</w:t>
            </w:r>
          </w:p>
        </w:tc>
        <w:tc>
          <w:tcPr/>
          <w:p>
            <w:pPr>
              <w:pStyle w:val="Compact"/>
              <w:jc w:val="right"/>
            </w:pPr>
            <w:r>
              <w:t xml:space="preserve">238</w:t>
            </w:r>
          </w:p>
        </w:tc>
        <w:tc>
          <w:tcPr/>
          <w:p>
            <w:pPr>
              <w:pStyle w:val="Compact"/>
              <w:jc w:val="right"/>
            </w:pPr>
            <w:r>
              <w:t xml:space="preserve">0.32</w:t>
            </w:r>
          </w:p>
        </w:tc>
      </w:tr>
      <w:tr>
        <w:tc>
          <w:tcPr/>
          <w:p>
            <w:pPr>
              <w:pStyle w:val="Compact"/>
              <w:jc w:val="left"/>
            </w:pPr>
            <w:r>
              <w:t xml:space="preserve">Total biomass</w:t>
            </w:r>
          </w:p>
        </w:tc>
        <w:tc>
          <w:tcPr/>
          <w:p>
            <w:pPr>
              <w:pStyle w:val="Compact"/>
              <w:jc w:val="left"/>
            </w:pPr>
            <w:r>
              <w:t xml:space="preserve">Trend, not decoupled</w:t>
            </w:r>
          </w:p>
        </w:tc>
        <w:tc>
          <w:tcPr/>
          <w:p>
            <w:pPr>
              <w:pStyle w:val="Compact"/>
              <w:jc w:val="right"/>
            </w:pPr>
            <w:r>
              <w:t xml:space="preserve">352</w:t>
            </w:r>
          </w:p>
        </w:tc>
        <w:tc>
          <w:tcPr/>
          <w:p>
            <w:pPr>
              <w:pStyle w:val="Compact"/>
              <w:jc w:val="right"/>
            </w:pPr>
            <w:r>
              <w:t xml:space="preserve">0.48</w:t>
            </w:r>
          </w:p>
        </w:tc>
      </w:tr>
      <w:tr>
        <w:tc>
          <w:tcPr/>
          <w:p>
            <w:pPr>
              <w:pStyle w:val="Compact"/>
              <w:jc w:val="left"/>
            </w:pPr>
            <w:r>
              <w:t xml:space="preserve">Total biomass</w:t>
            </w:r>
          </w:p>
        </w:tc>
        <w:tc>
          <w:tcPr/>
          <w:p>
            <w:pPr>
              <w:pStyle w:val="Compact"/>
              <w:jc w:val="left"/>
            </w:pPr>
            <w:r>
              <w:t xml:space="preserve">Decoupled trend</w:t>
            </w:r>
          </w:p>
        </w:tc>
        <w:tc>
          <w:tcPr/>
          <w:p>
            <w:pPr>
              <w:pStyle w:val="Compact"/>
              <w:jc w:val="right"/>
            </w:pPr>
            <w:r>
              <w:t xml:space="preserve">149</w:t>
            </w:r>
          </w:p>
        </w:tc>
        <w:tc>
          <w:tcPr/>
          <w:p>
            <w:pPr>
              <w:pStyle w:val="Compact"/>
              <w:jc w:val="right"/>
            </w:pPr>
            <w:r>
              <w:t xml:space="preserve">0.20</w:t>
            </w:r>
          </w:p>
        </w:tc>
      </w:tr>
      <w:tr>
        <w:tc>
          <w:tcPr/>
          <w:p>
            <w:pPr>
              <w:pStyle w:val="Compact"/>
              <w:jc w:val="left"/>
            </w:pPr>
            <w:r>
              <w:t xml:space="preserve">Total energy use</w:t>
            </w:r>
          </w:p>
        </w:tc>
        <w:tc>
          <w:tcPr/>
          <w:p>
            <w:pPr>
              <w:pStyle w:val="Compact"/>
              <w:jc w:val="left"/>
            </w:pPr>
            <w:r>
              <w:t xml:space="preserve">Intercept-only</w:t>
            </w:r>
          </w:p>
        </w:tc>
        <w:tc>
          <w:tcPr/>
          <w:p>
            <w:pPr>
              <w:pStyle w:val="Compact"/>
              <w:jc w:val="right"/>
            </w:pPr>
            <w:r>
              <w:t xml:space="preserve">230</w:t>
            </w:r>
          </w:p>
        </w:tc>
        <w:tc>
          <w:tcPr/>
          <w:p>
            <w:pPr>
              <w:pStyle w:val="Compact"/>
              <w:jc w:val="right"/>
            </w:pPr>
            <w:r>
              <w:t xml:space="preserve">0.31</w:t>
            </w:r>
          </w:p>
        </w:tc>
      </w:tr>
      <w:tr>
        <w:tc>
          <w:tcPr/>
          <w:p>
            <w:pPr>
              <w:pStyle w:val="Compact"/>
              <w:jc w:val="left"/>
            </w:pPr>
            <w:r>
              <w:t xml:space="preserve">Total energy use</w:t>
            </w:r>
          </w:p>
        </w:tc>
        <w:tc>
          <w:tcPr/>
          <w:p>
            <w:pPr>
              <w:pStyle w:val="Compact"/>
              <w:jc w:val="left"/>
            </w:pPr>
            <w:r>
              <w:t xml:space="preserve">Trend, not decoupled</w:t>
            </w:r>
          </w:p>
        </w:tc>
        <w:tc>
          <w:tcPr/>
          <w:p>
            <w:pPr>
              <w:pStyle w:val="Compact"/>
              <w:jc w:val="right"/>
            </w:pPr>
            <w:r>
              <w:t xml:space="preserve">456</w:t>
            </w:r>
          </w:p>
        </w:tc>
        <w:tc>
          <w:tcPr/>
          <w:p>
            <w:pPr>
              <w:pStyle w:val="Compact"/>
              <w:jc w:val="right"/>
            </w:pPr>
            <w:r>
              <w:t xml:space="preserve">0.62</w:t>
            </w:r>
          </w:p>
        </w:tc>
      </w:tr>
      <w:tr>
        <w:tc>
          <w:tcPr/>
          <w:p>
            <w:pPr>
              <w:pStyle w:val="Compact"/>
              <w:jc w:val="left"/>
            </w:pPr>
            <w:r>
              <w:t xml:space="preserve">Total energy use</w:t>
            </w:r>
          </w:p>
        </w:tc>
        <w:tc>
          <w:tcPr/>
          <w:p>
            <w:pPr>
              <w:pStyle w:val="Compact"/>
              <w:jc w:val="left"/>
            </w:pPr>
            <w:r>
              <w:t xml:space="preserve">Decoupled trend</w:t>
            </w:r>
          </w:p>
        </w:tc>
        <w:tc>
          <w:tcPr/>
          <w:p>
            <w:pPr>
              <w:pStyle w:val="Compact"/>
              <w:jc w:val="right"/>
            </w:pPr>
            <w:r>
              <w:t xml:space="preserve">53</w:t>
            </w:r>
          </w:p>
        </w:tc>
        <w:tc>
          <w:tcPr/>
          <w:p>
            <w:pPr>
              <w:pStyle w:val="Compact"/>
              <w:jc w:val="right"/>
            </w:pPr>
            <w:r>
              <w:t xml:space="preserve">0.07</w:t>
            </w:r>
          </w:p>
        </w:tc>
      </w:tr>
    </w:tbl>
    <w:p>
      <w:pPr>
        <w:pStyle w:val="BodyText"/>
      </w:pPr>
      <w:r>
        <w:rPr>
          <w:bCs/>
          <w:b/>
        </w:rPr>
        <w:t xml:space="preserve">Appendix S1 Table S1</w:t>
      </w:r>
      <w:r>
        <w:t xml:space="preserve">. Table of the number and proportion of routes whose dynamics for total biomass and total energy use are best described by the following model types: no directional change (intercept-only model, biomass ~ 1 or energy use ~ 1); the same trend for null and observed dynamics (biomass ~ year or energy use ~ year); or different trends for observed and null dynamics (biomass ~ year * null or observed or energy use ~ year * null or observed).</w:t>
      </w:r>
    </w:p>
    <w:p>
      <w:r>
        <w:br w:type="page"/>
      </w:r>
    </w:p>
    <w:bookmarkEnd w:id="28"/>
    <w:bookmarkStart w:id="29" w:name="appendix-s1-table-s2."/>
    <w:p>
      <w:pPr>
        <w:pStyle w:val="Heading1"/>
      </w:pPr>
      <w:r>
        <w:t xml:space="preserve">Appendix S1 Table S2.</w:t>
      </w:r>
    </w:p>
    <w:tbl>
      <w:tblPr>
        <w:tblStyle w:val="Table"/>
        <w:tblW w:type="pct" w:w="5000"/>
        <w:tblLook w:firstRow="1" w:lastRow="0" w:firstColumn="0" w:lastColumn="0" w:noHBand="0" w:noVBand="0" w:val="0020"/>
        <w:jc w:val="start"/>
      </w:tblPr>
      <w:tblGrid>
        <w:gridCol w:w="915"/>
        <w:gridCol w:w="2747"/>
        <w:gridCol w:w="2208"/>
        <w:gridCol w:w="2047"/>
      </w:tblGrid>
      <w:tr>
        <w:trPr>
          <w:tblHeader w:val="true"/>
        </w:trPr>
        <w:tc>
          <w:tcPr/>
          <w:p>
            <w:pPr>
              <w:pStyle w:val="Compact"/>
              <w:jc w:val="left"/>
            </w:pPr>
            <w:r>
              <w:t xml:space="preserve">Currency</w:t>
            </w:r>
          </w:p>
        </w:tc>
        <w:tc>
          <w:tcPr/>
          <w:p>
            <w:pPr>
              <w:pStyle w:val="Compact"/>
              <w:jc w:val="right"/>
            </w:pPr>
            <w:r>
              <w:t xml:space="preserve">Proportion of increasing individuals-driven trends</w:t>
            </w:r>
          </w:p>
        </w:tc>
        <w:tc>
          <w:tcPr/>
          <w:p>
            <w:pPr>
              <w:pStyle w:val="Compact"/>
              <w:jc w:val="right"/>
            </w:pPr>
            <w:r>
              <w:t xml:space="preserve">Proportion of increasing observed trends</w:t>
            </w:r>
          </w:p>
        </w:tc>
        <w:tc>
          <w:tcPr/>
          <w:p>
            <w:pPr>
              <w:pStyle w:val="Compact"/>
              <w:jc w:val="right"/>
            </w:pPr>
            <w:r>
              <w:t xml:space="preserve">Number of routes with temporal trends</w:t>
            </w:r>
          </w:p>
        </w:tc>
      </w:tr>
      <w:tr>
        <w:tc>
          <w:tcPr/>
          <w:p>
            <w:pPr>
              <w:pStyle w:val="Compact"/>
              <w:jc w:val="left"/>
            </w:pPr>
            <w:r>
              <w:t xml:space="preserve">Total biomass</w:t>
            </w:r>
          </w:p>
        </w:tc>
        <w:tc>
          <w:tcPr/>
          <w:p>
            <w:pPr>
              <w:pStyle w:val="Compact"/>
              <w:jc w:val="right"/>
            </w:pPr>
            <w:r>
              <w:t xml:space="preserve">0.33</w:t>
            </w:r>
          </w:p>
        </w:tc>
        <w:tc>
          <w:tcPr/>
          <w:p>
            <w:pPr>
              <w:pStyle w:val="Compact"/>
              <w:jc w:val="right"/>
            </w:pPr>
            <w:r>
              <w:t xml:space="preserve">0.49</w:t>
            </w:r>
          </w:p>
        </w:tc>
        <w:tc>
          <w:tcPr/>
          <w:p>
            <w:pPr>
              <w:pStyle w:val="Compact"/>
              <w:jc w:val="right"/>
            </w:pPr>
            <w:r>
              <w:t xml:space="preserve">501</w:t>
            </w:r>
          </w:p>
        </w:tc>
      </w:tr>
      <w:tr>
        <w:tc>
          <w:tcPr/>
          <w:p>
            <w:pPr>
              <w:pStyle w:val="Compact"/>
              <w:jc w:val="left"/>
            </w:pPr>
            <w:r>
              <w:t xml:space="preserve">Total energy use</w:t>
            </w:r>
          </w:p>
        </w:tc>
        <w:tc>
          <w:tcPr/>
          <w:p>
            <w:pPr>
              <w:pStyle w:val="Compact"/>
              <w:jc w:val="right"/>
            </w:pPr>
            <w:r>
              <w:t xml:space="preserve">0.30</w:t>
            </w:r>
          </w:p>
        </w:tc>
        <w:tc>
          <w:tcPr/>
          <w:p>
            <w:pPr>
              <w:pStyle w:val="Compact"/>
              <w:jc w:val="right"/>
            </w:pPr>
            <w:r>
              <w:t xml:space="preserve">0.35</w:t>
            </w:r>
          </w:p>
        </w:tc>
        <w:tc>
          <w:tcPr/>
          <w:p>
            <w:pPr>
              <w:pStyle w:val="Compact"/>
              <w:jc w:val="right"/>
            </w:pPr>
            <w:r>
              <w:t xml:space="preserve">509</w:t>
            </w:r>
          </w:p>
        </w:tc>
      </w:tr>
    </w:tbl>
    <w:p>
      <w:pPr>
        <w:pStyle w:val="BodyText"/>
      </w:pPr>
      <w:r>
        <w:rPr>
          <w:iCs/>
          <w:i/>
        </w:rPr>
        <w:t xml:space="preserve">Appendix S1 Table S2</w:t>
      </w:r>
      <w:r>
        <w:t xml:space="preserve">. The proportion of trends that are increasing (specifically, for which the ratio of the last fitted value to the first fitted value &gt; 1) for individuals-driven and observed dynamics, for routes exhibiting temporal trends (either the same or different slopes for null and observed dynamics) in total biomass and total energy use. Trends that are not increasing are decreasing.</w:t>
      </w:r>
    </w:p>
    <w:bookmarkEnd w:id="29"/>
    <w:bookmarkStart w:id="30" w:name="appendix-s1-table-s3."/>
    <w:p>
      <w:pPr>
        <w:pStyle w:val="Heading1"/>
      </w:pPr>
      <w:r>
        <w:t xml:space="preserve">Appendix S1 Table S3.</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Res.Df</w:t>
            </w:r>
          </w:p>
        </w:tc>
        <w:tc>
          <w:tcPr/>
          <w:p>
            <w:pPr>
              <w:pStyle w:val="Compact"/>
              <w:jc w:val="right"/>
            </w:pPr>
            <w:r>
              <w:t xml:space="preserve">RSS</w:t>
            </w:r>
          </w:p>
        </w:tc>
        <w:tc>
          <w:tcPr/>
          <w:p>
            <w:pPr>
              <w:pStyle w:val="Compact"/>
              <w:jc w:val="right"/>
            </w:pPr>
            <w:r>
              <w:t xml:space="preserve">Df</w:t>
            </w:r>
          </w:p>
        </w:tc>
        <w:tc>
          <w:tcPr/>
          <w:p>
            <w:pPr>
              <w:pStyle w:val="Compact"/>
              <w:jc w:val="right"/>
            </w:pPr>
            <w:r>
              <w:t xml:space="preserve">Sum of Sq</w:t>
            </w:r>
          </w:p>
        </w:tc>
        <w:tc>
          <w:tcPr/>
          <w:p>
            <w:pPr>
              <w:pStyle w:val="Compact"/>
              <w:jc w:val="right"/>
            </w:pPr>
            <w:r>
              <w:t xml:space="preserve">F</w:t>
            </w:r>
          </w:p>
        </w:tc>
        <w:tc>
          <w:tcPr/>
          <w:p>
            <w:pPr>
              <w:pStyle w:val="Compact"/>
              <w:jc w:val="right"/>
            </w:pPr>
            <w:r>
              <w:t xml:space="preserve">Pr(&gt;F)</w:t>
            </w:r>
          </w:p>
        </w:tc>
      </w:tr>
      <w:tr>
        <w:tc>
          <w:tcPr/>
          <w:p>
            <w:pPr>
              <w:pStyle w:val="Compact"/>
              <w:jc w:val="right"/>
            </w:pPr>
            <w:r>
              <w:t xml:space="preserve">736</w:t>
            </w:r>
          </w:p>
        </w:tc>
        <w:tc>
          <w:tcPr/>
          <w:p>
            <w:pPr>
              <w:pStyle w:val="Compact"/>
              <w:jc w:val="right"/>
            </w:pPr>
            <w:r>
              <w:t xml:space="preserve">20.81904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738</w:t>
            </w:r>
          </w:p>
        </w:tc>
        <w:tc>
          <w:tcPr/>
          <w:p>
            <w:pPr>
              <w:pStyle w:val="Compact"/>
              <w:jc w:val="right"/>
            </w:pPr>
            <w:r>
              <w:t xml:space="preserve">35.42466</w:t>
            </w:r>
          </w:p>
        </w:tc>
        <w:tc>
          <w:tcPr/>
          <w:p>
            <w:pPr>
              <w:pStyle w:val="Compact"/>
              <w:jc w:val="right"/>
            </w:pPr>
            <w:r>
              <w:t xml:space="preserve">-2</w:t>
            </w:r>
          </w:p>
        </w:tc>
        <w:tc>
          <w:tcPr/>
          <w:p>
            <w:pPr>
              <w:pStyle w:val="Compact"/>
              <w:jc w:val="right"/>
            </w:pPr>
            <w:r>
              <w:t xml:space="preserve">-14.60562</w:t>
            </w:r>
          </w:p>
        </w:tc>
        <w:tc>
          <w:tcPr/>
          <w:p>
            <w:pPr>
              <w:pStyle w:val="Compact"/>
              <w:jc w:val="right"/>
            </w:pPr>
            <w:r>
              <w:t xml:space="preserve">258.1708</w:t>
            </w:r>
          </w:p>
        </w:tc>
        <w:tc>
          <w:tcPr/>
          <w:p>
            <w:pPr>
              <w:pStyle w:val="Compact"/>
              <w:jc w:val="right"/>
            </w:pPr>
            <w:r>
              <w:t xml:space="preserve">0</w:t>
            </w:r>
          </w:p>
        </w:tc>
      </w:tr>
    </w:tbl>
    <w:p>
      <w:pPr>
        <w:pStyle w:val="BodyText"/>
      </w:pPr>
      <w:r>
        <w:rPr>
          <w:bCs/>
          <w:b/>
        </w:rPr>
        <w:t xml:space="preserve">Appendix S1 Table S3</w:t>
      </w:r>
      <w:r>
        <w:t xml:space="preserve">. ANOVA table comparing ordinary linear models of the form abs_log_ratio ~ best model type and abs_log_ratio ~ 1.</w:t>
      </w:r>
    </w:p>
    <w:p>
      <w:r>
        <w:br w:type="page"/>
      </w:r>
    </w:p>
    <w:bookmarkEnd w:id="30"/>
    <w:bookmarkStart w:id="31" w:name="appendix-s1-table-s4."/>
    <w:p>
      <w:pPr>
        <w:pStyle w:val="Heading1"/>
      </w:pPr>
      <w:r>
        <w:t xml:space="preserve">Appendix S1 Table S4.</w:t>
      </w:r>
    </w:p>
    <w:tbl>
      <w:tblPr>
        <w:tblStyle w:val="Table"/>
        <w:tblW w:type="pct" w:w="5000"/>
        <w:tblLook w:firstRow="1" w:lastRow="0" w:firstColumn="0" w:lastColumn="0" w:noHBand="0" w:noVBand="0" w:val="0020"/>
        <w:jc w:val="start"/>
      </w:tblPr>
      <w:tblGrid>
        <w:gridCol w:w="3721"/>
        <w:gridCol w:w="954"/>
        <w:gridCol w:w="954"/>
        <w:gridCol w:w="381"/>
        <w:gridCol w:w="954"/>
        <w:gridCol w:w="954"/>
      </w:tblGrid>
      <w:tr>
        <w:trPr>
          <w:tblHeader w:val="true"/>
        </w:trPr>
        <w:tc>
          <w:tcPr/>
          <w:p>
            <w:pPr>
              <w:pStyle w:val="Compact"/>
              <w:jc w:val="left"/>
            </w:pPr>
            <w:r>
              <w:t xml:space="preserve">categorical_fit</w:t>
            </w:r>
          </w:p>
        </w:tc>
        <w:tc>
          <w:tcPr/>
          <w:p>
            <w:pPr>
              <w:pStyle w:val="Compact"/>
              <w:jc w:val="right"/>
            </w:pPr>
            <w:r>
              <w:t xml:space="preserve">emmean</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lower.CL</w:t>
            </w:r>
          </w:p>
        </w:tc>
        <w:tc>
          <w:tcPr/>
          <w:p>
            <w:pPr>
              <w:pStyle w:val="Compact"/>
              <w:jc w:val="right"/>
            </w:pPr>
            <w:r>
              <w:t xml:space="preserve">upper.CL</w:t>
            </w:r>
          </w:p>
        </w:tc>
      </w:tr>
      <w:tr>
        <w:tc>
          <w:tcPr/>
          <w:p>
            <w:pPr>
              <w:pStyle w:val="Compact"/>
              <w:jc w:val="left"/>
            </w:pPr>
            <w:r>
              <w:t xml:space="preserve">Different trends for null and observed</w:t>
            </w:r>
          </w:p>
        </w:tc>
        <w:tc>
          <w:tcPr/>
          <w:p>
            <w:pPr>
              <w:pStyle w:val="Compact"/>
              <w:jc w:val="right"/>
            </w:pPr>
            <w:r>
              <w:t xml:space="preserve">0.5587675</w:t>
            </w:r>
          </w:p>
        </w:tc>
        <w:tc>
          <w:tcPr/>
          <w:p>
            <w:pPr>
              <w:pStyle w:val="Compact"/>
              <w:jc w:val="right"/>
            </w:pPr>
            <w:r>
              <w:t xml:space="preserve">0.0137784</w:t>
            </w:r>
          </w:p>
        </w:tc>
        <w:tc>
          <w:tcPr/>
          <w:p>
            <w:pPr>
              <w:pStyle w:val="Compact"/>
              <w:jc w:val="right"/>
            </w:pPr>
            <w:r>
              <w:t xml:space="preserve">736</w:t>
            </w:r>
          </w:p>
        </w:tc>
        <w:tc>
          <w:tcPr/>
          <w:p>
            <w:pPr>
              <w:pStyle w:val="Compact"/>
              <w:jc w:val="right"/>
            </w:pPr>
            <w:r>
              <w:t xml:space="preserve">0.5317179</w:t>
            </w:r>
          </w:p>
        </w:tc>
        <w:tc>
          <w:tcPr/>
          <w:p>
            <w:pPr>
              <w:pStyle w:val="Compact"/>
              <w:jc w:val="right"/>
            </w:pPr>
            <w:r>
              <w:t xml:space="preserve">0.5858171</w:t>
            </w:r>
          </w:p>
        </w:tc>
      </w:tr>
      <w:tr>
        <w:tc>
          <w:tcPr/>
          <w:p>
            <w:pPr>
              <w:pStyle w:val="Compact"/>
              <w:jc w:val="left"/>
            </w:pPr>
            <w:r>
              <w:t xml:space="preserve">Same trend for null and observed</w:t>
            </w:r>
          </w:p>
        </w:tc>
        <w:tc>
          <w:tcPr/>
          <w:p>
            <w:pPr>
              <w:pStyle w:val="Compact"/>
              <w:jc w:val="right"/>
            </w:pPr>
            <w:r>
              <w:t xml:space="preserve">0.2012914</w:t>
            </w:r>
          </w:p>
        </w:tc>
        <w:tc>
          <w:tcPr/>
          <w:p>
            <w:pPr>
              <w:pStyle w:val="Compact"/>
              <w:jc w:val="right"/>
            </w:pPr>
            <w:r>
              <w:t xml:space="preserve">0.0089644</w:t>
            </w:r>
          </w:p>
        </w:tc>
        <w:tc>
          <w:tcPr/>
          <w:p>
            <w:pPr>
              <w:pStyle w:val="Compact"/>
              <w:jc w:val="right"/>
            </w:pPr>
            <w:r>
              <w:t xml:space="preserve">736</w:t>
            </w:r>
          </w:p>
        </w:tc>
        <w:tc>
          <w:tcPr/>
          <w:p>
            <w:pPr>
              <w:pStyle w:val="Compact"/>
              <w:jc w:val="right"/>
            </w:pPr>
            <w:r>
              <w:t xml:space="preserve">0.1836926</w:t>
            </w:r>
          </w:p>
        </w:tc>
        <w:tc>
          <w:tcPr/>
          <w:p>
            <w:pPr>
              <w:pStyle w:val="Compact"/>
              <w:jc w:val="right"/>
            </w:pPr>
            <w:r>
              <w:t xml:space="preserve">0.2188902</w:t>
            </w:r>
          </w:p>
        </w:tc>
      </w:tr>
      <w:tr>
        <w:tc>
          <w:tcPr/>
          <w:p>
            <w:pPr>
              <w:pStyle w:val="Compact"/>
              <w:jc w:val="left"/>
            </w:pPr>
            <w:r>
              <w:t xml:space="preserve">Intercept-only</w:t>
            </w:r>
          </w:p>
        </w:tc>
        <w:tc>
          <w:tcPr/>
          <w:p>
            <w:pPr>
              <w:pStyle w:val="Compact"/>
              <w:jc w:val="right"/>
            </w:pPr>
            <w:r>
              <w:t xml:space="preserve">0.2203741</w:t>
            </w:r>
          </w:p>
        </w:tc>
        <w:tc>
          <w:tcPr/>
          <w:p>
            <w:pPr>
              <w:pStyle w:val="Compact"/>
              <w:jc w:val="right"/>
            </w:pPr>
            <w:r>
              <w:t xml:space="preserve">0.0109019</w:t>
            </w:r>
          </w:p>
        </w:tc>
        <w:tc>
          <w:tcPr/>
          <w:p>
            <w:pPr>
              <w:pStyle w:val="Compact"/>
              <w:jc w:val="right"/>
            </w:pPr>
            <w:r>
              <w:t xml:space="preserve">736</w:t>
            </w:r>
          </w:p>
        </w:tc>
        <w:tc>
          <w:tcPr/>
          <w:p>
            <w:pPr>
              <w:pStyle w:val="Compact"/>
              <w:jc w:val="right"/>
            </w:pPr>
            <w:r>
              <w:t xml:space="preserve">0.1989715</w:t>
            </w:r>
          </w:p>
        </w:tc>
        <w:tc>
          <w:tcPr/>
          <w:p>
            <w:pPr>
              <w:pStyle w:val="Compact"/>
              <w:jc w:val="right"/>
            </w:pPr>
            <w:r>
              <w:t xml:space="preserve">0.2417766</w:t>
            </w:r>
          </w:p>
        </w:tc>
      </w:tr>
    </w:tbl>
    <w:p>
      <w:pPr>
        <w:pStyle w:val="BodyText"/>
      </w:pPr>
      <w:r>
        <w:rPr>
          <w:bCs/>
          <w:b/>
        </w:rPr>
        <w:t xml:space="preserve">Appendix S1 Table S4.</w:t>
      </w:r>
      <w:r>
        <w:t xml:space="preserve"> </w:t>
      </w:r>
      <w:r>
        <w:t xml:space="preserve">Estimates (calculated using emmeans</w:t>
      </w:r>
      <w:r>
        <w:t xml:space="preserve"> </w:t>
      </w:r>
      <w:r>
        <w:t xml:space="preserve">(Lenth 2021)</w:t>
      </w:r>
      <w:r>
        <w:t xml:space="preserve">) for the mean absolute log ratio of mean mass for routes whose dynamics for biomass were best-described by different model types.</w:t>
      </w:r>
    </w:p>
    <w:p>
      <w:r>
        <w:br w:type="page"/>
      </w:r>
    </w:p>
    <w:bookmarkEnd w:id="31"/>
    <w:bookmarkStart w:id="32" w:name="appendix-s1-table-s5"/>
    <w:p>
      <w:pPr>
        <w:pStyle w:val="Heading1"/>
      </w:pPr>
      <w:r>
        <w:t xml:space="preserve">Appendix S1 Table S5</w:t>
      </w:r>
    </w:p>
    <w:tbl>
      <w:tblPr>
        <w:tblStyle w:val="Table"/>
        <w:tblW w:type="pct" w:w="5000"/>
        <w:tblLook w:firstRow="1" w:lastRow="0" w:firstColumn="0" w:lastColumn="0" w:noHBand="0" w:noVBand="0" w:val="0020"/>
        <w:jc w:val="start"/>
      </w:tblPr>
      <w:tblGrid>
        <w:gridCol w:w="4925"/>
        <w:gridCol w:w="732"/>
        <w:gridCol w:w="665"/>
        <w:gridCol w:w="266"/>
        <w:gridCol w:w="665"/>
        <w:gridCol w:w="665"/>
      </w:tblGrid>
      <w:tr>
        <w:trPr>
          <w:tblHeader w:val="true"/>
        </w:trPr>
        <w:tc>
          <w:tcPr/>
          <w:p>
            <w:pPr>
              <w:pStyle w:val="Compact"/>
              <w:jc w:val="left"/>
            </w:pPr>
            <w:r>
              <w:t xml:space="preserve">contrast</w:t>
            </w:r>
          </w:p>
        </w:tc>
        <w:tc>
          <w:tcPr/>
          <w:p>
            <w:pPr>
              <w:pStyle w:val="Compact"/>
              <w:jc w:val="right"/>
            </w:pPr>
            <w:r>
              <w:t xml:space="preserve">estimate</w:t>
            </w:r>
          </w:p>
        </w:tc>
        <w:tc>
          <w:tcPr/>
          <w:p>
            <w:pPr>
              <w:pStyle w:val="Compact"/>
              <w:jc w:val="right"/>
            </w:pPr>
            <w:r>
              <w:t xml:space="preserve">SE</w:t>
            </w:r>
          </w:p>
        </w:tc>
        <w:tc>
          <w:tcPr/>
          <w:p>
            <w:pPr>
              <w:pStyle w:val="Compact"/>
              <w:jc w:val="right"/>
            </w:pPr>
            <w:r>
              <w:t xml:space="preserve">df</w:t>
            </w:r>
          </w:p>
        </w:tc>
        <w:tc>
          <w:tcPr/>
          <w:p>
            <w:pPr>
              <w:pStyle w:val="Compact"/>
              <w:jc w:val="right"/>
            </w:pPr>
            <w:r>
              <w:t xml:space="preserve">t.ratio</w:t>
            </w:r>
          </w:p>
        </w:tc>
        <w:tc>
          <w:tcPr/>
          <w:p>
            <w:pPr>
              <w:pStyle w:val="Compact"/>
              <w:jc w:val="right"/>
            </w:pPr>
            <w:r>
              <w:t xml:space="preserve">p.value</w:t>
            </w:r>
          </w:p>
        </w:tc>
      </w:tr>
      <w:tr>
        <w:tc>
          <w:tcPr/>
          <w:p>
            <w:pPr>
              <w:pStyle w:val="Compact"/>
              <w:jc w:val="left"/>
            </w:pPr>
            <w:r>
              <w:t xml:space="preserve">Different trends for null and observed - Same trend for null and observed</w:t>
            </w:r>
          </w:p>
        </w:tc>
        <w:tc>
          <w:tcPr/>
          <w:p>
            <w:pPr>
              <w:pStyle w:val="Compact"/>
              <w:jc w:val="right"/>
            </w:pPr>
            <w:r>
              <w:t xml:space="preserve">0.3574762</w:t>
            </w:r>
          </w:p>
        </w:tc>
        <w:tc>
          <w:tcPr/>
          <w:p>
            <w:pPr>
              <w:pStyle w:val="Compact"/>
              <w:jc w:val="right"/>
            </w:pPr>
            <w:r>
              <w:t xml:space="preserve">0.0164379</w:t>
            </w:r>
          </w:p>
        </w:tc>
        <w:tc>
          <w:tcPr/>
          <w:p>
            <w:pPr>
              <w:pStyle w:val="Compact"/>
              <w:jc w:val="right"/>
            </w:pPr>
            <w:r>
              <w:t xml:space="preserve">736</w:t>
            </w:r>
          </w:p>
        </w:tc>
        <w:tc>
          <w:tcPr/>
          <w:p>
            <w:pPr>
              <w:pStyle w:val="Compact"/>
              <w:jc w:val="right"/>
            </w:pPr>
            <w:r>
              <w:t xml:space="preserve">21.747096</w:t>
            </w:r>
          </w:p>
        </w:tc>
        <w:tc>
          <w:tcPr/>
          <w:p>
            <w:pPr>
              <w:pStyle w:val="Compact"/>
              <w:jc w:val="right"/>
            </w:pPr>
            <w:r>
              <w:t xml:space="preserve">0.0000000</w:t>
            </w:r>
          </w:p>
        </w:tc>
      </w:tr>
      <w:tr>
        <w:tc>
          <w:tcPr/>
          <w:p>
            <w:pPr>
              <w:pStyle w:val="Compact"/>
              <w:jc w:val="left"/>
            </w:pPr>
            <w:r>
              <w:t xml:space="preserve">Different trends for null and observed - (Intercept-only)</w:t>
            </w:r>
          </w:p>
        </w:tc>
        <w:tc>
          <w:tcPr/>
          <w:p>
            <w:pPr>
              <w:pStyle w:val="Compact"/>
              <w:jc w:val="right"/>
            </w:pPr>
            <w:r>
              <w:t xml:space="preserve">0.3383935</w:t>
            </w:r>
          </w:p>
        </w:tc>
        <w:tc>
          <w:tcPr/>
          <w:p>
            <w:pPr>
              <w:pStyle w:val="Compact"/>
              <w:jc w:val="right"/>
            </w:pPr>
            <w:r>
              <w:t xml:space="preserve">0.0175697</w:t>
            </w:r>
          </w:p>
        </w:tc>
        <w:tc>
          <w:tcPr/>
          <w:p>
            <w:pPr>
              <w:pStyle w:val="Compact"/>
              <w:jc w:val="right"/>
            </w:pPr>
            <w:r>
              <w:t xml:space="preserve">736</w:t>
            </w:r>
          </w:p>
        </w:tc>
        <w:tc>
          <w:tcPr/>
          <w:p>
            <w:pPr>
              <w:pStyle w:val="Compact"/>
              <w:jc w:val="right"/>
            </w:pPr>
            <w:r>
              <w:t xml:space="preserve">19.260017</w:t>
            </w:r>
          </w:p>
        </w:tc>
        <w:tc>
          <w:tcPr/>
          <w:p>
            <w:pPr>
              <w:pStyle w:val="Compact"/>
              <w:jc w:val="right"/>
            </w:pPr>
            <w:r>
              <w:t xml:space="preserve">0.0000000</w:t>
            </w:r>
          </w:p>
        </w:tc>
      </w:tr>
      <w:tr>
        <w:tc>
          <w:tcPr/>
          <w:p>
            <w:pPr>
              <w:pStyle w:val="Compact"/>
              <w:jc w:val="left"/>
            </w:pPr>
            <w:r>
              <w:t xml:space="preserve">Same trend for null and observed - (Intercept-only)</w:t>
            </w:r>
          </w:p>
        </w:tc>
        <w:tc>
          <w:tcPr/>
          <w:p>
            <w:pPr>
              <w:pStyle w:val="Compact"/>
              <w:jc w:val="right"/>
            </w:pPr>
            <w:r>
              <w:t xml:space="preserve">-0.0190827</w:t>
            </w:r>
          </w:p>
        </w:tc>
        <w:tc>
          <w:tcPr/>
          <w:p>
            <w:pPr>
              <w:pStyle w:val="Compact"/>
              <w:jc w:val="right"/>
            </w:pPr>
            <w:r>
              <w:t xml:space="preserve">0.0141142</w:t>
            </w:r>
          </w:p>
        </w:tc>
        <w:tc>
          <w:tcPr/>
          <w:p>
            <w:pPr>
              <w:pStyle w:val="Compact"/>
              <w:jc w:val="right"/>
            </w:pPr>
            <w:r>
              <w:t xml:space="preserve">736</w:t>
            </w:r>
          </w:p>
        </w:tc>
        <w:tc>
          <w:tcPr/>
          <w:p>
            <w:pPr>
              <w:pStyle w:val="Compact"/>
              <w:jc w:val="right"/>
            </w:pPr>
            <w:r>
              <w:t xml:space="preserve">-1.352018</w:t>
            </w:r>
          </w:p>
        </w:tc>
        <w:tc>
          <w:tcPr/>
          <w:p>
            <w:pPr>
              <w:pStyle w:val="Compact"/>
              <w:jc w:val="right"/>
            </w:pPr>
            <w:r>
              <w:t xml:space="preserve">0.3669124</w:t>
            </w:r>
          </w:p>
        </w:tc>
      </w:tr>
    </w:tbl>
    <w:p>
      <w:pPr>
        <w:pStyle w:val="BodyText"/>
      </w:pPr>
      <w:r>
        <w:rPr>
          <w:bCs/>
          <w:b/>
        </w:rPr>
        <w:t xml:space="preserve">Appendix S1 Table S5</w:t>
      </w:r>
      <w:r>
        <w:t xml:space="preserve">. Contrasts for absolute log ratio of mean mass, calculated using emmeans</w:t>
      </w:r>
      <w:r>
        <w:t xml:space="preserve"> </w:t>
      </w:r>
      <w:r>
        <w:t xml:space="preserve">(Lenth 2021)</w:t>
      </w:r>
      <w:r>
        <w:t xml:space="preserve">.</w:t>
      </w:r>
    </w:p>
    <w:p>
      <w:r>
        <w:br w:type="page"/>
      </w:r>
    </w:p>
    <w:bookmarkEnd w:id="32"/>
    <w:bookmarkStart w:id="33" w:name="appendix-s1-table-s6"/>
    <w:p>
      <w:pPr>
        <w:pStyle w:val="Heading1"/>
      </w:pPr>
      <w:r>
        <w:t xml:space="preserve">Appendix S1 Table S6</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Resid. Df</w:t>
            </w:r>
          </w:p>
        </w:tc>
        <w:tc>
          <w:tcPr/>
          <w:p>
            <w:pPr>
              <w:pStyle w:val="Compact"/>
              <w:jc w:val="right"/>
            </w:pPr>
            <w:r>
              <w:t xml:space="preserve">Resid. Dev</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Pr(&gt;Chi)</w:t>
            </w:r>
          </w:p>
        </w:tc>
      </w:tr>
      <w:tr>
        <w:tc>
          <w:tcPr/>
          <w:p>
            <w:pPr>
              <w:pStyle w:val="Compact"/>
              <w:jc w:val="right"/>
            </w:pPr>
            <w:r>
              <w:t xml:space="preserve">736</w:t>
            </w:r>
          </w:p>
        </w:tc>
        <w:tc>
          <w:tcPr/>
          <w:p>
            <w:pPr>
              <w:pStyle w:val="Compact"/>
              <w:jc w:val="right"/>
            </w:pPr>
            <w:r>
              <w:t xml:space="preserve">14.09240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738</w:t>
            </w:r>
          </w:p>
        </w:tc>
        <w:tc>
          <w:tcPr/>
          <w:p>
            <w:pPr>
              <w:pStyle w:val="Compact"/>
              <w:jc w:val="right"/>
            </w:pPr>
            <w:r>
              <w:t xml:space="preserve">14.28236</w:t>
            </w:r>
          </w:p>
        </w:tc>
        <w:tc>
          <w:tcPr/>
          <w:p>
            <w:pPr>
              <w:pStyle w:val="Compact"/>
              <w:jc w:val="right"/>
            </w:pPr>
            <w:r>
              <w:t xml:space="preserve">-2</w:t>
            </w:r>
          </w:p>
        </w:tc>
        <w:tc>
          <w:tcPr/>
          <w:p>
            <w:pPr>
              <w:pStyle w:val="Compact"/>
              <w:jc w:val="right"/>
            </w:pPr>
            <w:r>
              <w:t xml:space="preserve">-0.1899672</w:t>
            </w:r>
          </w:p>
        </w:tc>
        <w:tc>
          <w:tcPr/>
          <w:p>
            <w:pPr>
              <w:pStyle w:val="Compact"/>
              <w:jc w:val="right"/>
            </w:pPr>
            <w:r>
              <w:t xml:space="preserve">0.9093878</w:t>
            </w:r>
          </w:p>
        </w:tc>
      </w:tr>
    </w:tbl>
    <w:p>
      <w:pPr>
        <w:pStyle w:val="BodyText"/>
      </w:pPr>
      <w:r>
        <w:rPr>
          <w:iCs/>
          <w:i/>
        </w:rPr>
        <w:t xml:space="preserve">Appendix S1 Table S6</w:t>
      </w:r>
      <w:r>
        <w:t xml:space="preserve">. ANOVA table comparing binomial generalized linear models of the form ISD_turnover ~ best model type and ISD_turnover ~ 1.</w:t>
      </w:r>
    </w:p>
    <w:p>
      <w:r>
        <w:br w:type="page"/>
      </w:r>
    </w:p>
    <w:bookmarkEnd w:id="33"/>
    <w:bookmarkStart w:id="36" w:name="references"/>
    <w:p>
      <w:pPr>
        <w:pStyle w:val="Heading1"/>
      </w:pPr>
      <w:r>
        <w:t xml:space="preserve">References</w:t>
      </w:r>
    </w:p>
    <w:bookmarkStart w:id="35" w:name="refs"/>
    <w:bookmarkStart w:id="34" w:name="ref-lenth2021"/>
    <w:p>
      <w:pPr>
        <w:pStyle w:val="Bibliography"/>
      </w:pPr>
      <w:r>
        <w:t xml:space="preserve">Lenth, R. V. 2021. Emmeans:</w:t>
      </w:r>
      <w:r>
        <w:t xml:space="preserve"> </w:t>
      </w:r>
      <w:r>
        <w:t xml:space="preserve">Estimated Marginal Means</w:t>
      </w:r>
      <w:r>
        <w:t xml:space="preserve">, aka</w:t>
      </w:r>
      <w:r>
        <w:t xml:space="preserve"> </w:t>
      </w:r>
      <w:r>
        <w:t xml:space="preserve">Least-Squares Means</w:t>
      </w:r>
      <w:r>
        <w:t xml:space="preserve">.</w:t>
      </w:r>
    </w:p>
    <w:bookmarkEnd w:id="34"/>
    <w:bookmarkEnd w:id="35"/>
    <w:bookmarkEnd w:id="36"/>
    <w:sectPr w:rsidR="00BC0F0B" w:rsidRPr="00F277A7">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sz w:val="22"/>
        <w:szCs w:val="22"/>
        <w:lang w:bidi="ar-SA" w:eastAsia="en-US" w:val="en"/>
      </w:rPr>
    </w:rPrDefault>
    <w:pPrDefault>
      <w:pPr>
        <w:spacing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277A7"/>
    <w:pPr>
      <w:spacing w:after="120" w:before="120" w:line="480" w:lineRule="auto"/>
    </w:pPr>
    <w:rPr>
      <w:rFonts w:ascii="Times New Roman" w:cs="Times New Roman" w:hAnsi="Times New Roman"/>
      <w:sz w:val="24"/>
      <w:szCs w:val="24"/>
    </w:rPr>
  </w:style>
  <w:style w:styleId="Heading1" w:type="paragraph">
    <w:name w:val="heading 1"/>
    <w:basedOn w:val="Normal"/>
    <w:next w:val="Normal"/>
    <w:uiPriority w:val="9"/>
    <w:qFormat/>
    <w:rsid w:val="00C9745C"/>
    <w:pPr>
      <w:keepNext/>
      <w:keepLines/>
      <w:spacing w:after="240" w:line="240" w:lineRule="auto"/>
      <w:outlineLvl w:val="0"/>
    </w:pPr>
    <w:rPr>
      <w:b/>
    </w:rPr>
  </w:style>
  <w:style w:styleId="Heading2" w:type="paragraph">
    <w:name w:val="heading 2"/>
    <w:basedOn w:val="Normal"/>
    <w:next w:val="Normal"/>
    <w:uiPriority w:val="9"/>
    <w:semiHidden/>
    <w:unhideWhenUsed/>
    <w:qFormat/>
    <w:pPr>
      <w:keepNext/>
      <w:keepLines/>
      <w:outlineLvl w:val="1"/>
    </w:pPr>
    <w:rPr>
      <w:b/>
    </w:rPr>
  </w:style>
  <w:style w:styleId="Heading3" w:type="paragraph">
    <w:name w:val="heading 3"/>
    <w:basedOn w:val="Normal"/>
    <w:next w:val="Normal"/>
    <w:uiPriority w:val="9"/>
    <w:semiHidden/>
    <w:unhideWhenUsed/>
    <w:qFormat/>
    <w:pPr>
      <w:keepNext/>
      <w:keepLines/>
      <w:outlineLvl w:val="2"/>
    </w:pPr>
    <w:rPr>
      <w:i/>
    </w:rPr>
  </w:style>
  <w:style w:styleId="Heading4" w:type="paragraph">
    <w:name w:val="heading 4"/>
    <w:basedOn w:val="Normal"/>
    <w:next w:val="Normal"/>
    <w:uiPriority w:val="9"/>
    <w:semiHidden/>
    <w:unhideWhenUsed/>
    <w:qFormat/>
    <w:pPr>
      <w:keepNext/>
      <w:keepLines/>
      <w:spacing w:after="80" w:before="280"/>
      <w:outlineLvl w:val="3"/>
    </w:pPr>
    <w:rPr>
      <w:color w:val="666666"/>
    </w:rPr>
  </w:style>
  <w:style w:styleId="Heading5" w:type="paragraph">
    <w:name w:val="heading 5"/>
    <w:basedOn w:val="Normal"/>
    <w:next w:val="Normal"/>
    <w:uiPriority w:val="9"/>
    <w:semiHidden/>
    <w:unhideWhenUsed/>
    <w:qFormat/>
    <w:pPr>
      <w:keepNext/>
      <w:keepLines/>
      <w:spacing w:after="80" w:before="240"/>
      <w:outlineLvl w:val="4"/>
    </w:pPr>
    <w:rPr>
      <w:color w:val="666666"/>
    </w:rPr>
  </w:style>
  <w:style w:styleId="Heading6" w:type="paragraph">
    <w:name w:val="heading 6"/>
    <w:basedOn w:val="Normal"/>
    <w:next w:val="Normal"/>
    <w:uiPriority w:val="9"/>
    <w:semiHidden/>
    <w:unhideWhenUsed/>
    <w:qFormat/>
    <w:pPr>
      <w:keepNext/>
      <w:keepLines/>
      <w:spacing w:after="80" w:before="240"/>
      <w:outlineLvl w:val="5"/>
    </w:pPr>
    <w:rPr>
      <w:i/>
      <w:color w:val="66666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0"/>
    </w:pPr>
    <w:rPr>
      <w:sz w:val="52"/>
      <w:szCs w:val="52"/>
    </w:rPr>
  </w:style>
  <w:style w:styleId="Subtitle" w:type="paragraph">
    <w:name w:val="Subtitle"/>
    <w:basedOn w:val="Normal"/>
    <w:next w:val="Normal"/>
    <w:uiPriority w:val="11"/>
    <w:qFormat/>
    <w:pPr>
      <w:keepNext/>
      <w:keepLines/>
      <w:spacing w:after="320" w:before="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starting 1988</dc:title>
  <dc:creator/>
  <cp:keywords/>
  <dcterms:created xsi:type="dcterms:W3CDTF">2023-07-28T17:10:36Z</dcterms:created>
  <dcterms:modified xsi:type="dcterms:W3CDTF">2023-07-28T17:10:36Z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ref_template.csl</vt:lpwstr>
  </property>
  <property fmtid="{D5CDD505-2E9C-101B-9397-08002B2CF9AE}" pid="4" name="output">
    <vt:lpwstr/>
  </property>
</Properties>
</file>