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starting</w:t>
      </w:r>
      <w:r>
        <w:t xml:space="preserve"> </w:t>
      </w:r>
      <w:r>
        <w:t xml:space="preserve">1989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ppendix-s1-figure-s1."/>
    <w:p>
      <w:pPr>
        <w:pStyle w:val="Heading1"/>
      </w:pPr>
      <w:r>
        <w:t xml:space="preserve">Appendix S1 Figure S1.</w:t>
      </w:r>
    </w:p>
    <w:p>
      <w:pPr>
        <w:pStyle w:val="FirstParagraph"/>
      </w:pPr>
      <w:r>
        <w:drawing>
          <wp:inline>
            <wp:extent cx="5943600" cy="4953000"/>
            <wp:effectExtent b="0" l="0" r="0" t="0"/>
            <wp:docPr descr="" title="" id="21" name="Picture"/>
            <a:graphic>
              <a:graphicData uri="http://schemas.openxmlformats.org/drawingml/2006/picture">
                <pic:pic>
                  <pic:nvPicPr>
                    <pic:cNvPr descr="739_routes_1989_start_files/figure-docx/render%20biomass%20and%20energy%20histograms-1.png" id="22" name="Picture"/>
                    <pic:cNvPicPr>
                      <a:picLocks noChangeArrowheads="1" noChangeAspect="1"/>
                    </pic:cNvPicPr>
                  </pic:nvPicPr>
                  <pic:blipFill>
                    <a:blip r:embed="rId20"/>
                    <a:stretch>
                      <a:fillRect/>
                    </a:stretch>
                  </pic:blipFill>
                  <pic:spPr bwMode="auto">
                    <a:xfrm>
                      <a:off x="0" y="0"/>
                      <a:ext cx="5943600" cy="4953000"/>
                    </a:xfrm>
                    <a:prstGeom prst="rect">
                      <a:avLst/>
                    </a:prstGeom>
                    <a:noFill/>
                    <a:ln w="9525">
                      <a:noFill/>
                      <a:headEnd/>
                      <a:tailEnd/>
                    </a:ln>
                  </pic:spPr>
                </pic:pic>
              </a:graphicData>
            </a:graphic>
          </wp:inline>
        </w:drawing>
      </w:r>
    </w:p>
    <w:p>
      <w:pPr>
        <w:pStyle w:val="BodyText"/>
      </w:pPr>
      <w:r>
        <w:rPr>
          <w:bCs/>
          <w:b/>
        </w:rPr>
        <w:t xml:space="preserve">Appendix S1 Figure S1</w:t>
      </w:r>
      <w:r>
        <w:t xml:space="preserve">. Histograms showing the direction and magnitude of long-term trends for the null-model (left) and observed (right) changes in biomass (A) and energy use (B), for communities whose best-fitting model includes a significant slope and/or interaction term.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w:t>
      </w:r>
    </w:p>
    <w:p>
      <w:r>
        <w:br w:type="page"/>
      </w:r>
    </w:p>
    <w:bookmarkEnd w:id="23"/>
    <w:bookmarkStart w:id="27" w:name="appendix-s1-figure-s2."/>
    <w:p>
      <w:pPr>
        <w:pStyle w:val="Heading1"/>
      </w:pPr>
      <w:r>
        <w:t xml:space="preserve">Appendix S1 Figure S2.</w:t>
      </w:r>
    </w:p>
    <w:p>
      <w:pPr>
        <w:pStyle w:val="FirstParagraph"/>
      </w:pPr>
      <w:r>
        <w:drawing>
          <wp:inline>
            <wp:extent cx="5943600" cy="3714750"/>
            <wp:effectExtent b="0" l="0" r="0" t="0"/>
            <wp:docPr descr="" title="" id="25" name="Picture"/>
            <a:graphic>
              <a:graphicData uri="http://schemas.openxmlformats.org/drawingml/2006/picture">
                <pic:pic>
                  <pic:nvPicPr>
                    <pic:cNvPr descr="739_routes_1989_start_files/figure-docx/render%20isd%20change%20plots-1.png" id="26" name="Picture"/>
                    <pic:cNvPicPr>
                      <a:picLocks noChangeArrowheads="1" noChangeAspect="1"/>
                    </pic:cNvPicPr>
                  </pic:nvPicPr>
                  <pic:blipFill>
                    <a:blip r:embed="rId2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rPr>
          <w:bCs/>
          <w:b/>
        </w:rPr>
        <w:t xml:space="preserve">Appendix S1 Figure S2.</w:t>
      </w:r>
      <w:r>
        <w:t xml:space="preserve"> </w:t>
      </w:r>
      <w:r>
        <w:t xml:space="preserve">Histograms of (A) change in mean body size from the first to the last five years of monitoring, and (B) overall change in the size structure for routes whose dynamics for total biomass were best-described using no temporal trend (bottom row; intercept-only model), separate trends for observed and null dynamics (middle row), or the same trend for observed and null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w:t>
      </w:r>
    </w:p>
    <w:p>
      <w:r>
        <w:br w:type="page"/>
      </w:r>
    </w:p>
    <w:bookmarkEnd w:id="27"/>
    <w:bookmarkStart w:id="28" w:name="appendix-s1-table-s1."/>
    <w:p>
      <w:pPr>
        <w:pStyle w:val="Heading1"/>
      </w:pPr>
      <w:r>
        <w:t xml:space="preserve">Appendix S1 Table S1.</w:t>
      </w:r>
    </w:p>
    <w:tbl>
      <w:tblPr>
        <w:tblStyle w:val="Table"/>
        <w:tblW w:type="pct" w:w="5000"/>
        <w:tblLook w:firstRow="1" w:lastRow="0" w:firstColumn="0" w:lastColumn="0" w:noHBand="0" w:noVBand="0" w:val="0020"/>
        <w:jc w:val="start"/>
      </w:tblPr>
      <w:tblGrid>
        <w:gridCol w:w="1771"/>
        <w:gridCol w:w="2188"/>
        <w:gridCol w:w="1771"/>
        <w:gridCol w:w="2188"/>
      </w:tblGrid>
      <w:tr>
        <w:trPr>
          <w:tblHeader w:val="true"/>
        </w:trPr>
        <w:tc>
          <w:tcPr/>
          <w:p>
            <w:pPr>
              <w:pStyle w:val="Compact"/>
              <w:jc w:val="left"/>
            </w:pPr>
            <w:r>
              <w:t xml:space="preserve">Currency</w:t>
            </w:r>
          </w:p>
        </w:tc>
        <w:tc>
          <w:tcPr/>
          <w:p>
            <w:pPr>
              <w:pStyle w:val="Compact"/>
              <w:jc w:val="left"/>
            </w:pPr>
            <w:r>
              <w:t xml:space="preserve">Selected model</w:t>
            </w:r>
          </w:p>
        </w:tc>
        <w:tc>
          <w:tcPr/>
          <w:p>
            <w:pPr>
              <w:pStyle w:val="Compact"/>
              <w:jc w:val="right"/>
            </w:pPr>
            <w:r>
              <w:t xml:space="preserve">Number of routes</w:t>
            </w:r>
          </w:p>
        </w:tc>
        <w:tc>
          <w:tcPr/>
          <w:p>
            <w:pPr>
              <w:pStyle w:val="Compact"/>
              <w:jc w:val="right"/>
            </w:pPr>
            <w:r>
              <w:t xml:space="preserve">Proportion of routes</w:t>
            </w:r>
          </w:p>
        </w:tc>
      </w:tr>
      <w:tr>
        <w:tc>
          <w:tcPr/>
          <w:p>
            <w:pPr>
              <w:pStyle w:val="Compact"/>
              <w:jc w:val="left"/>
            </w:pPr>
            <w:r>
              <w:t xml:space="preserve">Total biomass</w:t>
            </w:r>
          </w:p>
        </w:tc>
        <w:tc>
          <w:tcPr/>
          <w:p>
            <w:pPr>
              <w:pStyle w:val="Compact"/>
              <w:jc w:val="left"/>
            </w:pPr>
            <w:r>
              <w:t xml:space="preserve">Intercept-only</w:t>
            </w:r>
          </w:p>
        </w:tc>
        <w:tc>
          <w:tcPr/>
          <w:p>
            <w:pPr>
              <w:pStyle w:val="Compact"/>
              <w:jc w:val="right"/>
            </w:pPr>
            <w:r>
              <w:t xml:space="preserve">249</w:t>
            </w:r>
          </w:p>
        </w:tc>
        <w:tc>
          <w:tcPr/>
          <w:p>
            <w:pPr>
              <w:pStyle w:val="Compact"/>
              <w:jc w:val="right"/>
            </w:pPr>
            <w:r>
              <w:t xml:space="preserve">0.34</w:t>
            </w:r>
          </w:p>
        </w:tc>
      </w:tr>
      <w:tr>
        <w:tc>
          <w:tcPr/>
          <w:p>
            <w:pPr>
              <w:pStyle w:val="Compact"/>
              <w:jc w:val="left"/>
            </w:pPr>
            <w:r>
              <w:t xml:space="preserve">Total biomass</w:t>
            </w:r>
          </w:p>
        </w:tc>
        <w:tc>
          <w:tcPr/>
          <w:p>
            <w:pPr>
              <w:pStyle w:val="Compact"/>
              <w:jc w:val="left"/>
            </w:pPr>
            <w:r>
              <w:t xml:space="preserve">Trend, not decoupled</w:t>
            </w:r>
          </w:p>
        </w:tc>
        <w:tc>
          <w:tcPr/>
          <w:p>
            <w:pPr>
              <w:pStyle w:val="Compact"/>
              <w:jc w:val="right"/>
            </w:pPr>
            <w:r>
              <w:t xml:space="preserve">358</w:t>
            </w:r>
          </w:p>
        </w:tc>
        <w:tc>
          <w:tcPr/>
          <w:p>
            <w:pPr>
              <w:pStyle w:val="Compact"/>
              <w:jc w:val="right"/>
            </w:pPr>
            <w:r>
              <w:t xml:space="preserve">0.48</w:t>
            </w:r>
          </w:p>
        </w:tc>
      </w:tr>
      <w:tr>
        <w:tc>
          <w:tcPr/>
          <w:p>
            <w:pPr>
              <w:pStyle w:val="Compact"/>
              <w:jc w:val="left"/>
            </w:pPr>
            <w:r>
              <w:t xml:space="preserve">Total biomass</w:t>
            </w:r>
          </w:p>
        </w:tc>
        <w:tc>
          <w:tcPr/>
          <w:p>
            <w:pPr>
              <w:pStyle w:val="Compact"/>
              <w:jc w:val="left"/>
            </w:pPr>
            <w:r>
              <w:t xml:space="preserve">Decoupled trend</w:t>
            </w:r>
          </w:p>
        </w:tc>
        <w:tc>
          <w:tcPr/>
          <w:p>
            <w:pPr>
              <w:pStyle w:val="Compact"/>
              <w:jc w:val="right"/>
            </w:pPr>
            <w:r>
              <w:t xml:space="preserve">132</w:t>
            </w:r>
          </w:p>
        </w:tc>
        <w:tc>
          <w:tcPr/>
          <w:p>
            <w:pPr>
              <w:pStyle w:val="Compact"/>
              <w:jc w:val="right"/>
            </w:pPr>
            <w:r>
              <w:t xml:space="preserve">0.18</w:t>
            </w:r>
          </w:p>
        </w:tc>
      </w:tr>
      <w:tr>
        <w:tc>
          <w:tcPr/>
          <w:p>
            <w:pPr>
              <w:pStyle w:val="Compact"/>
              <w:jc w:val="left"/>
            </w:pPr>
            <w:r>
              <w:t xml:space="preserve">Total energy use</w:t>
            </w:r>
          </w:p>
        </w:tc>
        <w:tc>
          <w:tcPr/>
          <w:p>
            <w:pPr>
              <w:pStyle w:val="Compact"/>
              <w:jc w:val="left"/>
            </w:pPr>
            <w:r>
              <w:t xml:space="preserve">Intercept-only</w:t>
            </w:r>
          </w:p>
        </w:tc>
        <w:tc>
          <w:tcPr/>
          <w:p>
            <w:pPr>
              <w:pStyle w:val="Compact"/>
              <w:jc w:val="right"/>
            </w:pPr>
            <w:r>
              <w:t xml:space="preserve">223</w:t>
            </w:r>
          </w:p>
        </w:tc>
        <w:tc>
          <w:tcPr/>
          <w:p>
            <w:pPr>
              <w:pStyle w:val="Compact"/>
              <w:jc w:val="right"/>
            </w:pPr>
            <w:r>
              <w:t xml:space="preserve">0.30</w:t>
            </w:r>
          </w:p>
        </w:tc>
      </w:tr>
      <w:tr>
        <w:tc>
          <w:tcPr/>
          <w:p>
            <w:pPr>
              <w:pStyle w:val="Compact"/>
              <w:jc w:val="left"/>
            </w:pPr>
            <w:r>
              <w:t xml:space="preserve">Total energy use</w:t>
            </w:r>
          </w:p>
        </w:tc>
        <w:tc>
          <w:tcPr/>
          <w:p>
            <w:pPr>
              <w:pStyle w:val="Compact"/>
              <w:jc w:val="left"/>
            </w:pPr>
            <w:r>
              <w:t xml:space="preserve">Trend, not decoupled</w:t>
            </w:r>
          </w:p>
        </w:tc>
        <w:tc>
          <w:tcPr/>
          <w:p>
            <w:pPr>
              <w:pStyle w:val="Compact"/>
              <w:jc w:val="right"/>
            </w:pPr>
            <w:r>
              <w:t xml:space="preserve">465</w:t>
            </w:r>
          </w:p>
        </w:tc>
        <w:tc>
          <w:tcPr/>
          <w:p>
            <w:pPr>
              <w:pStyle w:val="Compact"/>
              <w:jc w:val="right"/>
            </w:pPr>
            <w:r>
              <w:t xml:space="preserve">0.63</w:t>
            </w:r>
          </w:p>
        </w:tc>
      </w:tr>
      <w:tr>
        <w:tc>
          <w:tcPr/>
          <w:p>
            <w:pPr>
              <w:pStyle w:val="Compact"/>
              <w:jc w:val="left"/>
            </w:pPr>
            <w:r>
              <w:t xml:space="preserve">Total energy use</w:t>
            </w:r>
          </w:p>
        </w:tc>
        <w:tc>
          <w:tcPr/>
          <w:p>
            <w:pPr>
              <w:pStyle w:val="Compact"/>
              <w:jc w:val="left"/>
            </w:pPr>
            <w:r>
              <w:t xml:space="preserve">Decoupled trend</w:t>
            </w:r>
          </w:p>
        </w:tc>
        <w:tc>
          <w:tcPr/>
          <w:p>
            <w:pPr>
              <w:pStyle w:val="Compact"/>
              <w:jc w:val="right"/>
            </w:pPr>
            <w:r>
              <w:t xml:space="preserve">51</w:t>
            </w:r>
          </w:p>
        </w:tc>
        <w:tc>
          <w:tcPr/>
          <w:p>
            <w:pPr>
              <w:pStyle w:val="Compact"/>
              <w:jc w:val="right"/>
            </w:pPr>
            <w:r>
              <w:t xml:space="preserve">0.07</w:t>
            </w:r>
          </w:p>
        </w:tc>
      </w:tr>
    </w:tbl>
    <w:p>
      <w:pPr>
        <w:pStyle w:val="BodyText"/>
      </w:pPr>
      <w:r>
        <w:rPr>
          <w:bCs/>
          <w:b/>
        </w:rPr>
        <w:t xml:space="preserve">Appendix S1 Table S1</w:t>
      </w:r>
      <w:r>
        <w:t xml:space="preserve">. Table of the number and proportion of routes whose dynamics for total biomass and total energy use are best described by the following model types: no directional change (intercept-only model, biomass ~ 1 or energy use ~ 1); the same trend for null and observed dynamics (biomass ~ year or energy use ~ year); or different trends for observed and null dynamics (biomass ~ year * null or observed or energy use ~ year * null or observed).</w:t>
      </w:r>
    </w:p>
    <w:p>
      <w:r>
        <w:br w:type="page"/>
      </w:r>
    </w:p>
    <w:bookmarkEnd w:id="28"/>
    <w:bookmarkStart w:id="29" w:name="appendix-s1-table-s2."/>
    <w:p>
      <w:pPr>
        <w:pStyle w:val="Heading1"/>
      </w:pPr>
      <w:r>
        <w:t xml:space="preserve">Appendix S1 Table S2.</w:t>
      </w:r>
    </w:p>
    <w:tbl>
      <w:tblPr>
        <w:tblStyle w:val="Table"/>
        <w:tblW w:type="pct" w:w="5000"/>
        <w:tblLook w:firstRow="1" w:lastRow="0" w:firstColumn="0" w:lastColumn="0" w:noHBand="0" w:noVBand="0" w:val="0020"/>
        <w:jc w:val="start"/>
      </w:tblPr>
      <w:tblGrid>
        <w:gridCol w:w="915"/>
        <w:gridCol w:w="2747"/>
        <w:gridCol w:w="2208"/>
        <w:gridCol w:w="2047"/>
      </w:tblGrid>
      <w:tr>
        <w:trPr>
          <w:tblHeader w:val="true"/>
        </w:trPr>
        <w:tc>
          <w:tcPr/>
          <w:p>
            <w:pPr>
              <w:pStyle w:val="Compact"/>
              <w:jc w:val="left"/>
            </w:pPr>
            <w:r>
              <w:t xml:space="preserve">Currency</w:t>
            </w:r>
          </w:p>
        </w:tc>
        <w:tc>
          <w:tcPr/>
          <w:p>
            <w:pPr>
              <w:pStyle w:val="Compact"/>
              <w:jc w:val="right"/>
            </w:pPr>
            <w:r>
              <w:t xml:space="preserve">Proportion of increasing individuals-driven trends</w:t>
            </w:r>
          </w:p>
        </w:tc>
        <w:tc>
          <w:tcPr/>
          <w:p>
            <w:pPr>
              <w:pStyle w:val="Compact"/>
              <w:jc w:val="right"/>
            </w:pPr>
            <w:r>
              <w:t xml:space="preserve">Proportion of increasing observed trends</w:t>
            </w:r>
          </w:p>
        </w:tc>
        <w:tc>
          <w:tcPr/>
          <w:p>
            <w:pPr>
              <w:pStyle w:val="Compact"/>
              <w:jc w:val="right"/>
            </w:pPr>
            <w:r>
              <w:t xml:space="preserve">Number of routes with temporal trends</w:t>
            </w:r>
          </w:p>
        </w:tc>
      </w:tr>
      <w:tr>
        <w:tc>
          <w:tcPr/>
          <w:p>
            <w:pPr>
              <w:pStyle w:val="Compact"/>
              <w:jc w:val="left"/>
            </w:pPr>
            <w:r>
              <w:t xml:space="preserve">Total biomass</w:t>
            </w:r>
          </w:p>
        </w:tc>
        <w:tc>
          <w:tcPr/>
          <w:p>
            <w:pPr>
              <w:pStyle w:val="Compact"/>
              <w:jc w:val="right"/>
            </w:pPr>
            <w:r>
              <w:t xml:space="preserve">0.33</w:t>
            </w:r>
          </w:p>
        </w:tc>
        <w:tc>
          <w:tcPr/>
          <w:p>
            <w:pPr>
              <w:pStyle w:val="Compact"/>
              <w:jc w:val="right"/>
            </w:pPr>
            <w:r>
              <w:t xml:space="preserve">0.49</w:t>
            </w:r>
          </w:p>
        </w:tc>
        <w:tc>
          <w:tcPr/>
          <w:p>
            <w:pPr>
              <w:pStyle w:val="Compact"/>
              <w:jc w:val="right"/>
            </w:pPr>
            <w:r>
              <w:t xml:space="preserve">490</w:t>
            </w:r>
          </w:p>
        </w:tc>
      </w:tr>
      <w:tr>
        <w:tc>
          <w:tcPr/>
          <w:p>
            <w:pPr>
              <w:pStyle w:val="Compact"/>
              <w:jc w:val="left"/>
            </w:pPr>
            <w:r>
              <w:t xml:space="preserve">Total energy use</w:t>
            </w:r>
          </w:p>
        </w:tc>
        <w:tc>
          <w:tcPr/>
          <w:p>
            <w:pPr>
              <w:pStyle w:val="Compact"/>
              <w:jc w:val="right"/>
            </w:pPr>
            <w:r>
              <w:t xml:space="preserve">0.31</w:t>
            </w:r>
          </w:p>
        </w:tc>
        <w:tc>
          <w:tcPr/>
          <w:p>
            <w:pPr>
              <w:pStyle w:val="Compact"/>
              <w:jc w:val="right"/>
            </w:pPr>
            <w:r>
              <w:t xml:space="preserve">0.36</w:t>
            </w:r>
          </w:p>
        </w:tc>
        <w:tc>
          <w:tcPr/>
          <w:p>
            <w:pPr>
              <w:pStyle w:val="Compact"/>
              <w:jc w:val="right"/>
            </w:pPr>
            <w:r>
              <w:t xml:space="preserve">516</w:t>
            </w:r>
          </w:p>
        </w:tc>
      </w:tr>
    </w:tbl>
    <w:p>
      <w:pPr>
        <w:pStyle w:val="BodyText"/>
      </w:pPr>
      <w:r>
        <w:rPr>
          <w:iCs/>
          <w:i/>
        </w:rPr>
        <w:t xml:space="preserve">Appendix S1 Table S2</w:t>
      </w:r>
      <w:r>
        <w:t xml:space="preserve">. The proportion of trends that are increasing (specifically, for which the ratio of the last fitted value to the first fitted value &gt; 1) for individuals-driven and observed dynamics, for routes exhibiting temporal trends (either the same or different slopes for null and observed dynamics) in total biomass and total energy use. Trends that are not increasing are decreasing.</w:t>
      </w:r>
    </w:p>
    <w:bookmarkEnd w:id="29"/>
    <w:bookmarkStart w:id="30" w:name="appendix-s1-table-s3."/>
    <w:p>
      <w:pPr>
        <w:pStyle w:val="Heading1"/>
      </w:pPr>
      <w:r>
        <w:t xml:space="preserve">Appendix S1 Table S3.</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t xml:space="preserve">Res.Df</w:t>
            </w:r>
          </w:p>
        </w:tc>
        <w:tc>
          <w:tcPr/>
          <w:p>
            <w:pPr>
              <w:pStyle w:val="Compact"/>
              <w:jc w:val="right"/>
            </w:pPr>
            <w:r>
              <w:t xml:space="preserve">RSS</w:t>
            </w:r>
          </w:p>
        </w:tc>
        <w:tc>
          <w:tcPr/>
          <w:p>
            <w:pPr>
              <w:pStyle w:val="Compact"/>
              <w:jc w:val="right"/>
            </w:pPr>
            <w:r>
              <w:t xml:space="preserve">Df</w:t>
            </w:r>
          </w:p>
        </w:tc>
        <w:tc>
          <w:tcPr/>
          <w:p>
            <w:pPr>
              <w:pStyle w:val="Compact"/>
              <w:jc w:val="right"/>
            </w:pPr>
            <w:r>
              <w:t xml:space="preserve">Sum of Sq</w:t>
            </w:r>
          </w:p>
        </w:tc>
        <w:tc>
          <w:tcPr/>
          <w:p>
            <w:pPr>
              <w:pStyle w:val="Compact"/>
              <w:jc w:val="right"/>
            </w:pPr>
            <w:r>
              <w:t xml:space="preserve">F</w:t>
            </w:r>
          </w:p>
        </w:tc>
        <w:tc>
          <w:tcPr/>
          <w:p>
            <w:pPr>
              <w:pStyle w:val="Compact"/>
              <w:jc w:val="right"/>
            </w:pPr>
            <w:r>
              <w:t xml:space="preserve">Pr(&gt;F)</w:t>
            </w:r>
          </w:p>
        </w:tc>
      </w:tr>
      <w:tr>
        <w:tc>
          <w:tcPr/>
          <w:p>
            <w:pPr>
              <w:pStyle w:val="Compact"/>
              <w:jc w:val="right"/>
            </w:pPr>
            <w:r>
              <w:t xml:space="preserve">736</w:t>
            </w:r>
          </w:p>
        </w:tc>
        <w:tc>
          <w:tcPr/>
          <w:p>
            <w:pPr>
              <w:pStyle w:val="Compact"/>
              <w:jc w:val="right"/>
            </w:pPr>
            <w:r>
              <w:t xml:space="preserve">20.67983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738</w:t>
            </w:r>
          </w:p>
        </w:tc>
        <w:tc>
          <w:tcPr/>
          <w:p>
            <w:pPr>
              <w:pStyle w:val="Compact"/>
              <w:jc w:val="right"/>
            </w:pPr>
            <w:r>
              <w:t xml:space="preserve">34.88562</w:t>
            </w:r>
          </w:p>
        </w:tc>
        <w:tc>
          <w:tcPr/>
          <w:p>
            <w:pPr>
              <w:pStyle w:val="Compact"/>
              <w:jc w:val="right"/>
            </w:pPr>
            <w:r>
              <w:t xml:space="preserve">-2</w:t>
            </w:r>
          </w:p>
        </w:tc>
        <w:tc>
          <w:tcPr/>
          <w:p>
            <w:pPr>
              <w:pStyle w:val="Compact"/>
              <w:jc w:val="right"/>
            </w:pPr>
            <w:r>
              <w:t xml:space="preserve">-14.20579</w:t>
            </w:r>
          </w:p>
        </w:tc>
        <w:tc>
          <w:tcPr/>
          <w:p>
            <w:pPr>
              <w:pStyle w:val="Compact"/>
              <w:jc w:val="right"/>
            </w:pPr>
            <w:r>
              <w:t xml:space="preserve">252.7937</w:t>
            </w:r>
          </w:p>
        </w:tc>
        <w:tc>
          <w:tcPr/>
          <w:p>
            <w:pPr>
              <w:pStyle w:val="Compact"/>
              <w:jc w:val="right"/>
            </w:pPr>
            <w:r>
              <w:t xml:space="preserve">0</w:t>
            </w:r>
          </w:p>
        </w:tc>
      </w:tr>
    </w:tbl>
    <w:p>
      <w:pPr>
        <w:pStyle w:val="BodyText"/>
      </w:pPr>
      <w:r>
        <w:rPr>
          <w:bCs/>
          <w:b/>
        </w:rPr>
        <w:t xml:space="preserve">Appendix S1 Table S3</w:t>
      </w:r>
      <w:r>
        <w:t xml:space="preserve">. ANOVA table comparing ordinary linear models of the form abs_log_ratio ~ best model type and abs_log_ratio ~ 1.</w:t>
      </w:r>
    </w:p>
    <w:p>
      <w:r>
        <w:br w:type="page"/>
      </w:r>
    </w:p>
    <w:bookmarkEnd w:id="30"/>
    <w:bookmarkStart w:id="31" w:name="appendix-s1-table-s4."/>
    <w:p>
      <w:pPr>
        <w:pStyle w:val="Heading1"/>
      </w:pPr>
      <w:r>
        <w:t xml:space="preserve">Appendix S1 Table S4.</w:t>
      </w:r>
    </w:p>
    <w:tbl>
      <w:tblPr>
        <w:tblStyle w:val="Table"/>
        <w:tblW w:type="pct" w:w="5000"/>
        <w:tblLook w:firstRow="1" w:lastRow="0" w:firstColumn="0" w:lastColumn="0" w:noHBand="0" w:noVBand="0" w:val="0020"/>
        <w:jc w:val="start"/>
      </w:tblPr>
      <w:tblGrid>
        <w:gridCol w:w="3721"/>
        <w:gridCol w:w="954"/>
        <w:gridCol w:w="954"/>
        <w:gridCol w:w="381"/>
        <w:gridCol w:w="954"/>
        <w:gridCol w:w="954"/>
      </w:tblGrid>
      <w:tr>
        <w:trPr>
          <w:tblHeader w:val="true"/>
        </w:trPr>
        <w:tc>
          <w:tcPr/>
          <w:p>
            <w:pPr>
              <w:pStyle w:val="Compact"/>
              <w:jc w:val="left"/>
            </w:pPr>
            <w:r>
              <w:t xml:space="preserve">categorical_fit</w:t>
            </w:r>
          </w:p>
        </w:tc>
        <w:tc>
          <w:tcPr/>
          <w:p>
            <w:pPr>
              <w:pStyle w:val="Compact"/>
              <w:jc w:val="right"/>
            </w:pPr>
            <w:r>
              <w:t xml:space="preserve">emmean</w:t>
            </w:r>
          </w:p>
        </w:tc>
        <w:tc>
          <w:tcPr/>
          <w:p>
            <w:pPr>
              <w:pStyle w:val="Compact"/>
              <w:jc w:val="right"/>
            </w:pPr>
            <w:r>
              <w:t xml:space="preserve">SE</w:t>
            </w:r>
          </w:p>
        </w:tc>
        <w:tc>
          <w:tcPr/>
          <w:p>
            <w:pPr>
              <w:pStyle w:val="Compact"/>
              <w:jc w:val="right"/>
            </w:pPr>
            <w:r>
              <w:t xml:space="preserve">df</w:t>
            </w:r>
          </w:p>
        </w:tc>
        <w:tc>
          <w:tcPr/>
          <w:p>
            <w:pPr>
              <w:pStyle w:val="Compact"/>
              <w:jc w:val="right"/>
            </w:pPr>
            <w:r>
              <w:t xml:space="preserve">lower.CL</w:t>
            </w:r>
          </w:p>
        </w:tc>
        <w:tc>
          <w:tcPr/>
          <w:p>
            <w:pPr>
              <w:pStyle w:val="Compact"/>
              <w:jc w:val="right"/>
            </w:pPr>
            <w:r>
              <w:t xml:space="preserve">upper.CL</w:t>
            </w:r>
          </w:p>
        </w:tc>
      </w:tr>
      <w:tr>
        <w:tc>
          <w:tcPr/>
          <w:p>
            <w:pPr>
              <w:pStyle w:val="Compact"/>
              <w:jc w:val="left"/>
            </w:pPr>
            <w:r>
              <w:t xml:space="preserve">Different trends for null and observed</w:t>
            </w:r>
          </w:p>
        </w:tc>
        <w:tc>
          <w:tcPr/>
          <w:p>
            <w:pPr>
              <w:pStyle w:val="Compact"/>
              <w:jc w:val="right"/>
            </w:pPr>
            <w:r>
              <w:t xml:space="preserve">0.5713225</w:t>
            </w:r>
          </w:p>
        </w:tc>
        <w:tc>
          <w:tcPr/>
          <w:p>
            <w:pPr>
              <w:pStyle w:val="Compact"/>
              <w:jc w:val="right"/>
            </w:pPr>
            <w:r>
              <w:t xml:space="preserve">0.0145897</w:t>
            </w:r>
          </w:p>
        </w:tc>
        <w:tc>
          <w:tcPr/>
          <w:p>
            <w:pPr>
              <w:pStyle w:val="Compact"/>
              <w:jc w:val="right"/>
            </w:pPr>
            <w:r>
              <w:t xml:space="preserve">736</w:t>
            </w:r>
          </w:p>
        </w:tc>
        <w:tc>
          <w:tcPr/>
          <w:p>
            <w:pPr>
              <w:pStyle w:val="Compact"/>
              <w:jc w:val="right"/>
            </w:pPr>
            <w:r>
              <w:t xml:space="preserve">0.5426801</w:t>
            </w:r>
          </w:p>
        </w:tc>
        <w:tc>
          <w:tcPr/>
          <w:p>
            <w:pPr>
              <w:pStyle w:val="Compact"/>
              <w:jc w:val="right"/>
            </w:pPr>
            <w:r>
              <w:t xml:space="preserve">0.5999650</w:t>
            </w:r>
          </w:p>
        </w:tc>
      </w:tr>
      <w:tr>
        <w:tc>
          <w:tcPr/>
          <w:p>
            <w:pPr>
              <w:pStyle w:val="Compact"/>
              <w:jc w:val="left"/>
            </w:pPr>
            <w:r>
              <w:t xml:space="preserve">Same trend for null and observed</w:t>
            </w:r>
          </w:p>
        </w:tc>
        <w:tc>
          <w:tcPr/>
          <w:p>
            <w:pPr>
              <w:pStyle w:val="Compact"/>
              <w:jc w:val="right"/>
            </w:pPr>
            <w:r>
              <w:t xml:space="preserve">0.1978479</w:t>
            </w:r>
          </w:p>
        </w:tc>
        <w:tc>
          <w:tcPr/>
          <w:p>
            <w:pPr>
              <w:pStyle w:val="Compact"/>
              <w:jc w:val="right"/>
            </w:pPr>
            <w:r>
              <w:t xml:space="preserve">0.0088592</w:t>
            </w:r>
          </w:p>
        </w:tc>
        <w:tc>
          <w:tcPr/>
          <w:p>
            <w:pPr>
              <w:pStyle w:val="Compact"/>
              <w:jc w:val="right"/>
            </w:pPr>
            <w:r>
              <w:t xml:space="preserve">736</w:t>
            </w:r>
          </w:p>
        </w:tc>
        <w:tc>
          <w:tcPr/>
          <w:p>
            <w:pPr>
              <w:pStyle w:val="Compact"/>
              <w:jc w:val="right"/>
            </w:pPr>
            <w:r>
              <w:t xml:space="preserve">0.1804556</w:t>
            </w:r>
          </w:p>
        </w:tc>
        <w:tc>
          <w:tcPr/>
          <w:p>
            <w:pPr>
              <w:pStyle w:val="Compact"/>
              <w:jc w:val="right"/>
            </w:pPr>
            <w:r>
              <w:t xml:space="preserve">0.2152401</w:t>
            </w:r>
          </w:p>
        </w:tc>
      </w:tr>
      <w:tr>
        <w:tc>
          <w:tcPr/>
          <w:p>
            <w:pPr>
              <w:pStyle w:val="Compact"/>
              <w:jc w:val="left"/>
            </w:pPr>
            <w:r>
              <w:t xml:space="preserve">Intercept-only</w:t>
            </w:r>
          </w:p>
        </w:tc>
        <w:tc>
          <w:tcPr/>
          <w:p>
            <w:pPr>
              <w:pStyle w:val="Compact"/>
              <w:jc w:val="right"/>
            </w:pPr>
            <w:r>
              <w:t xml:space="preserve">0.2308831</w:t>
            </w:r>
          </w:p>
        </w:tc>
        <w:tc>
          <w:tcPr/>
          <w:p>
            <w:pPr>
              <w:pStyle w:val="Compact"/>
              <w:jc w:val="right"/>
            </w:pPr>
            <w:r>
              <w:t xml:space="preserve">0.0106227</w:t>
            </w:r>
          </w:p>
        </w:tc>
        <w:tc>
          <w:tcPr/>
          <w:p>
            <w:pPr>
              <w:pStyle w:val="Compact"/>
              <w:jc w:val="right"/>
            </w:pPr>
            <w:r>
              <w:t xml:space="preserve">736</w:t>
            </w:r>
          </w:p>
        </w:tc>
        <w:tc>
          <w:tcPr/>
          <w:p>
            <w:pPr>
              <w:pStyle w:val="Compact"/>
              <w:jc w:val="right"/>
            </w:pPr>
            <w:r>
              <w:t xml:space="preserve">0.2100287</w:t>
            </w:r>
          </w:p>
        </w:tc>
        <w:tc>
          <w:tcPr/>
          <w:p>
            <w:pPr>
              <w:pStyle w:val="Compact"/>
              <w:jc w:val="right"/>
            </w:pPr>
            <w:r>
              <w:t xml:space="preserve">0.2517375</w:t>
            </w:r>
          </w:p>
        </w:tc>
      </w:tr>
    </w:tbl>
    <w:p>
      <w:pPr>
        <w:pStyle w:val="BodyText"/>
      </w:pPr>
      <w:r>
        <w:rPr>
          <w:bCs/>
          <w:b/>
        </w:rPr>
        <w:t xml:space="preserve">Appendix S1 Table S4.</w:t>
      </w:r>
      <w:r>
        <w:t xml:space="preserve"> </w:t>
      </w:r>
      <w:r>
        <w:t xml:space="preserve">Estimates (calculated using emmeans</w:t>
      </w:r>
      <w:r>
        <w:t xml:space="preserve"> </w:t>
      </w:r>
      <w:r>
        <w:t xml:space="preserve">(Lenth 2021)</w:t>
      </w:r>
      <w:r>
        <w:t xml:space="preserve">) for the mean absolute log ratio of mean mass for routes whose dynamics for biomass were best-described by different model types.</w:t>
      </w:r>
    </w:p>
    <w:p>
      <w:r>
        <w:br w:type="page"/>
      </w:r>
    </w:p>
    <w:bookmarkEnd w:id="31"/>
    <w:bookmarkStart w:id="32" w:name="appendix-s1-table-s5"/>
    <w:p>
      <w:pPr>
        <w:pStyle w:val="Heading1"/>
      </w:pPr>
      <w:r>
        <w:t xml:space="preserve">Appendix S1 Table S5</w:t>
      </w:r>
    </w:p>
    <w:tbl>
      <w:tblPr>
        <w:tblStyle w:val="Table"/>
        <w:tblW w:type="pct" w:w="5000"/>
        <w:tblLook w:firstRow="1" w:lastRow="0" w:firstColumn="0" w:lastColumn="0" w:noHBand="0" w:noVBand="0" w:val="0020"/>
        <w:jc w:val="start"/>
      </w:tblPr>
      <w:tblGrid>
        <w:gridCol w:w="4925"/>
        <w:gridCol w:w="732"/>
        <w:gridCol w:w="665"/>
        <w:gridCol w:w="266"/>
        <w:gridCol w:w="665"/>
        <w:gridCol w:w="665"/>
      </w:tblGrid>
      <w:tr>
        <w:trPr>
          <w:tblHeader w:val="true"/>
        </w:trPr>
        <w:tc>
          <w:tcPr/>
          <w:p>
            <w:pPr>
              <w:pStyle w:val="Compact"/>
              <w:jc w:val="left"/>
            </w:pPr>
            <w:r>
              <w:t xml:space="preserve">contrast</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df</w:t>
            </w:r>
          </w:p>
        </w:tc>
        <w:tc>
          <w:tcPr/>
          <w:p>
            <w:pPr>
              <w:pStyle w:val="Compact"/>
              <w:jc w:val="right"/>
            </w:pPr>
            <w:r>
              <w:t xml:space="preserve">t.ratio</w:t>
            </w:r>
          </w:p>
        </w:tc>
        <w:tc>
          <w:tcPr/>
          <w:p>
            <w:pPr>
              <w:pStyle w:val="Compact"/>
              <w:jc w:val="right"/>
            </w:pPr>
            <w:r>
              <w:t xml:space="preserve">p.value</w:t>
            </w:r>
          </w:p>
        </w:tc>
      </w:tr>
      <w:tr>
        <w:tc>
          <w:tcPr/>
          <w:p>
            <w:pPr>
              <w:pStyle w:val="Compact"/>
              <w:jc w:val="left"/>
            </w:pPr>
            <w:r>
              <w:t xml:space="preserve">Different trends for null and observed - Same trend for null and observed</w:t>
            </w:r>
          </w:p>
        </w:tc>
        <w:tc>
          <w:tcPr/>
          <w:p>
            <w:pPr>
              <w:pStyle w:val="Compact"/>
              <w:jc w:val="right"/>
            </w:pPr>
            <w:r>
              <w:t xml:space="preserve">0.3734747</w:t>
            </w:r>
          </w:p>
        </w:tc>
        <w:tc>
          <w:tcPr/>
          <w:p>
            <w:pPr>
              <w:pStyle w:val="Compact"/>
              <w:jc w:val="right"/>
            </w:pPr>
            <w:r>
              <w:t xml:space="preserve">0.0170688</w:t>
            </w:r>
          </w:p>
        </w:tc>
        <w:tc>
          <w:tcPr/>
          <w:p>
            <w:pPr>
              <w:pStyle w:val="Compact"/>
              <w:jc w:val="right"/>
            </w:pPr>
            <w:r>
              <w:t xml:space="preserve">736</w:t>
            </w:r>
          </w:p>
        </w:tc>
        <w:tc>
          <w:tcPr/>
          <w:p>
            <w:pPr>
              <w:pStyle w:val="Compact"/>
              <w:jc w:val="right"/>
            </w:pPr>
            <w:r>
              <w:t xml:space="preserve">21.880489</w:t>
            </w:r>
          </w:p>
        </w:tc>
        <w:tc>
          <w:tcPr/>
          <w:p>
            <w:pPr>
              <w:pStyle w:val="Compact"/>
              <w:jc w:val="right"/>
            </w:pPr>
            <w:r>
              <w:t xml:space="preserve">0.0000000</w:t>
            </w:r>
          </w:p>
        </w:tc>
      </w:tr>
      <w:tr>
        <w:tc>
          <w:tcPr/>
          <w:p>
            <w:pPr>
              <w:pStyle w:val="Compact"/>
              <w:jc w:val="left"/>
            </w:pPr>
            <w:r>
              <w:t xml:space="preserve">Different trends for null and observed - (Intercept-only)</w:t>
            </w:r>
          </w:p>
        </w:tc>
        <w:tc>
          <w:tcPr/>
          <w:p>
            <w:pPr>
              <w:pStyle w:val="Compact"/>
              <w:jc w:val="right"/>
            </w:pPr>
            <w:r>
              <w:t xml:space="preserve">0.3404395</w:t>
            </w:r>
          </w:p>
        </w:tc>
        <w:tc>
          <w:tcPr/>
          <w:p>
            <w:pPr>
              <w:pStyle w:val="Compact"/>
              <w:jc w:val="right"/>
            </w:pPr>
            <w:r>
              <w:t xml:space="preserve">0.0180472</w:t>
            </w:r>
          </w:p>
        </w:tc>
        <w:tc>
          <w:tcPr/>
          <w:p>
            <w:pPr>
              <w:pStyle w:val="Compact"/>
              <w:jc w:val="right"/>
            </w:pPr>
            <w:r>
              <w:t xml:space="preserve">736</w:t>
            </w:r>
          </w:p>
        </w:tc>
        <w:tc>
          <w:tcPr/>
          <w:p>
            <w:pPr>
              <w:pStyle w:val="Compact"/>
              <w:jc w:val="right"/>
            </w:pPr>
            <w:r>
              <w:t xml:space="preserve">18.863813</w:t>
            </w:r>
          </w:p>
        </w:tc>
        <w:tc>
          <w:tcPr/>
          <w:p>
            <w:pPr>
              <w:pStyle w:val="Compact"/>
              <w:jc w:val="right"/>
            </w:pPr>
            <w:r>
              <w:t xml:space="preserve">0.0000000</w:t>
            </w:r>
          </w:p>
        </w:tc>
      </w:tr>
      <w:tr>
        <w:tc>
          <w:tcPr/>
          <w:p>
            <w:pPr>
              <w:pStyle w:val="Compact"/>
              <w:jc w:val="left"/>
            </w:pPr>
            <w:r>
              <w:t xml:space="preserve">Same trend for null and observed - (Intercept-only)</w:t>
            </w:r>
          </w:p>
        </w:tc>
        <w:tc>
          <w:tcPr/>
          <w:p>
            <w:pPr>
              <w:pStyle w:val="Compact"/>
              <w:jc w:val="right"/>
            </w:pPr>
            <w:r>
              <w:t xml:space="preserve">-0.0330352</w:t>
            </w:r>
          </w:p>
        </w:tc>
        <w:tc>
          <w:tcPr/>
          <w:p>
            <w:pPr>
              <w:pStyle w:val="Compact"/>
              <w:jc w:val="right"/>
            </w:pPr>
            <w:r>
              <w:t xml:space="preserve">0.0138321</w:t>
            </w:r>
          </w:p>
        </w:tc>
        <w:tc>
          <w:tcPr/>
          <w:p>
            <w:pPr>
              <w:pStyle w:val="Compact"/>
              <w:jc w:val="right"/>
            </w:pPr>
            <w:r>
              <w:t xml:space="preserve">736</w:t>
            </w:r>
          </w:p>
        </w:tc>
        <w:tc>
          <w:tcPr/>
          <w:p>
            <w:pPr>
              <w:pStyle w:val="Compact"/>
              <w:jc w:val="right"/>
            </w:pPr>
            <w:r>
              <w:t xml:space="preserve">-2.388302</w:t>
            </w:r>
          </w:p>
        </w:tc>
        <w:tc>
          <w:tcPr/>
          <w:p>
            <w:pPr>
              <w:pStyle w:val="Compact"/>
              <w:jc w:val="right"/>
            </w:pPr>
            <w:r>
              <w:t xml:space="preserve">0.0451953</w:t>
            </w:r>
          </w:p>
        </w:tc>
      </w:tr>
    </w:tbl>
    <w:p>
      <w:pPr>
        <w:pStyle w:val="BodyText"/>
      </w:pPr>
      <w:r>
        <w:rPr>
          <w:bCs/>
          <w:b/>
        </w:rPr>
        <w:t xml:space="preserve">Appendix S1 Table S5</w:t>
      </w:r>
      <w:r>
        <w:t xml:space="preserve">. Contrasts for absolute log ratio of mean mass, calculated using emmeans</w:t>
      </w:r>
      <w:r>
        <w:t xml:space="preserve"> </w:t>
      </w:r>
      <w:r>
        <w:t xml:space="preserve">(Lenth 2021)</w:t>
      </w:r>
      <w:r>
        <w:t xml:space="preserve">.</w:t>
      </w:r>
    </w:p>
    <w:p>
      <w:r>
        <w:br w:type="page"/>
      </w:r>
    </w:p>
    <w:bookmarkEnd w:id="32"/>
    <w:bookmarkStart w:id="33" w:name="appendix-s1-table-s6"/>
    <w:p>
      <w:pPr>
        <w:pStyle w:val="Heading1"/>
      </w:pPr>
      <w:r>
        <w:t xml:space="preserve">Appendix S1 Table S6</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Resid. Df</w:t>
            </w:r>
          </w:p>
        </w:tc>
        <w:tc>
          <w:tcPr/>
          <w:p>
            <w:pPr>
              <w:pStyle w:val="Compact"/>
              <w:jc w:val="right"/>
            </w:pPr>
            <w:r>
              <w:t xml:space="preserve">Resid.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Pr(&gt;Chi)</w:t>
            </w:r>
          </w:p>
        </w:tc>
      </w:tr>
      <w:tr>
        <w:tc>
          <w:tcPr/>
          <w:p>
            <w:pPr>
              <w:pStyle w:val="Compact"/>
              <w:jc w:val="right"/>
            </w:pPr>
            <w:r>
              <w:t xml:space="preserve">736</w:t>
            </w:r>
          </w:p>
        </w:tc>
        <w:tc>
          <w:tcPr/>
          <w:p>
            <w:pPr>
              <w:pStyle w:val="Compact"/>
              <w:jc w:val="right"/>
            </w:pPr>
            <w:r>
              <w:t xml:space="preserve">13.40443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738</w:t>
            </w:r>
          </w:p>
        </w:tc>
        <w:tc>
          <w:tcPr/>
          <w:p>
            <w:pPr>
              <w:pStyle w:val="Compact"/>
              <w:jc w:val="right"/>
            </w:pPr>
            <w:r>
              <w:t xml:space="preserve">13.61574</w:t>
            </w:r>
          </w:p>
        </w:tc>
        <w:tc>
          <w:tcPr/>
          <w:p>
            <w:pPr>
              <w:pStyle w:val="Compact"/>
              <w:jc w:val="right"/>
            </w:pPr>
            <w:r>
              <w:t xml:space="preserve">-2</w:t>
            </w:r>
          </w:p>
        </w:tc>
        <w:tc>
          <w:tcPr/>
          <w:p>
            <w:pPr>
              <w:pStyle w:val="Compact"/>
              <w:jc w:val="right"/>
            </w:pPr>
            <w:r>
              <w:t xml:space="preserve">-0.21131</w:t>
            </w:r>
          </w:p>
        </w:tc>
        <w:tc>
          <w:tcPr/>
          <w:p>
            <w:pPr>
              <w:pStyle w:val="Compact"/>
              <w:jc w:val="right"/>
            </w:pPr>
            <w:r>
              <w:t xml:space="preserve">0.899735</w:t>
            </w:r>
          </w:p>
        </w:tc>
      </w:tr>
    </w:tbl>
    <w:p>
      <w:pPr>
        <w:pStyle w:val="BodyText"/>
      </w:pPr>
      <w:r>
        <w:rPr>
          <w:iCs/>
          <w:i/>
        </w:rPr>
        <w:t xml:space="preserve">Appendix S1 Table S6</w:t>
      </w:r>
      <w:r>
        <w:t xml:space="preserve">. ANOVA table comparing binomial generalized linear models of the form ISD_turnover ~ best model type and ISD_turnover ~ 1.</w:t>
      </w:r>
    </w:p>
    <w:p>
      <w:r>
        <w:br w:type="page"/>
      </w:r>
    </w:p>
    <w:bookmarkEnd w:id="33"/>
    <w:bookmarkStart w:id="36" w:name="references"/>
    <w:p>
      <w:pPr>
        <w:pStyle w:val="Heading1"/>
      </w:pPr>
      <w:r>
        <w:t xml:space="preserve">References</w:t>
      </w:r>
    </w:p>
    <w:bookmarkStart w:id="35" w:name="refs"/>
    <w:bookmarkStart w:id="34" w:name="ref-lenth2021"/>
    <w:p>
      <w:pPr>
        <w:pStyle w:val="Bibliography"/>
      </w:pPr>
      <w:r>
        <w:t xml:space="preserve">Lenth, R. V. 2021. Emmeans:</w:t>
      </w:r>
      <w:r>
        <w:t xml:space="preserve"> </w:t>
      </w:r>
      <w:r>
        <w:t xml:space="preserve">Estimated Marginal Means</w:t>
      </w:r>
      <w:r>
        <w:t xml:space="preserve">, aka</w:t>
      </w:r>
      <w:r>
        <w:t xml:space="preserve"> </w:t>
      </w:r>
      <w:r>
        <w:t xml:space="preserve">Least-Squares Means</w:t>
      </w:r>
      <w:r>
        <w:t xml:space="preserve">.</w:t>
      </w:r>
    </w:p>
    <w:bookmarkEnd w:id="34"/>
    <w:bookmarkEnd w:id="35"/>
    <w:bookmarkEnd w:id="36"/>
    <w:sectPr w:rsidR="00BC0F0B" w:rsidRPr="00F277A7">
      <w:pgSz w:h="15840" w:w="12240"/>
      <w:pgMar w:bottom="1440" w:footer="720" w:gutter="0" w:header="72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en-US" w:val="en"/>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277A7"/>
    <w:pPr>
      <w:spacing w:after="120" w:before="120" w:line="480" w:lineRule="auto"/>
    </w:pPr>
    <w:rPr>
      <w:rFonts w:ascii="Times New Roman" w:cs="Times New Roman" w:hAnsi="Times New Roman"/>
      <w:sz w:val="24"/>
      <w:szCs w:val="24"/>
    </w:rPr>
  </w:style>
  <w:style w:styleId="Heading1" w:type="paragraph">
    <w:name w:val="heading 1"/>
    <w:basedOn w:val="Normal"/>
    <w:next w:val="Normal"/>
    <w:uiPriority w:val="9"/>
    <w:qFormat/>
    <w:rsid w:val="00C9745C"/>
    <w:pPr>
      <w:keepNext/>
      <w:keepLines/>
      <w:spacing w:after="240" w:line="240" w:lineRule="auto"/>
      <w:outlineLvl w:val="0"/>
    </w:pPr>
    <w:rPr>
      <w:b/>
    </w:rPr>
  </w:style>
  <w:style w:styleId="Heading2" w:type="paragraph">
    <w:name w:val="heading 2"/>
    <w:basedOn w:val="Normal"/>
    <w:next w:val="Normal"/>
    <w:uiPriority w:val="9"/>
    <w:semiHidden/>
    <w:unhideWhenUsed/>
    <w:qFormat/>
    <w:pPr>
      <w:keepNext/>
      <w:keepLines/>
      <w:outlineLvl w:val="1"/>
    </w:pPr>
    <w:rPr>
      <w:b/>
    </w:rPr>
  </w:style>
  <w:style w:styleId="Heading3" w:type="paragraph">
    <w:name w:val="heading 3"/>
    <w:basedOn w:val="Normal"/>
    <w:next w:val="Normal"/>
    <w:uiPriority w:val="9"/>
    <w:semiHidden/>
    <w:unhideWhenUsed/>
    <w:qFormat/>
    <w:pPr>
      <w:keepNext/>
      <w:keepLines/>
      <w:outlineLvl w:val="2"/>
    </w:pPr>
    <w:rPr>
      <w:i/>
    </w:rPr>
  </w:style>
  <w:style w:styleId="Heading4" w:type="paragraph">
    <w:name w:val="heading 4"/>
    <w:basedOn w:val="Normal"/>
    <w:next w:val="Normal"/>
    <w:uiPriority w:val="9"/>
    <w:semiHidden/>
    <w:unhideWhenUsed/>
    <w:qFormat/>
    <w:pPr>
      <w:keepNext/>
      <w:keepLines/>
      <w:spacing w:after="80" w:before="280"/>
      <w:outlineLvl w:val="3"/>
    </w:pPr>
    <w:rPr>
      <w:color w:val="666666"/>
    </w:rPr>
  </w:style>
  <w:style w:styleId="Heading5" w:type="paragraph">
    <w:name w:val="heading 5"/>
    <w:basedOn w:val="Normal"/>
    <w:next w:val="Normal"/>
    <w:uiPriority w:val="9"/>
    <w:semiHidden/>
    <w:unhideWhenUsed/>
    <w:qFormat/>
    <w:pPr>
      <w:keepNext/>
      <w:keepLines/>
      <w:spacing w:after="80" w:before="240"/>
      <w:outlineLvl w:val="4"/>
    </w:pPr>
    <w:rPr>
      <w:color w:val="666666"/>
    </w:rPr>
  </w:style>
  <w:style w:styleId="Heading6" w:type="paragraph">
    <w:name w:val="heading 6"/>
    <w:basedOn w:val="Normal"/>
    <w:next w:val="Normal"/>
    <w:uiPriority w:val="9"/>
    <w:semiHidden/>
    <w:unhideWhenUsed/>
    <w:qFormat/>
    <w:pPr>
      <w:keepNext/>
      <w:keepLines/>
      <w:spacing w:after="80" w:before="240"/>
      <w:outlineLvl w:val="5"/>
    </w:pPr>
    <w:rPr>
      <w:i/>
      <w:color w:val="66666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0"/>
    </w:pPr>
    <w:rPr>
      <w:sz w:val="52"/>
      <w:szCs w:val="52"/>
    </w:rPr>
  </w:style>
  <w:style w:styleId="Subtitle" w:type="paragraph">
    <w:name w:val="Subtitle"/>
    <w:basedOn w:val="Normal"/>
    <w:next w:val="Normal"/>
    <w:uiPriority w:val="11"/>
    <w:qFormat/>
    <w:pPr>
      <w:keepNext/>
      <w:keepLines/>
      <w:spacing w:after="320" w:before="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starting 1989</dc:title>
  <dc:creator/>
  <cp:keywords/>
  <dcterms:created xsi:type="dcterms:W3CDTF">2023-07-28T17:08:38Z</dcterms:created>
  <dcterms:modified xsi:type="dcterms:W3CDTF">2023-07-28T17:08:38Z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ref_template.csl</vt:lpwstr>
  </property>
  <property fmtid="{D5CDD505-2E9C-101B-9397-08002B2CF9AE}" pid="4" name="output">
    <vt:lpwstr/>
  </property>
</Properties>
</file>