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00" w:rsidRPr="003F20FB" w:rsidRDefault="00D21500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</w:rPr>
      </w:pPr>
      <w:r w:rsidRPr="00D21500">
        <w:rPr>
          <w:rFonts w:ascii="微软雅黑" w:eastAsia="微软雅黑" w:hAnsi="微软雅黑" w:cs="宋体" w:hint="eastAsia"/>
        </w:rPr>
        <w:t>哈恩大学</w:t>
      </w:r>
    </w:p>
    <w:p w:rsidR="00D21500" w:rsidRPr="00D21500" w:rsidRDefault="00D21500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Arial"/>
        </w:rPr>
      </w:pPr>
      <w:r w:rsidRPr="00D21500">
        <w:rPr>
          <w:rFonts w:ascii="微软雅黑" w:eastAsia="微软雅黑" w:hAnsi="微软雅黑" w:cs="宋体" w:hint="eastAsia"/>
        </w:rPr>
        <w:t>哈恩大学</w:t>
      </w:r>
      <w:r w:rsidRPr="00D21500">
        <w:rPr>
          <w:rFonts w:ascii="微软雅黑" w:eastAsia="微软雅黑" w:hAnsi="微软雅黑" w:cs="宋体" w:hint="eastAsia"/>
        </w:rPr>
        <w:t>早在</w:t>
      </w:r>
      <w:r w:rsidRPr="00D21500">
        <w:rPr>
          <w:rFonts w:ascii="微软雅黑" w:eastAsia="微软雅黑" w:hAnsi="微软雅黑" w:cs="Arial"/>
        </w:rPr>
        <w:t xml:space="preserve"> 16 </w:t>
      </w:r>
      <w:r w:rsidRPr="00D21500">
        <w:rPr>
          <w:rFonts w:ascii="微软雅黑" w:eastAsia="微软雅黑" w:hAnsi="微软雅黑" w:cs="宋体" w:hint="eastAsia"/>
        </w:rPr>
        <w:t>世纪就已经成立了，但是在当时叫做</w:t>
      </w:r>
      <w:r w:rsidRPr="00D21500">
        <w:rPr>
          <w:rFonts w:ascii="微软雅黑" w:eastAsia="微软雅黑" w:hAnsi="微软雅黑" w:cs="Arial"/>
        </w:rPr>
        <w:t xml:space="preserve"> Pontifical </w:t>
      </w:r>
      <w:r w:rsidRPr="00D21500">
        <w:rPr>
          <w:rFonts w:ascii="微软雅黑" w:eastAsia="微软雅黑" w:hAnsi="微软雅黑" w:cs="宋体" w:hint="eastAsia"/>
        </w:rPr>
        <w:t>大学。</w:t>
      </w:r>
      <w:r w:rsidRPr="00D21500">
        <w:rPr>
          <w:rFonts w:ascii="微软雅黑" w:eastAsia="微软雅黑" w:hAnsi="微软雅黑" w:cs="Arial"/>
        </w:rPr>
        <w:t xml:space="preserve"> 16-19 </w:t>
      </w:r>
      <w:r w:rsidRPr="00D21500">
        <w:rPr>
          <w:rFonts w:ascii="微软雅黑" w:eastAsia="微软雅黑" w:hAnsi="微软雅黑" w:cs="宋体" w:hint="eastAsia"/>
        </w:rPr>
        <w:t>世纪该大学与</w:t>
      </w:r>
      <w:r w:rsidRPr="00D21500">
        <w:rPr>
          <w:rFonts w:ascii="微软雅黑" w:eastAsia="微软雅黑" w:hAnsi="微软雅黑" w:cs="Arial"/>
        </w:rPr>
        <w:t xml:space="preserve"> </w:t>
      </w:r>
      <w:proofErr w:type="spellStart"/>
      <w:r w:rsidRPr="00D21500">
        <w:rPr>
          <w:rFonts w:ascii="微软雅黑" w:eastAsia="微软雅黑" w:hAnsi="微软雅黑" w:cs="Arial"/>
        </w:rPr>
        <w:t>Baeza</w:t>
      </w:r>
      <w:proofErr w:type="spellEnd"/>
      <w:r w:rsidRPr="00D21500">
        <w:rPr>
          <w:rFonts w:ascii="微软雅黑" w:eastAsia="微软雅黑" w:hAnsi="微软雅黑" w:cs="Arial"/>
        </w:rPr>
        <w:t xml:space="preserve"> </w:t>
      </w:r>
      <w:r w:rsidRPr="00D21500">
        <w:rPr>
          <w:rFonts w:ascii="微软雅黑" w:eastAsia="微软雅黑" w:hAnsi="微软雅黑" w:cs="宋体" w:hint="eastAsia"/>
        </w:rPr>
        <w:t>大学联合办学。</w:t>
      </w:r>
      <w:r w:rsidRPr="00D21500">
        <w:rPr>
          <w:rFonts w:ascii="微软雅黑" w:eastAsia="微软雅黑" w:hAnsi="微软雅黑" w:cs="Arial"/>
        </w:rPr>
        <w:t xml:space="preserve"> </w:t>
      </w:r>
      <w:proofErr w:type="spellStart"/>
      <w:r w:rsidRPr="00D21500">
        <w:rPr>
          <w:rFonts w:ascii="微软雅黑" w:eastAsia="微软雅黑" w:hAnsi="微软雅黑" w:cs="Arial"/>
        </w:rPr>
        <w:t>Baeza</w:t>
      </w:r>
      <w:proofErr w:type="spellEnd"/>
      <w:r w:rsidRPr="00D21500">
        <w:rPr>
          <w:rFonts w:ascii="微软雅黑" w:eastAsia="微软雅黑" w:hAnsi="微软雅黑" w:cs="Arial"/>
        </w:rPr>
        <w:t xml:space="preserve"> </w:t>
      </w:r>
      <w:r w:rsidRPr="00D21500">
        <w:rPr>
          <w:rFonts w:ascii="微软雅黑" w:eastAsia="微软雅黑" w:hAnsi="微软雅黑" w:cs="宋体" w:hint="eastAsia"/>
        </w:rPr>
        <w:t>大学是安达卢西亚的一所国际大学。</w:t>
      </w:r>
      <w:r w:rsidRPr="00D21500">
        <w:rPr>
          <w:rFonts w:ascii="微软雅黑" w:eastAsia="微软雅黑" w:hAnsi="微软雅黑" w:cs="Arial"/>
        </w:rPr>
        <w:t xml:space="preserve"> 1993 </w:t>
      </w:r>
      <w:r w:rsidRPr="00D21500">
        <w:rPr>
          <w:rFonts w:ascii="微软雅黑" w:eastAsia="微软雅黑" w:hAnsi="微软雅黑" w:cs="宋体" w:hint="eastAsia"/>
        </w:rPr>
        <w:t>年，大学以</w:t>
      </w:r>
      <w:r w:rsidRPr="00D21500">
        <w:rPr>
          <w:rFonts w:ascii="微软雅黑" w:eastAsia="微软雅黑" w:hAnsi="微软雅黑" w:cs="Arial"/>
        </w:rPr>
        <w:t>“</w:t>
      </w:r>
      <w:r w:rsidRPr="00D21500">
        <w:rPr>
          <w:rFonts w:ascii="微软雅黑" w:eastAsia="微软雅黑" w:hAnsi="微软雅黑" w:cs="宋体" w:hint="eastAsia"/>
        </w:rPr>
        <w:t>哈恩大学</w:t>
      </w:r>
      <w:r w:rsidRPr="00D21500">
        <w:rPr>
          <w:rFonts w:ascii="微软雅黑" w:eastAsia="微软雅黑" w:hAnsi="微软雅黑" w:cs="Arial"/>
        </w:rPr>
        <w:t>”</w:t>
      </w:r>
      <w:r w:rsidRPr="00D21500">
        <w:rPr>
          <w:rFonts w:ascii="微软雅黑" w:eastAsia="微软雅黑" w:hAnsi="微软雅黑" w:cs="宋体" w:hint="eastAsia"/>
        </w:rPr>
        <w:t>正式命名成立。学校的计算机、电子学和橄榄种植等专业课程在西班牙排名前列。学生完成所有课程，由西班牙教育部授予相应学位。</w:t>
      </w:r>
      <w:r w:rsidRPr="00A358D5">
        <w:rPr>
          <w:rFonts w:ascii="微软雅黑" w:eastAsia="微软雅黑" w:hAnsi="微软雅黑" w:cs="Arial"/>
        </w:rPr>
        <w:t> </w:t>
      </w:r>
      <w:r w:rsidRPr="00D21500">
        <w:rPr>
          <w:rFonts w:ascii="微软雅黑" w:eastAsia="微软雅黑" w:hAnsi="微软雅黑" w:cs="Arial"/>
        </w:rPr>
        <w:br/>
      </w:r>
      <w:r w:rsidRPr="00D21500">
        <w:rPr>
          <w:rFonts w:ascii="微软雅黑" w:eastAsia="微软雅黑" w:hAnsi="微软雅黑" w:cs="微软雅黑" w:hint="eastAsia"/>
        </w:rPr>
        <w:t xml:space="preserve">　　哈恩大学的主校园</w:t>
      </w:r>
      <w:r w:rsidRPr="00D21500">
        <w:rPr>
          <w:rFonts w:ascii="微软雅黑" w:eastAsia="微软雅黑" w:hAnsi="微软雅黑" w:cs="Arial"/>
        </w:rPr>
        <w:t xml:space="preserve"> Las </w:t>
      </w:r>
      <w:proofErr w:type="spellStart"/>
      <w:r w:rsidRPr="00D21500">
        <w:rPr>
          <w:rFonts w:ascii="微软雅黑" w:eastAsia="微软雅黑" w:hAnsi="微软雅黑" w:cs="Arial"/>
        </w:rPr>
        <w:t>Lagunillas</w:t>
      </w:r>
      <w:proofErr w:type="spellEnd"/>
      <w:r w:rsidRPr="00D21500">
        <w:rPr>
          <w:rFonts w:ascii="微软雅黑" w:eastAsia="微软雅黑" w:hAnsi="微软雅黑" w:cs="Arial"/>
        </w:rPr>
        <w:t xml:space="preserve"> </w:t>
      </w:r>
      <w:r w:rsidR="00C55BA6">
        <w:rPr>
          <w:rFonts w:ascii="微软雅黑" w:eastAsia="微软雅黑" w:hAnsi="微软雅黑" w:cs="微软雅黑" w:hint="eastAsia"/>
        </w:rPr>
        <w:t>坐落于哈恩大学的东北部</w:t>
      </w:r>
      <w:r w:rsidRPr="00D21500">
        <w:rPr>
          <w:rFonts w:ascii="微软雅黑" w:eastAsia="微软雅黑" w:hAnsi="微软雅黑" w:cs="Arial"/>
        </w:rPr>
        <w:t xml:space="preserve"> , </w:t>
      </w:r>
      <w:r w:rsidRPr="00D21500">
        <w:rPr>
          <w:rFonts w:ascii="微软雅黑" w:eastAsia="微软雅黑" w:hAnsi="微软雅黑" w:cs="微软雅黑" w:hint="eastAsia"/>
        </w:rPr>
        <w:t>位于</w:t>
      </w:r>
      <w:r w:rsidRPr="00D21500">
        <w:rPr>
          <w:rFonts w:ascii="微软雅黑" w:eastAsia="微软雅黑" w:hAnsi="微软雅黑" w:cs="Arial"/>
        </w:rPr>
        <w:t xml:space="preserve"> </w:t>
      </w:r>
      <w:proofErr w:type="spellStart"/>
      <w:r w:rsidRPr="00D21500">
        <w:rPr>
          <w:rFonts w:ascii="微软雅黑" w:eastAsia="微软雅黑" w:hAnsi="微软雅黑" w:cs="Arial"/>
        </w:rPr>
        <w:t>Torrequebradilla</w:t>
      </w:r>
      <w:proofErr w:type="spellEnd"/>
      <w:r w:rsidRPr="00D21500">
        <w:rPr>
          <w:rFonts w:ascii="微软雅黑" w:eastAsia="微软雅黑" w:hAnsi="微软雅黑" w:cs="Arial"/>
        </w:rPr>
        <w:t xml:space="preserve"> </w:t>
      </w:r>
      <w:r w:rsidRPr="00D21500">
        <w:rPr>
          <w:rFonts w:ascii="微软雅黑" w:eastAsia="微软雅黑" w:hAnsi="微软雅黑" w:cs="微软雅黑" w:hint="eastAsia"/>
        </w:rPr>
        <w:t>和</w:t>
      </w:r>
      <w:r w:rsidRPr="00D21500">
        <w:rPr>
          <w:rFonts w:ascii="微软雅黑" w:eastAsia="微软雅黑" w:hAnsi="微软雅黑" w:cs="Arial"/>
        </w:rPr>
        <w:t xml:space="preserve"> Nacional 323 </w:t>
      </w:r>
      <w:r w:rsidRPr="00D21500">
        <w:rPr>
          <w:rFonts w:ascii="微软雅黑" w:eastAsia="微软雅黑" w:hAnsi="微软雅黑" w:cs="微软雅黑" w:hint="eastAsia"/>
        </w:rPr>
        <w:t>号大路并邻近</w:t>
      </w:r>
      <w:r w:rsidRPr="00D21500">
        <w:rPr>
          <w:rFonts w:ascii="微软雅黑" w:eastAsia="微软雅黑" w:hAnsi="微软雅黑" w:cs="Arial"/>
        </w:rPr>
        <w:t xml:space="preserve"> </w:t>
      </w:r>
      <w:proofErr w:type="spellStart"/>
      <w:r w:rsidRPr="00D21500">
        <w:rPr>
          <w:rFonts w:ascii="微软雅黑" w:eastAsia="微软雅黑" w:hAnsi="微软雅黑" w:cs="Arial"/>
        </w:rPr>
        <w:t>Carretera</w:t>
      </w:r>
      <w:proofErr w:type="spellEnd"/>
      <w:r w:rsidRPr="00D21500">
        <w:rPr>
          <w:rFonts w:ascii="微软雅黑" w:eastAsia="微软雅黑" w:hAnsi="微软雅黑" w:cs="Arial"/>
        </w:rPr>
        <w:t xml:space="preserve"> de Madrid </w:t>
      </w:r>
      <w:r w:rsidRPr="00D21500">
        <w:rPr>
          <w:rFonts w:ascii="微软雅黑" w:eastAsia="微软雅黑" w:hAnsi="微软雅黑" w:cs="微软雅黑" w:hint="eastAsia"/>
        </w:rPr>
        <w:t>。</w:t>
      </w:r>
      <w:r w:rsidRPr="00D21500">
        <w:rPr>
          <w:rFonts w:ascii="微软雅黑" w:eastAsia="微软雅黑" w:hAnsi="微软雅黑" w:cs="Arial"/>
        </w:rPr>
        <w:t xml:space="preserve"> </w:t>
      </w:r>
      <w:r w:rsidRPr="00D21500">
        <w:rPr>
          <w:rFonts w:ascii="微软雅黑" w:eastAsia="微软雅黑" w:hAnsi="微软雅黑" w:cs="微软雅黑" w:hint="eastAsia"/>
        </w:rPr>
        <w:t>校园门口有许多公交车到达市中心。哈恩大学是欧洲学分互转系统的成员，参加了苏格拉底－伊拉兹马斯计划。</w:t>
      </w:r>
      <w:r w:rsidRPr="00A358D5">
        <w:rPr>
          <w:rFonts w:ascii="微软雅黑" w:eastAsia="微软雅黑" w:hAnsi="微软雅黑" w:cs="Arial"/>
        </w:rPr>
        <w:t> </w:t>
      </w:r>
      <w:r w:rsidRPr="00D21500">
        <w:rPr>
          <w:rFonts w:ascii="微软雅黑" w:eastAsia="微软雅黑" w:hAnsi="微软雅黑" w:cs="Arial"/>
        </w:rPr>
        <w:br/>
      </w:r>
      <w:r w:rsidRPr="00D21500">
        <w:rPr>
          <w:rFonts w:ascii="微软雅黑" w:eastAsia="微软雅黑" w:hAnsi="微软雅黑" w:cs="微软雅黑" w:hint="eastAsia"/>
        </w:rPr>
        <w:t xml:space="preserve">　　哈恩市拥有</w:t>
      </w:r>
      <w:r w:rsidRPr="00D21500">
        <w:rPr>
          <w:rFonts w:ascii="微软雅黑" w:eastAsia="微软雅黑" w:hAnsi="微软雅黑" w:cs="Arial"/>
        </w:rPr>
        <w:t xml:space="preserve"> 15 </w:t>
      </w:r>
      <w:r w:rsidRPr="00D21500">
        <w:rPr>
          <w:rFonts w:ascii="微软雅黑" w:eastAsia="微软雅黑" w:hAnsi="微软雅黑" w:cs="微软雅黑" w:hint="eastAsia"/>
        </w:rPr>
        <w:t>万人口的居民，哈恩大学位于城市中心，当地盛产橄榄油。拥有西班牙最大的天然公园。安达卢西亚的哈恩市是</w:t>
      </w:r>
      <w:r w:rsidRPr="00D21500">
        <w:rPr>
          <w:rFonts w:ascii="微软雅黑" w:eastAsia="微软雅黑" w:hAnsi="微软雅黑" w:cs="Arial"/>
        </w:rPr>
        <w:t xml:space="preserve"> 21 </w:t>
      </w:r>
      <w:r w:rsidRPr="00D21500">
        <w:rPr>
          <w:rFonts w:ascii="微软雅黑" w:eastAsia="微软雅黑" w:hAnsi="微软雅黑" w:cs="微软雅黑" w:hint="eastAsia"/>
        </w:rPr>
        <w:t>世纪集艺术、文化、教育为一体的一个现代化城市</w:t>
      </w:r>
      <w:r w:rsidRPr="00D21500">
        <w:rPr>
          <w:rFonts w:ascii="微软雅黑" w:eastAsia="微软雅黑" w:hAnsi="微软雅黑" w:cs="宋体"/>
        </w:rPr>
        <w:t>。</w:t>
      </w:r>
    </w:p>
    <w:p w:rsidR="00D21500" w:rsidRPr="00A358D5" w:rsidRDefault="00D21500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</w:rPr>
      </w:pPr>
      <w:r w:rsidRPr="00D21500">
        <w:rPr>
          <w:rFonts w:ascii="微软雅黑" w:eastAsia="微软雅黑" w:hAnsi="微软雅黑" w:cs="宋体" w:hint="eastAsia"/>
        </w:rPr>
        <w:t>该大学开设有专科、本科、硕士和博士专业（包括双学位），比如</w:t>
      </w:r>
      <w:r w:rsidRPr="00A358D5">
        <w:rPr>
          <w:rFonts w:ascii="微软雅黑" w:eastAsia="微软雅黑" w:hAnsi="微软雅黑" w:cs="宋体" w:hint="eastAsia"/>
        </w:rPr>
        <w:t>统计学</w:t>
      </w:r>
      <w:r w:rsidRPr="00D21500">
        <w:rPr>
          <w:rFonts w:ascii="微软雅黑" w:eastAsia="微软雅黑" w:hAnsi="微软雅黑" w:cs="宋体" w:hint="eastAsia"/>
        </w:rPr>
        <w:t>，物理疗法，</w:t>
      </w:r>
      <w:r w:rsidRPr="00A358D5">
        <w:rPr>
          <w:rFonts w:ascii="微软雅黑" w:eastAsia="微软雅黑" w:hAnsi="微软雅黑" w:cs="宋体" w:hint="eastAsia"/>
        </w:rPr>
        <w:t>公共管理</w:t>
      </w:r>
      <w:r w:rsidRPr="00D21500">
        <w:rPr>
          <w:rFonts w:ascii="微软雅黑" w:eastAsia="微软雅黑" w:hAnsi="微软雅黑" w:cs="宋体" w:hint="eastAsia"/>
        </w:rPr>
        <w:t>，法律与工商管理双学位，统计与信息管理技术工程学双学位（系大专阶段），信息工程，大地测量与绘图工程，工业流程控制，全球化以前的企业管理等等。在</w:t>
      </w:r>
      <w:r w:rsidRPr="00D21500">
        <w:rPr>
          <w:rFonts w:ascii="微软雅黑" w:eastAsia="微软雅黑" w:hAnsi="微软雅黑" w:cs="Arial"/>
        </w:rPr>
        <w:t>2007</w:t>
      </w:r>
      <w:r w:rsidRPr="00D21500">
        <w:rPr>
          <w:rFonts w:ascii="微软雅黑" w:eastAsia="微软雅黑" w:hAnsi="微软雅黑" w:cs="宋体" w:hint="eastAsia"/>
        </w:rPr>
        <w:t>年</w:t>
      </w:r>
      <w:r w:rsidRPr="00D21500">
        <w:rPr>
          <w:rFonts w:ascii="微软雅黑" w:eastAsia="微软雅黑" w:hAnsi="微软雅黑" w:cs="Arial"/>
        </w:rPr>
        <w:t>“</w:t>
      </w:r>
      <w:r w:rsidRPr="00A358D5">
        <w:rPr>
          <w:rFonts w:ascii="微软雅黑" w:eastAsia="微软雅黑" w:hAnsi="微软雅黑" w:cs="宋体" w:hint="eastAsia"/>
        </w:rPr>
        <w:t>因特网实验室</w:t>
      </w:r>
      <w:r w:rsidRPr="00D21500">
        <w:rPr>
          <w:rFonts w:ascii="微软雅黑" w:eastAsia="微软雅黑" w:hAnsi="微软雅黑" w:cs="Arial"/>
        </w:rPr>
        <w:t>”</w:t>
      </w:r>
      <w:r w:rsidRPr="00A358D5">
        <w:rPr>
          <w:rFonts w:ascii="微软雅黑" w:eastAsia="微软雅黑" w:hAnsi="微软雅黑" w:cs="Arial"/>
        </w:rPr>
        <w:t xml:space="preserve"> </w:t>
      </w:r>
      <w:r w:rsidRPr="00D21500">
        <w:rPr>
          <w:rFonts w:ascii="微软雅黑" w:eastAsia="微软雅黑" w:hAnsi="微软雅黑" w:cs="宋体" w:hint="eastAsia"/>
        </w:rPr>
        <w:t>的大学排行榜上，哈恩大学在</w:t>
      </w:r>
      <w:r w:rsidRPr="00D21500">
        <w:rPr>
          <w:rFonts w:ascii="微软雅黑" w:eastAsia="微软雅黑" w:hAnsi="微软雅黑" w:cs="Arial"/>
        </w:rPr>
        <w:t>100</w:t>
      </w:r>
      <w:r w:rsidRPr="00D21500">
        <w:rPr>
          <w:rFonts w:ascii="微软雅黑" w:eastAsia="微软雅黑" w:hAnsi="微软雅黑" w:cs="宋体" w:hint="eastAsia"/>
        </w:rPr>
        <w:t>所参评大学中名列第</w:t>
      </w:r>
      <w:r w:rsidRPr="00D21500">
        <w:rPr>
          <w:rFonts w:ascii="微软雅黑" w:eastAsia="微软雅黑" w:hAnsi="微软雅黑" w:cs="Arial"/>
        </w:rPr>
        <w:t>53</w:t>
      </w:r>
      <w:r w:rsidRPr="00D21500">
        <w:rPr>
          <w:rFonts w:ascii="微软雅黑" w:eastAsia="微软雅黑" w:hAnsi="微软雅黑" w:cs="宋体" w:hint="eastAsia"/>
        </w:rPr>
        <w:t>位</w:t>
      </w:r>
      <w:r w:rsidRPr="00D21500">
        <w:rPr>
          <w:rFonts w:ascii="微软雅黑" w:eastAsia="微软雅黑" w:hAnsi="微软雅黑" w:cs="宋体"/>
        </w:rPr>
        <w:t>。</w:t>
      </w:r>
    </w:p>
    <w:p w:rsidR="00D21500" w:rsidRPr="00A358D5" w:rsidRDefault="00D21500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</w:rPr>
      </w:pPr>
    </w:p>
    <w:p w:rsidR="00A17EFE" w:rsidRPr="00A358D5" w:rsidRDefault="00A17EFE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</w:rPr>
      </w:pPr>
      <w:r w:rsidRPr="00A358D5">
        <w:rPr>
          <w:rFonts w:ascii="微软雅黑" w:eastAsia="微软雅黑" w:hAnsi="微软雅黑" w:cs="宋体"/>
        </w:rPr>
        <w:t>城市介绍</w:t>
      </w:r>
      <w:r w:rsidRPr="00A358D5">
        <w:rPr>
          <w:rFonts w:ascii="微软雅黑" w:eastAsia="微软雅黑" w:hAnsi="微软雅黑" w:cs="宋体" w:hint="eastAsia"/>
        </w:rPr>
        <w:t>：</w:t>
      </w:r>
    </w:p>
    <w:p w:rsidR="00A358D5" w:rsidRPr="00A358D5" w:rsidRDefault="00A17EFE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Arial"/>
          <w:shd w:val="clear" w:color="auto" w:fill="FFFFFF"/>
        </w:rPr>
      </w:pPr>
      <w:r w:rsidRPr="00A358D5">
        <w:rPr>
          <w:rFonts w:ascii="微软雅黑" w:eastAsia="微软雅黑" w:hAnsi="微软雅黑" w:cs="Arial"/>
          <w:b/>
          <w:bCs/>
          <w:shd w:val="clear" w:color="auto" w:fill="FFFFFF"/>
        </w:rPr>
        <w:t>哈恩</w:t>
      </w:r>
      <w:r w:rsidRPr="00A358D5">
        <w:rPr>
          <w:rFonts w:ascii="微软雅黑" w:eastAsia="微软雅黑" w:hAnsi="微软雅黑" w:cs="Arial"/>
          <w:shd w:val="clear" w:color="auto" w:fill="FFFFFF"/>
        </w:rPr>
        <w:t>（</w:t>
      </w:r>
      <w:proofErr w:type="spellStart"/>
      <w:r w:rsidRPr="00A358D5">
        <w:rPr>
          <w:rFonts w:ascii="微软雅黑" w:eastAsia="微软雅黑" w:hAnsi="微软雅黑" w:cs="Arial"/>
          <w:b/>
          <w:bCs/>
          <w:shd w:val="clear" w:color="auto" w:fill="FFFFFF"/>
        </w:rPr>
        <w:t>Jaén</w:t>
      </w:r>
      <w:proofErr w:type="spellEnd"/>
      <w:r w:rsidRPr="00A358D5">
        <w:rPr>
          <w:rFonts w:ascii="微软雅黑" w:eastAsia="微软雅黑" w:hAnsi="微软雅黑" w:cs="Arial"/>
          <w:shd w:val="clear" w:color="auto" w:fill="FFFFFF"/>
        </w:rPr>
        <w:t>）是位于</w:t>
      </w:r>
      <w:r w:rsidRPr="00A358D5">
        <w:rPr>
          <w:rFonts w:ascii="微软雅黑" w:eastAsia="微软雅黑" w:hAnsi="微软雅黑" w:cs="Arial"/>
          <w:shd w:val="clear" w:color="auto" w:fill="FFFFFF"/>
        </w:rPr>
        <w:t>西班牙</w:t>
      </w:r>
      <w:r w:rsidRPr="00A358D5">
        <w:rPr>
          <w:rFonts w:ascii="微软雅黑" w:eastAsia="微软雅黑" w:hAnsi="微软雅黑" w:cs="Arial"/>
          <w:shd w:val="clear" w:color="auto" w:fill="FFFFFF"/>
        </w:rPr>
        <w:t>中南部的城市。哈恩是</w:t>
      </w:r>
      <w:r w:rsidRPr="00A358D5">
        <w:rPr>
          <w:rFonts w:ascii="微软雅黑" w:eastAsia="微软雅黑" w:hAnsi="微软雅黑" w:cs="Arial"/>
          <w:shd w:val="clear" w:color="auto" w:fill="FFFFFF"/>
        </w:rPr>
        <w:t>安达卢西亚自治区哈恩省</w:t>
      </w:r>
      <w:r w:rsidRPr="00A358D5">
        <w:rPr>
          <w:rFonts w:ascii="微软雅黑" w:eastAsia="微软雅黑" w:hAnsi="微软雅黑" w:cs="Arial"/>
          <w:shd w:val="clear" w:color="auto" w:fill="FFFFFF"/>
        </w:rPr>
        <w:t>的省会。2006年，哈恩有人口约117,540人，约占全省人口的六分之一。是省内重要的工业都市。哈恩有“橄榄油之都”之称。</w:t>
      </w:r>
    </w:p>
    <w:p w:rsidR="00A17EFE" w:rsidRPr="00A358D5" w:rsidRDefault="00A358D5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 w:hint="eastAsia"/>
        </w:rPr>
      </w:pPr>
      <w:r w:rsidRPr="00A358D5">
        <w:rPr>
          <w:rFonts w:ascii="微软雅黑" w:eastAsia="微软雅黑" w:hAnsi="微软雅黑" w:cs="Arial"/>
        </w:rPr>
        <w:t>首府哈恩。莫雷纳山脉盘亘北境；南有帕拉潘达、卢塞纳和卡索拉等山脉；东有塞格马等山脉；西部为平原，有瓜达尔基维尔河谷地，建有多处灌溉水坝和水电站。有汽车、农机、化工等工业。盛产油橄榄、葡萄等。开采铅、铁</w:t>
      </w:r>
      <w:r w:rsidRPr="00A358D5">
        <w:rPr>
          <w:rFonts w:ascii="微软雅黑" w:eastAsia="微软雅黑" w:hAnsi="微软雅黑" w:cs="Arial"/>
        </w:rPr>
        <w:t>、铜、盐、铀矿。西班牙南部城市，哈恩省首府。在哈瓦莱乌斯山北侧</w:t>
      </w:r>
      <w:r w:rsidRPr="00A358D5">
        <w:rPr>
          <w:rFonts w:ascii="微软雅黑" w:eastAsia="微软雅黑" w:hAnsi="微软雅黑" w:cs="Arial"/>
        </w:rPr>
        <w:t>。罗马和摩尔人统治时期，经济已颇繁荣。1246年属卡斯蒂利亚王国。有汽车、农机、橄榄油、化工、陶瓷、冶金等工业。古迹有十二世纪的阿拉伯清真寺和1540年的天主教堂</w:t>
      </w:r>
      <w:r w:rsidRPr="00A358D5">
        <w:rPr>
          <w:rFonts w:ascii="微软雅黑" w:eastAsia="微软雅黑" w:hAnsi="微软雅黑" w:cs="宋体" w:hint="eastAsia"/>
        </w:rPr>
        <w:t>。</w:t>
      </w:r>
    </w:p>
    <w:p w:rsidR="00A17EFE" w:rsidRPr="003F20FB" w:rsidRDefault="00A17EFE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</w:rPr>
      </w:pPr>
    </w:p>
    <w:p w:rsidR="00D21500" w:rsidRPr="003F20FB" w:rsidRDefault="00D21500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</w:rPr>
      </w:pPr>
      <w:r w:rsidRPr="003F20FB">
        <w:rPr>
          <w:rFonts w:ascii="微软雅黑" w:eastAsia="微软雅黑" w:hAnsi="微软雅黑" w:cs="宋体"/>
        </w:rPr>
        <w:t>本科专业</w:t>
      </w:r>
      <w:r w:rsidRPr="003F20FB">
        <w:rPr>
          <w:rFonts w:ascii="微软雅黑" w:eastAsia="微软雅黑" w:hAnsi="微软雅黑" w:cs="宋体" w:hint="eastAsia"/>
        </w:rPr>
        <w:t>：</w:t>
      </w:r>
    </w:p>
    <w:p w:rsidR="00D21500" w:rsidRPr="003F20FB" w:rsidRDefault="00D21500" w:rsidP="003F20FB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</w:rPr>
      </w:pPr>
      <w:r w:rsidRPr="003F20FB">
        <w:rPr>
          <w:rFonts w:ascii="微软雅黑" w:eastAsia="微软雅黑" w:hAnsi="微软雅黑" w:cs="宋体" w:hint="eastAsia"/>
        </w:rPr>
        <w:lastRenderedPageBreak/>
        <w:t>工商管理和法律学位双学位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行政与管理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考古学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生物学</w:t>
      </w:r>
      <w:r w:rsidR="003F20FB">
        <w:rPr>
          <w:rFonts w:ascii="微软雅黑" w:eastAsia="微软雅黑" w:hAnsi="微软雅黑" w:cs="Arial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环境科学</w:t>
      </w:r>
      <w:r w:rsidR="003F20FB">
        <w:rPr>
          <w:rFonts w:ascii="微软雅黑" w:eastAsia="微软雅黑" w:hAnsi="微软雅黑" w:cs="Arial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法律</w:t>
      </w:r>
      <w:r w:rsidR="003F20FB">
        <w:rPr>
          <w:rFonts w:ascii="微软雅黑" w:eastAsia="微软雅黑" w:hAnsi="微软雅黑" w:cs="微软雅黑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幼儿教育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小学教育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社会教育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护理学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统计与企业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英语学习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语言学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财会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理疗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地理和历史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公共行政与管理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艺术史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土木工程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工业工程组织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能源资源工程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宋体" w:hint="eastAsia"/>
        </w:rPr>
        <w:t>电信工程技术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宋体" w:hint="eastAsia"/>
        </w:rPr>
        <w:t>矿业工程技术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宋体" w:hint="eastAsia"/>
        </w:rPr>
        <w:t>电气工程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工业电子工程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地理信息与测绘工程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计算机工程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机械工程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工业工程化学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远程信息处理工程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心理学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微软雅黑" w:hint="eastAsia"/>
        </w:rPr>
        <w:t>化学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宋体" w:hint="eastAsia"/>
        </w:rPr>
        <w:t>劳资关系与人力资源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宋体" w:hint="eastAsia"/>
        </w:rPr>
        <w:t>社会工作</w:t>
      </w:r>
      <w:r w:rsidR="003F20FB">
        <w:rPr>
          <w:rFonts w:ascii="微软雅黑" w:eastAsia="微软雅黑" w:hAnsi="微软雅黑" w:cs="宋体" w:hint="eastAsia"/>
        </w:rPr>
        <w:t>、</w:t>
      </w:r>
      <w:r w:rsidRPr="003F20FB">
        <w:rPr>
          <w:rFonts w:ascii="微软雅黑" w:eastAsia="微软雅黑" w:hAnsi="微软雅黑" w:cs="宋体" w:hint="eastAsia"/>
        </w:rPr>
        <w:t>旅游</w:t>
      </w:r>
    </w:p>
    <w:p w:rsidR="00D21500" w:rsidRPr="003F20FB" w:rsidRDefault="00D21500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</w:rPr>
      </w:pPr>
    </w:p>
    <w:p w:rsidR="00D21500" w:rsidRPr="003F20FB" w:rsidRDefault="00D21500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</w:rPr>
      </w:pPr>
      <w:r w:rsidRPr="003F20FB">
        <w:rPr>
          <w:rFonts w:ascii="微软雅黑" w:eastAsia="微软雅黑" w:hAnsi="微软雅黑" w:cs="宋体"/>
        </w:rPr>
        <w:t>官方研究生专业</w:t>
      </w:r>
      <w:r w:rsidRPr="003F20FB">
        <w:rPr>
          <w:rFonts w:ascii="微软雅黑" w:eastAsia="微软雅黑" w:hAnsi="微软雅黑" w:cs="宋体" w:hint="eastAsia"/>
        </w:rPr>
        <w:t>：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435"/>
        <w:gridCol w:w="1440"/>
        <w:gridCol w:w="1350"/>
        <w:gridCol w:w="1440"/>
        <w:gridCol w:w="1440"/>
        <w:gridCol w:w="1530"/>
      </w:tblGrid>
      <w:tr w:rsidR="003F20FB" w:rsidRPr="003F20FB" w:rsidTr="003F20FB"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 w:hint="eastAsia"/>
              </w:rPr>
              <w:t>艺术与人文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 w:hint="eastAsia"/>
              </w:rPr>
              <w:t>科学</w:t>
            </w: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 w:hint="eastAsia"/>
              </w:rPr>
              <w:t>健康科学</w:t>
            </w:r>
          </w:p>
        </w:tc>
        <w:tc>
          <w:tcPr>
            <w:tcW w:w="2880" w:type="dxa"/>
            <w:gridSpan w:val="2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宋体" w:hint="eastAsia"/>
              </w:rPr>
            </w:pPr>
            <w:r w:rsidRPr="003F20FB">
              <w:rPr>
                <w:rFonts w:ascii="微软雅黑" w:eastAsia="微软雅黑" w:hAnsi="微软雅黑" w:cs="Arial" w:hint="eastAsia"/>
              </w:rPr>
              <w:t>社会科学及法律</w:t>
            </w:r>
          </w:p>
        </w:tc>
        <w:tc>
          <w:tcPr>
            <w:tcW w:w="1530" w:type="dxa"/>
          </w:tcPr>
          <w:p w:rsidR="003F20FB" w:rsidRPr="003F20FB" w:rsidRDefault="003F20FB" w:rsidP="003F20FB">
            <w:pPr>
              <w:spacing w:line="360" w:lineRule="atLeast"/>
              <w:ind w:left="-57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宋体" w:hint="eastAsia"/>
              </w:rPr>
              <w:t>工程与建筑</w:t>
            </w:r>
          </w:p>
        </w:tc>
      </w:tr>
      <w:tr w:rsidR="003F20FB" w:rsidRPr="003F20FB" w:rsidTr="003F20FB">
        <w:trPr>
          <w:trHeight w:val="1430"/>
        </w:trPr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高级研究文化遗产：历史，艺术和地域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分析，管理和物理环境恢复</w:t>
            </w: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 w:hint="eastAsia"/>
              </w:rPr>
              <w:t>高级食品安全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市场营销和消费者行为（校际）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宋体" w:hint="eastAsia"/>
              </w:rPr>
            </w:pPr>
            <w:r w:rsidRPr="003F20FB">
              <w:rPr>
                <w:rFonts w:ascii="微软雅黑" w:eastAsia="微软雅黑" w:hAnsi="微软雅黑" w:cs="Arial" w:hint="eastAsia"/>
              </w:rPr>
              <w:t>律师</w:t>
            </w:r>
          </w:p>
        </w:tc>
        <w:tc>
          <w:tcPr>
            <w:tcW w:w="153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宋体" w:hint="eastAsia"/>
              </w:rPr>
              <w:t>可再生能源</w:t>
            </w:r>
          </w:p>
        </w:tc>
      </w:tr>
      <w:tr w:rsidR="003F20FB" w:rsidRPr="003F20FB" w:rsidTr="003F20FB"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西班牙语语言文学的研究与专业应用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生物技术和生物医学</w:t>
            </w: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重症监护护理，急救和应急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工商管理硕士（</w:t>
            </w:r>
            <w:r w:rsidRPr="003F20FB">
              <w:rPr>
                <w:rFonts w:ascii="微软雅黑" w:eastAsia="微软雅黑" w:hAnsi="微软雅黑" w:cs="Arial" w:hint="eastAsia"/>
              </w:rPr>
              <w:t>MBA</w:t>
            </w:r>
            <w:r w:rsidRPr="003F20FB">
              <w:rPr>
                <w:rFonts w:ascii="微软雅黑" w:eastAsia="微软雅黑" w:hAnsi="微软雅黑" w:cs="微软雅黑" w:hint="eastAsia"/>
              </w:rPr>
              <w:t>）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微软雅黑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社会保障</w:t>
            </w:r>
          </w:p>
        </w:tc>
        <w:tc>
          <w:tcPr>
            <w:tcW w:w="153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卫星大地测量与地球物理工程和应用地质学</w:t>
            </w:r>
          </w:p>
        </w:tc>
      </w:tr>
      <w:tr w:rsidR="003F20FB" w:rsidRPr="003F20FB" w:rsidTr="003F20FB"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西班牙语作为一门外语</w:t>
            </w:r>
            <w:r w:rsidRPr="003F20FB">
              <w:rPr>
                <w:rFonts w:ascii="微软雅黑" w:eastAsia="微软雅黑" w:hAnsi="微软雅黑" w:cs="微软雅黑" w:hint="eastAsia"/>
              </w:rPr>
              <w:t>应用语言学教学</w:t>
            </w:r>
          </w:p>
        </w:tc>
        <w:tc>
          <w:tcPr>
            <w:tcW w:w="1440" w:type="dxa"/>
          </w:tcPr>
          <w:p w:rsidR="003F20FB" w:rsidRPr="003F20FB" w:rsidRDefault="003F20FB" w:rsidP="00624ED5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自然环境中</w:t>
            </w:r>
            <w:r w:rsidRPr="003F20FB">
              <w:rPr>
                <w:rFonts w:ascii="微软雅黑" w:eastAsia="微软雅黑" w:hAnsi="微软雅黑" w:cs="微软雅黑" w:hint="eastAsia"/>
              </w:rPr>
              <w:t>生物资源管理</w:t>
            </w: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老年医学：长寿，健康和质量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性别不平等和综合干预家庭暴力的批判性分析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宋体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中高等教育，职业培训和语言教学教师</w:t>
            </w:r>
          </w:p>
        </w:tc>
        <w:tc>
          <w:tcPr>
            <w:tcW w:w="153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宋体" w:hint="eastAsia"/>
              </w:rPr>
              <w:t>材料工程与可持续建设</w:t>
            </w:r>
          </w:p>
        </w:tc>
      </w:tr>
      <w:tr w:rsidR="003F20FB" w:rsidRPr="003F20FB" w:rsidTr="003F20FB"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橄榄和橄榄油</w:t>
            </w: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宋体" w:hint="eastAsia"/>
              </w:rPr>
              <w:t>动物辅助介入治疗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宋体" w:hint="eastAsia"/>
              </w:rPr>
              <w:t>依赖与平等的个人自主权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积极心理学</w:t>
            </w:r>
          </w:p>
        </w:tc>
        <w:tc>
          <w:tcPr>
            <w:tcW w:w="153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 w:hint="eastAsia"/>
              </w:rPr>
              <w:t>电信工程</w:t>
            </w:r>
          </w:p>
        </w:tc>
      </w:tr>
      <w:tr w:rsidR="003F20FB" w:rsidRPr="003F20FB" w:rsidTr="003F20FB"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 w:hint="eastAsia"/>
              </w:rPr>
              <w:t>化工（学校交流项目）</w:t>
            </w: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研究健康科学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管理，管理与企业家精神卫生中心及服务合作伙伴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职业健康和安全</w:t>
            </w:r>
          </w:p>
        </w:tc>
        <w:tc>
          <w:tcPr>
            <w:tcW w:w="153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/>
              </w:rPr>
              <w:t>陆路交通工程与物</w:t>
            </w:r>
            <w:r w:rsidRPr="003F20FB">
              <w:rPr>
                <w:rFonts w:ascii="微软雅黑" w:eastAsia="微软雅黑" w:hAnsi="微软雅黑" w:cs="宋体" w:hint="eastAsia"/>
              </w:rPr>
              <w:t>流</w:t>
            </w:r>
          </w:p>
        </w:tc>
      </w:tr>
      <w:tr w:rsidR="003F20FB" w:rsidRPr="003F20FB" w:rsidTr="003F20FB"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一般健康心理学（学校交流）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经济与国土开发（校际）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/>
              </w:rPr>
            </w:pPr>
          </w:p>
        </w:tc>
        <w:tc>
          <w:tcPr>
            <w:tcW w:w="153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/>
              </w:rPr>
              <w:t>工业工</w:t>
            </w:r>
            <w:r w:rsidRPr="003F20FB">
              <w:rPr>
                <w:rFonts w:ascii="微软雅黑" w:eastAsia="微软雅黑" w:hAnsi="微软雅黑" w:cs="宋体" w:hint="eastAsia"/>
              </w:rPr>
              <w:t>程</w:t>
            </w:r>
          </w:p>
        </w:tc>
      </w:tr>
      <w:tr w:rsidR="003F20FB" w:rsidRPr="003F20FB" w:rsidTr="003F20FB"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旅游目的地可持续战略管理（校际）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/>
              </w:rPr>
            </w:pPr>
          </w:p>
        </w:tc>
        <w:tc>
          <w:tcPr>
            <w:tcW w:w="153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/>
              </w:rPr>
              <w:t>计算机工</w:t>
            </w:r>
            <w:r w:rsidRPr="003F20FB">
              <w:rPr>
                <w:rFonts w:ascii="微软雅黑" w:eastAsia="微软雅黑" w:hAnsi="微软雅黑" w:cs="宋体" w:hint="eastAsia"/>
              </w:rPr>
              <w:t>程</w:t>
            </w:r>
          </w:p>
        </w:tc>
      </w:tr>
      <w:tr w:rsidR="003F20FB" w:rsidRPr="003F20FB" w:rsidTr="003F20FB"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微软雅黑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体力活动和健康的科学研究与教学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/>
              </w:rPr>
            </w:pPr>
          </w:p>
        </w:tc>
        <w:tc>
          <w:tcPr>
            <w:tcW w:w="153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/>
              </w:rPr>
              <w:t>建筑和工业可持续发展和能源效</w:t>
            </w:r>
            <w:r w:rsidRPr="003F20FB">
              <w:rPr>
                <w:rFonts w:ascii="微软雅黑" w:eastAsia="微软雅黑" w:hAnsi="微软雅黑" w:cs="宋体" w:hint="eastAsia"/>
              </w:rPr>
              <w:t>率</w:t>
            </w:r>
          </w:p>
        </w:tc>
      </w:tr>
      <w:tr w:rsidR="003F20FB" w:rsidRPr="003F20FB" w:rsidTr="003F20FB"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微软雅黑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研究与审美教育：艺术，音乐和设计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/>
              </w:rPr>
            </w:pPr>
          </w:p>
        </w:tc>
        <w:tc>
          <w:tcPr>
            <w:tcW w:w="153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/>
              </w:rPr>
              <w:t>太阳能光</w:t>
            </w:r>
            <w:r w:rsidRPr="003F20FB">
              <w:rPr>
                <w:rFonts w:ascii="微软雅黑" w:eastAsia="微软雅黑" w:hAnsi="微软雅黑" w:cs="宋体" w:hint="eastAsia"/>
              </w:rPr>
              <w:t>伏</w:t>
            </w:r>
            <w:r w:rsidRPr="003F20FB">
              <w:rPr>
                <w:rFonts w:ascii="微软雅黑" w:eastAsia="微软雅黑" w:hAnsi="微软雅黑" w:cs="Arial"/>
              </w:rPr>
              <w:t>技术系统</w:t>
            </w:r>
          </w:p>
        </w:tc>
      </w:tr>
      <w:tr w:rsidR="003F20FB" w:rsidRPr="003F20FB" w:rsidTr="003F20FB">
        <w:tc>
          <w:tcPr>
            <w:tcW w:w="1435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35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微软雅黑" w:hint="eastAsia"/>
              </w:rPr>
            </w:pPr>
            <w:r w:rsidRPr="003F20FB">
              <w:rPr>
                <w:rFonts w:ascii="微软雅黑" w:eastAsia="微软雅黑" w:hAnsi="微软雅黑" w:cs="微软雅黑" w:hint="eastAsia"/>
              </w:rPr>
              <w:t>刑事司法和监狱系统</w:t>
            </w:r>
          </w:p>
        </w:tc>
        <w:tc>
          <w:tcPr>
            <w:tcW w:w="144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/>
              </w:rPr>
            </w:pPr>
          </w:p>
        </w:tc>
        <w:tc>
          <w:tcPr>
            <w:tcW w:w="1530" w:type="dxa"/>
          </w:tcPr>
          <w:p w:rsidR="003F20FB" w:rsidRPr="003F20FB" w:rsidRDefault="003F20FB" w:rsidP="00D21500">
            <w:pPr>
              <w:spacing w:line="360" w:lineRule="atLeast"/>
              <w:rPr>
                <w:rFonts w:ascii="微软雅黑" w:eastAsia="微软雅黑" w:hAnsi="微软雅黑" w:cs="Arial" w:hint="eastAsia"/>
              </w:rPr>
            </w:pPr>
            <w:r w:rsidRPr="003F20FB">
              <w:rPr>
                <w:rFonts w:ascii="微软雅黑" w:eastAsia="微软雅黑" w:hAnsi="微软雅黑" w:cs="Arial"/>
              </w:rPr>
              <w:t>智能土地管理地理空间技</w:t>
            </w:r>
            <w:r w:rsidRPr="003F20FB">
              <w:rPr>
                <w:rFonts w:ascii="微软雅黑" w:eastAsia="微软雅黑" w:hAnsi="微软雅黑" w:cs="宋体" w:hint="eastAsia"/>
              </w:rPr>
              <w:t>术</w:t>
            </w:r>
          </w:p>
        </w:tc>
      </w:tr>
    </w:tbl>
    <w:p w:rsidR="00D21500" w:rsidRPr="00D21500" w:rsidRDefault="00D21500" w:rsidP="00D21500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Arial" w:hint="eastAsia"/>
        </w:rPr>
      </w:pPr>
    </w:p>
    <w:p w:rsidR="00ED264B" w:rsidRDefault="00ED264B">
      <w:pPr>
        <w:rPr>
          <w:rFonts w:ascii="微软雅黑" w:eastAsia="微软雅黑" w:hAnsi="微软雅黑"/>
        </w:rPr>
      </w:pPr>
    </w:p>
    <w:p w:rsidR="00272681" w:rsidRDefault="00272681">
      <w:pPr>
        <w:rPr>
          <w:noProof/>
        </w:rPr>
      </w:pPr>
    </w:p>
    <w:p w:rsidR="00A17EFE" w:rsidRDefault="0027268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486400" cy="3371850"/>
            <wp:effectExtent l="0" t="0" r="0" b="0"/>
            <wp:docPr id="1" name="Picture 1" descr="http://image.liuxue360.com/2016/03/30/20160330213829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liuxue360.com/2016/03/30/201603302138297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" b="7860"/>
                    <a:stretch/>
                  </pic:blipFill>
                  <pic:spPr bwMode="auto">
                    <a:xfrm>
                      <a:off x="0" y="0"/>
                      <a:ext cx="5486461" cy="337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681" w:rsidRDefault="00272681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" name="Picture 2" descr="http://1.bp.blogspot.com/-BWVtA4i8yj0/VWXCC9CxQqI/AAAAAAAAox0/sKotOoUmqcU/s1600/DSCN8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BWVtA4i8yj0/VWXCC9CxQqI/AAAAAAAAox0/sKotOoUmqcU/s1600/DSCN86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681" w:rsidRDefault="00272681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4067175" cy="6096000"/>
            <wp:effectExtent l="0" t="0" r="9525" b="0"/>
            <wp:docPr id="3" name="Picture 3" descr="http://p.meizivip.com/141018/eb5ecf9ff2cc7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meizivip.com/141018/eb5ecf9ff2cc7f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681" w:rsidRDefault="00272681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486400" cy="3639312"/>
            <wp:effectExtent l="0" t="0" r="0" b="0"/>
            <wp:docPr id="4" name="Picture 4" descr="http://www.worldwayhk.com/KindEditor/attached/image/20160510/20160510131950_0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orldwayhk.com/KindEditor/attached/image/20160510/20160510131950_07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681" w:rsidRPr="003F20FB" w:rsidRDefault="00272681">
      <w:pPr>
        <w:rPr>
          <w:rFonts w:ascii="微软雅黑" w:eastAsia="微软雅黑" w:hAnsi="微软雅黑"/>
        </w:rPr>
      </w:pPr>
    </w:p>
    <w:sectPr w:rsidR="00272681" w:rsidRPr="003F2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24"/>
    <w:rsid w:val="00024471"/>
    <w:rsid w:val="00035C5C"/>
    <w:rsid w:val="000575A6"/>
    <w:rsid w:val="000877A6"/>
    <w:rsid w:val="00155726"/>
    <w:rsid w:val="00272681"/>
    <w:rsid w:val="002804E9"/>
    <w:rsid w:val="002A46FA"/>
    <w:rsid w:val="002C0B8B"/>
    <w:rsid w:val="002E0A31"/>
    <w:rsid w:val="002E15F6"/>
    <w:rsid w:val="00345896"/>
    <w:rsid w:val="00346F27"/>
    <w:rsid w:val="00350A73"/>
    <w:rsid w:val="003A431A"/>
    <w:rsid w:val="003F20FB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24ED5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447A6"/>
    <w:rsid w:val="009A0783"/>
    <w:rsid w:val="009A0990"/>
    <w:rsid w:val="009B2DC6"/>
    <w:rsid w:val="009F7C51"/>
    <w:rsid w:val="00A17EFE"/>
    <w:rsid w:val="00A347A1"/>
    <w:rsid w:val="00A358D5"/>
    <w:rsid w:val="00B1619C"/>
    <w:rsid w:val="00B31E7F"/>
    <w:rsid w:val="00B37F31"/>
    <w:rsid w:val="00B766A3"/>
    <w:rsid w:val="00B81F7B"/>
    <w:rsid w:val="00BF5924"/>
    <w:rsid w:val="00C462D0"/>
    <w:rsid w:val="00C55BA6"/>
    <w:rsid w:val="00C667CC"/>
    <w:rsid w:val="00C92BA7"/>
    <w:rsid w:val="00CE77C2"/>
    <w:rsid w:val="00D21500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C019-D45B-4B98-89AE-96EBDACF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1500"/>
  </w:style>
  <w:style w:type="character" w:styleId="Hyperlink">
    <w:name w:val="Hyperlink"/>
    <w:basedOn w:val="DefaultParagraphFont"/>
    <w:uiPriority w:val="99"/>
    <w:semiHidden/>
    <w:unhideWhenUsed/>
    <w:rsid w:val="00D21500"/>
    <w:rPr>
      <w:color w:val="0000FF"/>
      <w:u w:val="single"/>
    </w:rPr>
  </w:style>
  <w:style w:type="table" w:styleId="TableGrid">
    <w:name w:val="Table Grid"/>
    <w:basedOn w:val="TableNormal"/>
    <w:uiPriority w:val="39"/>
    <w:rsid w:val="00D21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4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5</cp:revision>
  <dcterms:created xsi:type="dcterms:W3CDTF">2016-07-29T07:38:00Z</dcterms:created>
  <dcterms:modified xsi:type="dcterms:W3CDTF">2016-07-29T08:17:00Z</dcterms:modified>
</cp:coreProperties>
</file>