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rPr>
        <w:t xml:space="preserve">VC-funded care enablement has hit its logical conclusion</w:t>
      </w:r>
    </w:p>
    <w:p>
      <w:pPr>
        <w:spacing w:after="160" w:line="276"/>
      </w:pPr>
      <w:r>
        <w:rPr>
          <w:rFonts w:ascii="Georgia" w:cs="Georgia" w:eastAsia="Georgia" w:hAnsi="Georgia"/>
          <w:i/>
          <w:iCs/>
          <w:sz w:val="22"/>
          <w:szCs w:val="22"/>
        </w:rPr>
        <w:t xml:space="preserve">Why removing friction in multi-stakeholder markets does not create durable value, and what behavioral health is teaching us about it in 2026.</w:t>
      </w:r>
    </w:p>
    <w:p>
      <w:pPr>
        <w:spacing w:after="160" w:line="276"/>
      </w:pPr>
      <w:r>
        <w:rPr>
          <w:rFonts w:ascii="Georgia" w:cs="Georgia" w:eastAsia="Georgia" w:hAnsi="Georgia"/>
          <w:i w:val="false"/>
          <w:iCs w:val="false"/>
          <w:sz w:val="22"/>
          <w:szCs w:val="22"/>
        </w:rPr>
        <w:t xml:space="preserve">Eight years ago I cannonballed into healthcare under the false assumption that US healthcare was missing the one lesson I had learned in digital media: eliminate friction.</w:t>
      </w:r>
    </w:p>
    <w:p>
      <w:pPr>
        <w:spacing w:after="160" w:line="276"/>
      </w:pPr>
      <w:r>
        <w:rPr>
          <w:rFonts w:ascii="Georgia" w:cs="Georgia" w:eastAsia="Georgia" w:hAnsi="Georgia"/>
          <w:i w:val="false"/>
          <w:iCs w:val="false"/>
          <w:sz w:val="22"/>
          <w:szCs w:val="22"/>
        </w:rPr>
        <w:t xml:space="preserve">My first startup, Kalamos Care, set out to make HIV-prevention medication (PrEP, and a few related modalities) easier to get. The premise felt obviously good. The medication worked, the people who needed it faced a gauntlet of appointments and stigma and paperwork, and if we stripped that friction away, more of them would get protected. We never found much velocity, and Kalamos didn’t make it.</w:t>
      </w:r>
    </w:p>
    <w:p>
      <w:pPr>
        <w:spacing w:after="160" w:line="276"/>
      </w:pPr>
      <w:r>
        <w:rPr>
          <w:rFonts w:ascii="Georgia" w:cs="Georgia" w:eastAsia="Georgia" w:hAnsi="Georgia"/>
          <w:i w:val="false"/>
          <w:iCs w:val="false"/>
          <w:sz w:val="22"/>
          <w:szCs w:val="22"/>
        </w:rPr>
        <w:t xml:space="preserve">The failure ran deeper than execution. The premise itself was broken. We built everything around one party’s experience, the patient’s, and assumed that making things easier for only that party created value.</w:t>
      </w:r>
    </w:p>
    <w:p>
      <w:pPr>
        <w:spacing w:after="160" w:line="276"/>
      </w:pPr>
      <w:r>
        <w:rPr>
          <w:rFonts w:ascii="Georgia" w:cs="Georgia" w:eastAsia="Georgia" w:hAnsi="Georgia"/>
          <w:i w:val="false"/>
          <w:iCs w:val="false"/>
          <w:sz w:val="22"/>
          <w:szCs w:val="22"/>
        </w:rPr>
        <w:t xml:space="preserve">Before starting Kalamos, I was the general manager of Moviefone. Yes, that Moviefone. We sold ad space to movie studios and tickets to moviegoers. It was a pretty simple value chain, and any friction led to less time on page, fewer ads, fewer purchases.</w:t>
      </w:r>
    </w:p>
    <w:p>
      <w:pPr>
        <w:spacing w:after="160" w:line="276"/>
      </w:pPr>
      <w:r>
        <w:rPr>
          <w:rFonts w:ascii="Georgia" w:cs="Georgia" w:eastAsia="Georgia" w:hAnsi="Georgia"/>
          <w:i w:val="false"/>
          <w:iCs w:val="false"/>
          <w:sz w:val="22"/>
          <w:szCs w:val="22"/>
        </w:rPr>
        <w:t xml:space="preserve">As a newcomer to healthcare, the economics looked pretty straightforward too. I saw ads for Roman on the subway every day. How hard could it be? See the doctor, pay the copay, get the meds, done.</w:t>
      </w:r>
    </w:p>
    <w:p>
      <w:pPr>
        <w:spacing w:after="160" w:line="276"/>
      </w:pPr>
      <w:r>
        <w:rPr>
          <w:rFonts w:ascii="Georgia" w:cs="Georgia" w:eastAsia="Georgia" w:hAnsi="Georgia"/>
          <w:i w:val="false"/>
          <w:iCs w:val="false"/>
          <w:sz w:val="22"/>
          <w:szCs w:val="22"/>
        </w:rPr>
        <w:t xml:space="preserve">I know now that the copay is not the price. It’s the last step in a purchase the patient never sees.</w:t>
      </w:r>
    </w:p>
    <w:p>
      <w:pPr>
        <w:spacing w:after="60" w:line="276"/>
        <w:ind w:left="360"/>
      </w:pPr>
      <w:r>
        <w:rPr>
          <w:rFonts w:ascii="Georgia" w:cs="Georgia" w:eastAsia="Georgia" w:hAnsi="Georgia"/>
          <w:sz w:val="22"/>
          <w:szCs w:val="22"/>
        </w:rPr>
        <w:t xml:space="preserve">An employer chose a plan.</w:t>
      </w:r>
    </w:p>
    <w:p>
      <w:pPr>
        <w:spacing w:after="60" w:line="276"/>
        <w:ind w:left="360"/>
      </w:pPr>
      <w:r>
        <w:rPr>
          <w:rFonts w:ascii="Georgia" w:cs="Georgia" w:eastAsia="Georgia" w:hAnsi="Georgia"/>
          <w:sz w:val="22"/>
          <w:szCs w:val="22"/>
        </w:rPr>
        <w:t xml:space="preserve">The plan negotiated a network.</w:t>
      </w:r>
    </w:p>
    <w:p>
      <w:pPr>
        <w:spacing w:after="60" w:line="276"/>
        <w:ind w:left="360"/>
      </w:pPr>
      <w:r>
        <w:rPr>
          <w:rFonts w:ascii="Georgia" w:cs="Georgia" w:eastAsia="Georgia" w:hAnsi="Georgia"/>
          <w:sz w:val="22"/>
          <w:szCs w:val="22"/>
        </w:rPr>
        <w:t xml:space="preserve">The network credentialed the provider.</w:t>
      </w:r>
    </w:p>
    <w:p>
      <w:pPr>
        <w:spacing w:after="60" w:line="276"/>
        <w:ind w:left="360"/>
      </w:pPr>
      <w:r>
        <w:rPr>
          <w:rFonts w:ascii="Georgia" w:cs="Georgia" w:eastAsia="Georgia" w:hAnsi="Georgia"/>
          <w:sz w:val="22"/>
          <w:szCs w:val="22"/>
        </w:rPr>
        <w:t xml:space="preserve">A claims system decided what the visit was worth.</w:t>
      </w:r>
    </w:p>
    <w:p>
      <w:pPr>
        <w:spacing w:after="60" w:line="276"/>
        <w:ind w:left="360"/>
      </w:pPr>
      <w:r>
        <w:rPr>
          <w:rFonts w:ascii="Georgia" w:cs="Georgia" w:eastAsia="Georgia" w:hAnsi="Georgia"/>
          <w:sz w:val="22"/>
          <w:szCs w:val="22"/>
        </w:rPr>
        <w:t xml:space="preserve">The provider charged the patient a copay.</w:t>
      </w:r>
    </w:p>
    <w:p>
      <w:pPr>
        <w:spacing w:after="160" w:line="276"/>
      </w:pPr>
      <w:r>
        <w:rPr>
          <w:rFonts w:ascii="Georgia" w:cs="Georgia" w:eastAsia="Georgia" w:hAnsi="Georgia"/>
          <w:i w:val="false"/>
          <w:iCs w:val="false"/>
          <w:sz w:val="22"/>
          <w:szCs w:val="22"/>
        </w:rPr>
        <w:t xml:space="preserve">Every annoying step in that chain, from the credentialing queue to the referral to the prior auth, exists because someone put it there on purpose, whether it was to control cost, screen quality, or manage risk.</w:t>
      </w:r>
    </w:p>
    <w:p>
      <w:pPr>
        <w:spacing w:after="160" w:line="276"/>
      </w:pPr>
      <w:r>
        <w:rPr>
          <w:rFonts w:ascii="Georgia" w:cs="Georgia" w:eastAsia="Georgia" w:hAnsi="Georgia"/>
          <w:i w:val="false"/>
          <w:iCs w:val="false"/>
          <w:sz w:val="22"/>
          <w:szCs w:val="22"/>
        </w:rPr>
        <w:t xml:space="preserve">Simple purchases treat friction as waste. In complex purchases, friction is usually a stand-in for trust. Take that credentialing queue. Before a payer adds a clinician to its network, it verifies her licenses, training, and malpractice history, then routes the file through a committee. It’s not uncommon for the process to take 90 to 120 days, per insurer, each with its own paperwork. Nobody designed that out of love for paperwork. It’s how a payer decides to trust a clinician it will never meet. When you remove friction in complex systems like healthcare, you are pulling out a proxy for trust. Unless you replace it with something, the other party is left holding a relationship with a hole in it.</w:t>
      </w:r>
    </w:p>
    <w:p>
      <w:pPr>
        <w:spacing w:after="160" w:line="276"/>
      </w:pPr>
      <w:r>
        <w:rPr>
          <w:rFonts w:ascii="Georgia" w:cs="Georgia" w:eastAsia="Georgia" w:hAnsi="Georgia"/>
          <w:i w:val="false"/>
          <w:iCs w:val="false"/>
          <w:sz w:val="22"/>
          <w:szCs w:val="22"/>
        </w:rPr>
        <w:t xml:space="preserve">“Payer” looks like one customer and is really many different businesses.</w:t>
      </w:r>
    </w:p>
    <w:p>
      <w:pPr>
        <w:spacing w:after="60" w:line="276"/>
        <w:ind w:left="360"/>
      </w:pPr>
      <w:r>
        <w:rPr>
          <w:rFonts w:ascii="Georgia" w:cs="Georgia" w:eastAsia="Georgia" w:hAnsi="Georgia"/>
          <w:sz w:val="22"/>
          <w:szCs w:val="22"/>
        </w:rPr>
        <w:t xml:space="preserve">A commercial plan running a self-funded employer’s benefit is managing that employer’s costs.</w:t>
      </w:r>
    </w:p>
    <w:p>
      <w:pPr>
        <w:spacing w:after="60" w:line="276"/>
        <w:ind w:left="360"/>
      </w:pPr>
      <w:r>
        <w:rPr>
          <w:rFonts w:ascii="Georgia" w:cs="Georgia" w:eastAsia="Georgia" w:hAnsi="Georgia"/>
          <w:sz w:val="22"/>
          <w:szCs w:val="22"/>
        </w:rPr>
        <w:t xml:space="preserve">A Medicaid managed-care plan is managing to a fixed per-member budget it won in a state bid.</w:t>
      </w:r>
    </w:p>
    <w:p>
      <w:pPr>
        <w:spacing w:after="60" w:line="276"/>
        <w:ind w:left="360"/>
      </w:pPr>
      <w:r>
        <w:rPr>
          <w:rFonts w:ascii="Georgia" w:cs="Georgia" w:eastAsia="Georgia" w:hAnsi="Georgia"/>
          <w:sz w:val="22"/>
          <w:szCs w:val="22"/>
        </w:rPr>
        <w:t xml:space="preserve">A marketplace plan is managing a risk pool that turns over every January.</w:t>
      </w:r>
    </w:p>
    <w:p>
      <w:pPr>
        <w:spacing w:after="160" w:line="276"/>
      </w:pPr>
      <w:r>
        <w:rPr>
          <w:rFonts w:ascii="Georgia" w:cs="Georgia" w:eastAsia="Georgia" w:hAnsi="Georgia"/>
          <w:i w:val="false"/>
          <w:iCs w:val="false"/>
          <w:sz w:val="22"/>
          <w:szCs w:val="22"/>
        </w:rPr>
        <w:t xml:space="preserve">Different businesses, referred to with the same word.</w:t>
      </w:r>
    </w:p>
    <w:p>
      <w:pPr>
        <w:spacing w:after="160" w:line="276"/>
      </w:pPr>
      <w:r>
        <w:rPr>
          <w:rFonts w:ascii="Georgia" w:cs="Georgia" w:eastAsia="Georgia" w:hAnsi="Georgia"/>
          <w:i w:val="false"/>
          <w:iCs w:val="false"/>
          <w:sz w:val="22"/>
          <w:szCs w:val="22"/>
        </w:rPr>
        <w:t xml:space="preserve">The provider side fractures the same way. A health-system physician paid on productivity credits called RVUs, a clinician under a management company’s contract, and a cash-pay therapist have three different definitions of a good day. There is no move you can make for “the provider,” because there is no the provider.</w:t>
      </w:r>
    </w:p>
    <w:p>
      <w:pPr>
        <w:spacing w:after="160" w:line="276"/>
      </w:pPr>
      <w:r>
        <w:rPr>
          <w:rFonts w:ascii="Georgia" w:cs="Georgia" w:eastAsia="Georgia" w:hAnsi="Georgia"/>
          <w:i w:val="false"/>
          <w:iCs w:val="false"/>
          <w:sz w:val="22"/>
          <w:szCs w:val="22"/>
        </w:rPr>
        <w:t xml:space="preserve">At Kalamos, our initial target was clinics with long appointment wait times. “Your patients like this! Let me manage your easy patients so you can spend all your time with complex ones and make similar amounts of money” was not a particularly compelling pitch. So I turned to pharmacies. “We can increase your fill rate” was compelling, right up until Caremark, a pharmacy benefit manager, reclassified the drug and forced patients into its mail-delivery program.</w:t>
      </w:r>
    </w:p>
    <w:p>
      <w:pPr>
        <w:spacing w:after="160" w:line="276"/>
      </w:pPr>
      <w:r>
        <w:rPr>
          <w:rFonts w:ascii="Georgia" w:cs="Georgia" w:eastAsia="Georgia" w:hAnsi="Georgia"/>
          <w:i w:val="false"/>
          <w:iCs w:val="false"/>
          <w:sz w:val="22"/>
          <w:szCs w:val="22"/>
        </w:rPr>
        <w:t xml:space="preserve">By the time I tried to pivot to selling to the PBM itself (good luck, old me), I was losing steam and the pandemic hit. For as much as I learned, it was one too many pivots to survive. At every stop, the friction we removed for the patient never turned into sustainable value for the real buyer we needed. The lesson underneath took me years to name. Remove access barriers without offering the other parties anything in return, and they put up new walls.</w:t>
      </w:r>
    </w:p>
    <w:p>
      <w:pPr>
        <w:spacing w:after="160" w:line="276"/>
      </w:pPr>
      <w:r>
        <w:rPr>
          <w:rFonts w:ascii="Georgia" w:cs="Georgia" w:eastAsia="Georgia" w:hAnsi="Georgia"/>
          <w:i w:val="false"/>
          <w:iCs w:val="false"/>
          <w:sz w:val="22"/>
          <w:szCs w:val="22"/>
        </w:rPr>
        <w:t xml:space="preserve">Around the time I was trying to figure out HIV care, venture capital saw an opportunity to lower the barrier to care in another area. Behavioral health. The bet was the same one I’d made. Remove friction for therapists, and access for patients follows. Six years and more than a billion dollars later, that bet just started settling. Here is how the category got built, why it is breaking, and what the survivors are doing about it.</w:t>
      </w:r>
    </w:p>
    <w:p>
      <w:pPr>
        <w:pStyle w:val="Heading2"/>
      </w:pPr>
      <w:r>
        <w:rPr>
          <w:rFonts w:ascii="Georgia" w:cs="Georgia" w:eastAsia="Georgia" w:hAnsi="Georgia"/>
        </w:rPr>
        <w:t xml:space="preserve">How the channel got built</w:t>
      </w:r>
    </w:p>
    <w:p>
      <w:pPr>
        <w:spacing w:after="160" w:line="276"/>
      </w:pPr>
      <w:r>
        <w:rPr>
          <w:rFonts w:ascii="Georgia" w:cs="Georgia" w:eastAsia="Georgia" w:hAnsi="Georgia"/>
          <w:i w:val="false"/>
          <w:iCs w:val="false"/>
          <w:sz w:val="22"/>
          <w:szCs w:val="22"/>
        </w:rPr>
        <w:t xml:space="preserve">To see why the behavioral health enablement platforms are breaking in 2026, you have to see what they were actually selling, and why it seemed like a good investment in 2019.</w:t>
      </w:r>
    </w:p>
    <w:p>
      <w:pPr>
        <w:spacing w:after="160" w:line="276"/>
      </w:pPr>
      <w:r>
        <w:rPr>
          <w:rFonts w:ascii="Georgia" w:cs="Georgia" w:eastAsia="Georgia" w:hAnsi="Georgia"/>
          <w:i w:val="false"/>
          <w:iCs w:val="false"/>
          <w:sz w:val="22"/>
          <w:szCs w:val="22"/>
        </w:rPr>
        <w:t xml:space="preserve">Start with the shortage. Demand for therapy has outrun the supply of therapists for years, and the gap was worst exactly where most patients look, inside their insurance network. The mismatch wasn’t an accident of workforce planning. It came from the economics of being a behavioral health provider.</w:t>
      </w:r>
    </w:p>
    <w:p>
      <w:pPr>
        <w:spacing w:after="160" w:line="276"/>
      </w:pPr>
      <w:r>
        <w:rPr>
          <w:rFonts w:ascii="Georgia" w:cs="Georgia" w:eastAsia="Georgia" w:hAnsi="Georgia"/>
          <w:i w:val="false"/>
          <w:iCs w:val="false"/>
          <w:sz w:val="22"/>
          <w:szCs w:val="22"/>
        </w:rPr>
        <w:t xml:space="preserve">It typically costs a couple thousand dollars per insurance carrier per year to be “in network.” For a primary care provider seeing thousands of unique patients a year, that’s an absorbable tax. For provider types that see far fewer patients, like a therapist, it becomes unbearable, particularly when they can get paid more in cash than what they’d get reimbursed.</w:t>
      </w:r>
    </w:p>
    <w:p>
      <w:pPr>
        <w:spacing w:after="160" w:line="276"/>
      </w:pPr>
      <w:r>
        <w:rPr>
          <w:rFonts w:ascii="Georgia" w:cs="Georgia" w:eastAsia="Georgia" w:hAnsi="Georgia"/>
          <w:i w:val="false"/>
          <w:iCs w:val="false"/>
          <w:sz w:val="22"/>
          <w:szCs w:val="22"/>
        </w:rPr>
        <w:t xml:space="preserve">The choice by small therapy practices to not take insurance is entirely rational. That meant the supply of in-network therapists stayed thin, and the patients who needed in-network care couldn’t find them.</w:t>
      </w:r>
    </w:p>
    <w:p>
      <w:pPr>
        <w:spacing w:after="160" w:line="276"/>
      </w:pPr>
      <w:r>
        <w:rPr>
          <w:rFonts w:ascii="Georgia" w:cs="Georgia" w:eastAsia="Georgia" w:hAnsi="Georgia"/>
          <w:i w:val="false"/>
          <w:iCs w:val="false"/>
          <w:sz w:val="22"/>
          <w:szCs w:val="22"/>
        </w:rPr>
        <w:t xml:space="preserve">Payers, meanwhile, had a problem that looked like the opposite and was really the same one: ghost networks. Their mental-health directories were full of providers who’d moved, retired, stopped taking the plan, or simply never answered. When the No Surprises Act took effect in 2022, it required directories to be accurate and updated every 90 days, and in May 2023 a Senate Finance Committee secret-shopper study [LINK] made the scale impossible to ignore. Staff calling 120 listed mental-health providers across a dozen plans could book an appointment 18% of the time. Under parity rules (the laws requiring mental health coverage to match medical coverage), a network that exists on paper but not in practice is a compliance exposure. Payers needed real, reachable, in-network supply.</w:t>
      </w:r>
    </w:p>
    <w:p>
      <w:pPr>
        <w:spacing w:after="160" w:line="276"/>
      </w:pPr>
      <w:r>
        <w:rPr>
          <w:rFonts w:ascii="Georgia" w:cs="Georgia" w:eastAsia="Georgia" w:hAnsi="Georgia"/>
          <w:i w:val="false"/>
          <w:iCs w:val="false"/>
          <w:sz w:val="22"/>
          <w:szCs w:val="22"/>
        </w:rPr>
        <w:t xml:space="preserve">What happened next was a perfect storm. Payers needed supply badly enough to drop their guard, and technology arrived holding the key to the locked door.</w:t>
      </w:r>
    </w:p>
    <w:p>
      <w:pPr>
        <w:spacing w:after="160" w:line="276"/>
      </w:pPr>
      <w:r>
        <w:rPr>
          <w:rFonts w:ascii="Georgia" w:cs="Georgia" w:eastAsia="Georgia" w:hAnsi="Georgia"/>
          <w:i w:val="false"/>
          <w:iCs w:val="false"/>
          <w:sz w:val="22"/>
          <w:szCs w:val="22"/>
        </w:rPr>
        <w:t xml:space="preserve">Delegated credentialing.</w:t>
      </w:r>
    </w:p>
    <w:p>
      <w:pPr>
        <w:spacing w:after="160" w:line="276"/>
      </w:pPr>
      <w:r>
        <w:rPr>
          <w:rFonts w:ascii="Georgia" w:cs="Georgia" w:eastAsia="Georgia" w:hAnsi="Georgia"/>
          <w:i w:val="false"/>
          <w:iCs w:val="false"/>
          <w:sz w:val="22"/>
          <w:szCs w:val="22"/>
        </w:rPr>
        <w:t xml:space="preserve">Normally each payer runs its own verification on each provider before adding them to the network, which is where the 90 to 120 days goes. Under a delegated arrangement, the payer hands that verification to a trusted entity and audits it periodically instead of doing it provider-by-provider. Companies like Alma credentialed therapists itself, under its own group contract and NPI (the National Provider Identifier, the ID payers use to track who they are paying), and a new therapist was in-network in about 30 days instead of four months, for free. The friction wasn’t reduced so much as absorbed and amortized across thousands of providers. And it wasn’t just Alma. The same entrepreneurial therapist could list on marketplaces like Grow, Headway, and Rula at the same time, because at first nothing stopped her. For an individual provider, the marginal cost of joining insurance fell toward zero.</w:t>
      </w:r>
    </w:p>
    <w:p>
      <w:pPr>
        <w:spacing w:after="160" w:line="276"/>
      </w:pPr>
      <w:r>
        <w:rPr>
          <w:rFonts w:ascii="Georgia" w:cs="Georgia" w:eastAsia="Georgia" w:hAnsi="Georgia"/>
          <w:i w:val="false"/>
          <w:iCs w:val="false"/>
          <w:sz w:val="22"/>
          <w:szCs w:val="22"/>
        </w:rPr>
        <w:t xml:space="preserve">When the cost of entering the insurance market collapsed, the supply that cost had been holding back flooded in. Headway built a network of 34,000 in-network providers. Grow built 23,000. Alma built 26,000. Tens of thousands of therapists for whom insurance had simply been uneconomical were suddenly inside commercial networks.</w:t>
      </w:r>
    </w:p>
    <w:p>
      <w:pPr>
        <w:spacing w:after="160" w:line="276"/>
      </w:pPr>
      <w:r>
        <w:rPr>
          <w:rFonts w:ascii="Georgia" w:cs="Georgia" w:eastAsia="Georgia" w:hAnsi="Georgia"/>
          <w:i w:val="false"/>
          <w:iCs w:val="false"/>
          <w:sz w:val="22"/>
          <w:szCs w:val="22"/>
        </w:rPr>
        <w:t xml:space="preserve">Now the platforms could pitch payers exactly what they needed. Replace your ghost network with our providers. Credentialed, active, and available from the comfort of your members’ couches.</w:t>
      </w:r>
    </w:p>
    <w:p>
      <w:pPr>
        <w:spacing w:after="160" w:line="276"/>
      </w:pPr>
      <w:r>
        <w:rPr>
          <w:rFonts w:ascii="Georgia" w:cs="Georgia" w:eastAsia="Georgia" w:hAnsi="Georgia"/>
          <w:i w:val="false"/>
          <w:iCs w:val="false"/>
          <w:sz w:val="22"/>
          <w:szCs w:val="22"/>
        </w:rPr>
        <w:t xml:space="preserve">What happens when the supply’s cost constraint eases? Say it with me, people. Jevons’ Paradox.</w:t>
      </w:r>
    </w:p>
    <w:p>
      <w:pPr>
        <w:spacing w:after="160" w:line="276"/>
      </w:pPr>
      <w:r>
        <w:rPr>
          <w:rFonts w:ascii="Georgia" w:cs="Georgia" w:eastAsia="Georgia" w:hAnsi="Georgia"/>
          <w:i w:val="false"/>
          <w:iCs w:val="false"/>
          <w:sz w:val="22"/>
          <w:szCs w:val="22"/>
        </w:rPr>
        <w:t xml:space="preserve">In 1865, William Stanley Jevons noticed that when James Watt’s improved steam engine doubled the work a ton of coal could do, Britain burned more coal, not less. Make a resource cheaper to use and total consumption goes up, not down.</w:t>
      </w:r>
    </w:p>
    <w:p>
      <w:pPr>
        <w:spacing w:after="160" w:line="276"/>
      </w:pPr>
      <w:r>
        <w:rPr>
          <w:rFonts w:ascii="Georgia" w:cs="Georgia" w:eastAsia="Georgia" w:hAnsi="Georgia"/>
          <w:i w:val="false"/>
          <w:iCs w:val="false"/>
          <w:sz w:val="22"/>
          <w:szCs w:val="22"/>
        </w:rPr>
        <w:t xml:space="preserve">Insurance-covered therapy got dramatically cheaper and easier to supply and to book, and the volume of reimbursed sessions exploded. Grow alone facilitated seven million visits in 2025. Payer spend on behavioral health got bigger, not more efficient.</w:t>
      </w:r>
    </w:p>
    <w:p>
      <w:pPr>
        <w:spacing w:after="160" w:line="276"/>
      </w:pPr>
      <w:r>
        <w:rPr>
          <w:rFonts w:ascii="Georgia" w:cs="Georgia" w:eastAsia="Georgia" w:hAnsi="Georgia"/>
          <w:i w:val="false"/>
          <w:iCs w:val="false"/>
          <w:sz w:val="22"/>
          <w:szCs w:val="22"/>
        </w:rPr>
        <w:t xml:space="preserve">This part is worth sitting with. The platform’s product was the removal of a credentialing production cost. Rather than creating an asset, many of these networks acted as marketplaces, or channels. They stood between a fragmented supply of providers and patients who wanted to use the coverage they were already paying for, with payers holding the budget in the middle, and their margin was a take-rate on the friction they had just eliminated. It’s the same shape I traced in my piece on the collapse of cold email. A channel whose entire value is the friction it stands on has its fate decided by how easily that friction can be automated away.</w:t>
      </w:r>
    </w:p>
    <w:p>
      <w:pPr>
        <w:spacing w:after="160" w:line="276"/>
      </w:pPr>
      <w:r>
        <w:rPr>
          <w:rFonts w:ascii="Georgia" w:cs="Georgia" w:eastAsia="Georgia" w:hAnsi="Georgia"/>
          <w:i w:val="false"/>
          <w:iCs w:val="false"/>
          <w:sz w:val="22"/>
          <w:szCs w:val="22"/>
        </w:rPr>
        <w:t xml:space="preserve">To a venture investor in 2019, I’m sure it looked even better than that. It looked like a network SaaS play. High gross margins, network effects, a take-rate that compounds with volume, a market the size of American mental health. And the funding model made the underlying problem worse. Venture math needs quick, huge wins, and trust is tough to build quickly. Every dollar spent proving outcomes to a payer is a dollar not spent flooding the channel, so the capital optimized for the flood.</w:t>
      </w:r>
    </w:p>
    <w:p>
      <w:pPr>
        <w:spacing w:after="160" w:line="276"/>
      </w:pPr>
      <w:r>
        <w:rPr>
          <w:rFonts w:ascii="Georgia" w:cs="Georgia" w:eastAsia="Georgia" w:hAnsi="Georgia"/>
          <w:i w:val="false"/>
          <w:iCs w:val="false"/>
          <w:sz w:val="22"/>
          <w:szCs w:val="22"/>
        </w:rPr>
        <w:t xml:space="preserve">Meanwhile, the same trait that makes a channel cheap to build makes it cheap to copy. Delegated credentialing was an operational playbook, not a moat, so the money ran in. Alma raised more than $220 million, with a 2022 Series D backed by, of all people, the venture arms of Cigna and Optum. Headway raised around $325 million and was valued at $2.3 billion by 2024. Grow raised $328 million, crossed $1 billion in revenue, and hit a $3 billion valuation in early 2026. Rula has pulled in more than $250 million. Well over a billion dollars of venture capital chased a dozen near-identical generalist marketplaces. Each investor made an individually rational bet on a proven model. Collectively, they funded a stampede into one channel.</w:t>
      </w:r>
    </w:p>
    <w:p>
      <w:pPr>
        <w:spacing w:after="160" w:line="276"/>
      </w:pPr>
      <w:r>
        <w:rPr>
          <w:rFonts w:ascii="Georgia" w:cs="Georgia" w:eastAsia="Georgia" w:hAnsi="Georgia"/>
          <w:i w:val="false"/>
          <w:iCs w:val="false"/>
          <w:sz w:val="22"/>
          <w:szCs w:val="22"/>
        </w:rPr>
        <w:t xml:space="preserve">SonderMind, one of the earliest entrants, hit unicorn status back in 2021 and previewed the ending for everyone else, cutting 15% of its workforce in late 2022 as payer leverage hardened and growth stalled.</w:t>
      </w:r>
    </w:p>
    <w:p>
      <w:pPr>
        <w:spacing w:after="160" w:line="276"/>
      </w:pPr>
      <w:r>
        <w:rPr>
          <w:rFonts w:ascii="Georgia" w:cs="Georgia" w:eastAsia="Georgia" w:hAnsi="Georgia"/>
          <w:i w:val="false"/>
          <w:iCs w:val="false"/>
          <w:sz w:val="22"/>
          <w:szCs w:val="22"/>
        </w:rPr>
        <w:t xml:space="preserve">But pooling tens of thousands of providers under a single group NPI erased something the payer needed even more than reachability. Evidence that the new spend was buying anything. A payer that watches its behavioral health line grow needs to see the offset somewhere else in the book, like fewer ER visits or a lower total cost of care, and it needs to know which providers are producing it. The same mechanism that let payers solve their supply problem, delegated credentialing, obfuscated whether that value was being created.</w:t>
      </w:r>
    </w:p>
    <w:p>
      <w:pPr>
        <w:spacing w:after="160" w:line="276"/>
      </w:pPr>
      <w:r>
        <w:rPr>
          <w:rFonts w:ascii="Georgia" w:cs="Georgia" w:eastAsia="Georgia" w:hAnsi="Georgia"/>
          <w:i w:val="false"/>
          <w:iCs w:val="false"/>
          <w:sz w:val="22"/>
          <w:szCs w:val="22"/>
        </w:rPr>
        <w:t xml:space="preserve">Credentialing was the trust proxy. Crude, slow, and hated, but it was how a payer decided which clinicians to pay. Many platforms gamed it and replaced it with nothing.</w:t>
      </w:r>
    </w:p>
    <w:p>
      <w:pPr>
        <w:spacing w:after="160" w:line="276"/>
      </w:pPr>
      <w:r>
        <w:rPr>
          <w:rFonts w:ascii="Georgia" w:cs="Georgia" w:eastAsia="Georgia" w:hAnsi="Georgia"/>
          <w:i w:val="false"/>
          <w:iCs w:val="false"/>
          <w:sz w:val="22"/>
          <w:szCs w:val="22"/>
        </w:rPr>
        <w:t xml:space="preserve">SonderMind should have been the canary in the coalmine, but what followed was a tragedy of the commons. I’m no coal expert, but I feel confident saying there’s more variance between behavioral health specialists than between lumps of coal. That’s a problem for markets that experience their moment in Jevons’ sun, because more valuable assets want to be paid more, and if they can’t they are going to leave the market. George Akerlof won a Nobel Prize for modeling this in “The Market for Lemons: Quality Uncertainty and the Market Mechanism.” His setup was used cars. Sellers know whether their car is a peach or a lemon. Buyers can’t tell the difference, so they price to the average. Sellers of peaches exit to seek premium prices elsewhere. The market spirals toward lemons.</w:t>
      </w:r>
    </w:p>
    <w:p>
      <w:pPr>
        <w:spacing w:after="120" w:before="120"/>
        <w:jc w:val="center"/>
      </w:pPr>
      <w:r>
        <w:drawing>
          <wp:inline distT="0" distB="0" distL="0" distR="0">
            <wp:extent cx="4381500" cy="2009775"/>
            <wp:effectExtent t="0" r="0" b="0" l="0"/>
            <wp:docPr id="1" name="meme" descr="Car salesman: this network can fit so much undifferentiated supply in it" title="slaps roof of car m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009775"/>
                    </a:xfrm>
                    <a:prstGeom prst="rect">
                      <a:avLst/>
                    </a:prstGeom>
                  </pic:spPr>
                </pic:pic>
              </a:graphicData>
            </a:graphic>
          </wp:inline>
        </w:drawing>
      </w:r>
    </w:p>
    <w:p>
      <w:pPr>
        <w:spacing w:after="200"/>
        <w:jc w:val="center"/>
      </w:pPr>
      <w:r>
        <w:rPr>
          <w:rFonts w:ascii="Georgia" w:cs="Georgia" w:eastAsia="Georgia" w:hAnsi="Georgia"/>
          <w:i/>
          <w:iCs/>
          <w:sz w:val="18"/>
          <w:szCs w:val="18"/>
        </w:rPr>
        <w:t xml:space="preserve">“slaps roof of car” meme. Car salesman: “this network can fit so much undifferentiated supply in it”</w:t>
      </w:r>
    </w:p>
    <w:p>
      <w:pPr>
        <w:spacing w:after="160" w:line="276"/>
      </w:pPr>
      <w:r>
        <w:rPr>
          <w:rFonts w:ascii="Georgia" w:cs="Georgia" w:eastAsia="Georgia" w:hAnsi="Georgia"/>
          <w:i w:val="false"/>
          <w:iCs w:val="false"/>
          <w:sz w:val="22"/>
          <w:szCs w:val="22"/>
        </w:rPr>
        <w:t xml:space="preserve">Extrapolate back to behavioral health. In Aetna’s claims data, every therapist under Alma’s group NPI looks identical. Aetna cannot tell whether a 60-minute session billed under CPT code 90837 was trauma-focused EMDR or 53 minutes of comfortable silence. It has no economic way to pay a peach more than a lemon. The theory says a rational buyer in that position flattens its prices to the average and lets the peaches walk. The platforms had traded a ghost-network problem for a lemon-network problem, and from there a correction wasn’t a risk. It was on a predictable schedule.</w:t>
      </w:r>
    </w:p>
    <w:p>
      <w:pPr>
        <w:pStyle w:val="Heading2"/>
      </w:pPr>
      <w:r>
        <w:rPr>
          <w:rFonts w:ascii="Georgia" w:cs="Georgia" w:eastAsia="Georgia" w:hAnsi="Georgia"/>
        </w:rPr>
        <w:t xml:space="preserve">The correction arrives on schedule</w:t>
      </w:r>
    </w:p>
    <w:p>
      <w:pPr>
        <w:spacing w:after="160" w:line="276"/>
      </w:pPr>
      <w:r>
        <w:rPr>
          <w:rFonts w:ascii="Georgia" w:cs="Georgia" w:eastAsia="Georgia" w:hAnsi="Georgia"/>
          <w:i w:val="false"/>
          <w:iCs w:val="false"/>
          <w:sz w:val="22"/>
          <w:szCs w:val="22"/>
        </w:rPr>
        <w:t xml:space="preserve">So why am I writing about behavioral health marketplaces right now?</w:t>
      </w:r>
    </w:p>
    <w:p>
      <w:pPr>
        <w:spacing w:after="160" w:line="276"/>
      </w:pPr>
      <w:r>
        <w:rPr>
          <w:rFonts w:ascii="Georgia" w:cs="Georgia" w:eastAsia="Georgia" w:hAnsi="Georgia"/>
          <w:i w:val="false"/>
          <w:iCs w:val="false"/>
          <w:sz w:val="22"/>
          <w:szCs w:val="22"/>
        </w:rPr>
        <w:t xml:space="preserve">A working market runs on information both sides can see. When both can price what is being traded, whether coal or movie tickets, the market clears. Behavioral health marketplaces gave payers liquidity without information: supply that is abundant, bookable, and indistinguishable. When you can’t tell a peach from a lemon, the only stable price is the average, and the only direction is down.</w:t>
      </w:r>
    </w:p>
    <w:p>
      <w:pPr>
        <w:spacing w:after="160" w:line="276"/>
      </w:pPr>
      <w:r>
        <w:rPr>
          <w:rFonts w:ascii="Georgia" w:cs="Georgia" w:eastAsia="Georgia" w:hAnsi="Georgia"/>
          <w:i w:val="false"/>
          <w:iCs w:val="false"/>
          <w:sz w:val="22"/>
          <w:szCs w:val="22"/>
        </w:rPr>
        <w:t xml:space="preserve">Akerlof’s end point has arrived.</w:t>
      </w:r>
    </w:p>
    <w:p>
      <w:pPr>
        <w:pStyle w:val="Heading3"/>
      </w:pPr>
      <w:r>
        <w:rPr>
          <w:rFonts w:ascii="Georgia" w:cs="Georgia" w:eastAsia="Georgia" w:hAnsi="Georgia"/>
        </w:rPr>
        <w:t xml:space="preserve">Aetna flattens the psychotherapy rate</w:t>
      </w:r>
    </w:p>
    <w:p>
      <w:pPr>
        <w:spacing w:after="160" w:line="276"/>
      </w:pPr>
      <w:r>
        <w:rPr>
          <w:rFonts w:ascii="Georgia" w:cs="Georgia" w:eastAsia="Georgia" w:hAnsi="Georgia"/>
          <w:i w:val="false"/>
          <w:iCs w:val="false"/>
          <w:sz w:val="22"/>
          <w:szCs w:val="22"/>
        </w:rPr>
        <w:t xml:space="preserve">Effective July 15, the 60-minute session and the 45-minute session reimburse at the same rate for all Alma-contracted therapists. The historical 15 to 25% premium for extended sessions is gone.</w:t>
      </w:r>
    </w:p>
    <w:p>
      <w:pPr>
        <w:spacing w:after="160" w:line="276"/>
      </w:pPr>
      <w:r>
        <w:rPr>
          <w:rFonts w:ascii="Georgia" w:cs="Georgia" w:eastAsia="Georgia" w:hAnsi="Georgia"/>
          <w:i w:val="false"/>
          <w:iCs w:val="false"/>
          <w:sz w:val="22"/>
          <w:szCs w:val="22"/>
        </w:rPr>
        <w:t xml:space="preserve">Look at the Aetna move closely, because it is the lemons mechanism running in public. Among commercial payers, Aetna’s psychotherapy reimbursement rates are the highest, and Alma had negotiated some of the highest platform rates in the market. Going forward, Aetna will reimburse a doctorate-level provider delivering a 60-minute visit the same as a masters-level provider delivering a 45-minute visit. That is about as clear a signal as you can get that Aetna can’t tell the difference.</w:t>
      </w:r>
    </w:p>
    <w:p>
      <w:pPr>
        <w:spacing w:after="160" w:line="276"/>
      </w:pPr>
      <w:r>
        <w:rPr>
          <w:rFonts w:ascii="Georgia" w:cs="Georgia" w:eastAsia="Georgia" w:hAnsi="Georgia"/>
          <w:i w:val="false"/>
          <w:iCs w:val="false"/>
          <w:sz w:val="22"/>
          <w:szCs w:val="22"/>
        </w:rPr>
        <w:t xml:space="preserve">Notice the scope. The cut applies to Alma-contracted therapists, not to Aetna’s entire book. Asked about the change, Aetna said its rate policies are “based on the level of care provided with an emphasis on shared and measured outcomes aided by technology, not how providers connect with members.” That sentence is the whole piece in payer-speak. Produce measured outcomes, or be priced as the average.</w:t>
      </w:r>
    </w:p>
    <w:p>
      <w:pPr>
        <w:pStyle w:val="Heading3"/>
      </w:pPr>
      <w:r>
        <w:rPr>
          <w:rFonts w:ascii="Georgia" w:cs="Georgia" w:eastAsia="Georgia" w:hAnsi="Georgia"/>
        </w:rPr>
        <w:t xml:space="preserve">Spring Health: had the trust, bought the supply</w:t>
      </w:r>
    </w:p>
    <w:p>
      <w:pPr>
        <w:spacing w:after="160" w:line="276"/>
      </w:pPr>
      <w:r>
        <w:rPr>
          <w:rFonts w:ascii="Georgia" w:cs="Georgia" w:eastAsia="Georgia" w:hAnsi="Georgia"/>
          <w:i w:val="false"/>
          <w:iCs w:val="false"/>
          <w:sz w:val="22"/>
          <w:szCs w:val="22"/>
        </w:rPr>
        <w:t xml:space="preserve">When Spring bought Alma, I wrote on LinkedIn [LINK] that it looked like a cheap recruiting asset to staff Spring’s growing share of the employer mental health market. The deeper logic is what Spring spent a decade building and the marketplaces skipped. Founded in 2016, Spring sold employers a measurement-based care model, published its outcomes in JAMA, and signed enterprise contracts that traded proven cost reduction for premium rates. By 2026 it held the one asset the category was starving for, a trust signal payers and employers accept, with no cheap way to add supply. Alma had the inverse: 26,000 clinicians and a payer flattening its rates. I don’t know the terms, but Spring went peach-picking before the orchard got chopped down.</w:t>
      </w:r>
    </w:p>
    <w:p>
      <w:pPr>
        <w:spacing w:after="160" w:line="276"/>
      </w:pPr>
      <w:r>
        <w:rPr>
          <w:rFonts w:ascii="Georgia" w:cs="Georgia" w:eastAsia="Georgia" w:hAnsi="Georgia"/>
          <w:i w:val="false"/>
          <w:iCs w:val="false"/>
          <w:sz w:val="22"/>
          <w:szCs w:val="22"/>
        </w:rPr>
        <w:t xml:space="preserve">Think CarMax buying a used-car dealership. CarMax’s edge was never the cars. It was the certification. Buyers trust the inspection enough to pay a premium, which lets CarMax buy undifferentiated inventory cheap, certify the good units, and capture the spread. Spring keeps the dealership running, moves the clinicians who fit its clinical model into its enterprise contracts, and lets the rest run at marketplace economics.</w:t>
      </w:r>
    </w:p>
    <w:p>
      <w:pPr>
        <w:pStyle w:val="Heading3"/>
      </w:pPr>
      <w:r>
        <w:rPr>
          <w:rFonts w:ascii="Georgia" w:cs="Georgia" w:eastAsia="Georgia" w:hAnsi="Georgia"/>
        </w:rPr>
        <w:t xml:space="preserve">Grow: the scramble to manufacture trust</w:t>
      </w:r>
    </w:p>
    <w:p>
      <w:pPr>
        <w:spacing w:after="160" w:line="276"/>
      </w:pPr>
      <w:r>
        <w:rPr>
          <w:rFonts w:ascii="Georgia" w:cs="Georgia" w:eastAsia="Georgia" w:hAnsi="Georgia"/>
          <w:i w:val="false"/>
          <w:iCs w:val="false"/>
          <w:sz w:val="22"/>
          <w:szCs w:val="22"/>
        </w:rPr>
        <w:t xml:space="preserve">In February, Grow acquired Tenor Therapy, an AI documentation tool. The stated reason was provider burnout. To me, the strategic reason looks like increasing asset specificity. Today the available provider pool is multi-homed. The same therapist lists on Grow, Headway, and Rula at once. Better documentation tooling might incentivize her to stay. It also gives Grow a lever to measure performance and police its network itself.</w:t>
      </w:r>
    </w:p>
    <w:p>
      <w:pPr>
        <w:spacing w:after="160" w:line="276"/>
      </w:pPr>
      <w:r>
        <w:rPr>
          <w:rFonts w:ascii="Georgia" w:cs="Georgia" w:eastAsia="Georgia" w:hAnsi="Georgia"/>
          <w:i w:val="false"/>
          <w:iCs w:val="false"/>
          <w:sz w:val="22"/>
          <w:szCs w:val="22"/>
        </w:rPr>
        <w:t xml:space="preserve">Grow has also recently started publishing outcome claims, with 80% of clients showing measurable symptom improvement within 30 days. A month after the Tenor deal, TCV and Goldman Sachs led a $150 million round at a $3 billion valuation, and the announcement barely mentions the marketplace. The market is pricing Grow’s escape from it. Rula is making the same move more quietly, building standardized assessments into its electronic health record before payers demand them. The platforms can see where the value moved.</w:t>
      </w:r>
    </w:p>
    <w:p>
      <w:pPr>
        <w:pStyle w:val="Heading2"/>
      </w:pPr>
      <w:r>
        <w:rPr>
          <w:rFonts w:ascii="Georgia" w:cs="Georgia" w:eastAsia="Georgia" w:hAnsi="Georgia"/>
        </w:rPr>
        <w:t xml:space="preserve">The access promise was hollow</w:t>
      </w:r>
    </w:p>
    <w:p>
      <w:pPr>
        <w:spacing w:after="160" w:line="276"/>
      </w:pPr>
      <w:r>
        <w:rPr>
          <w:rFonts w:ascii="Georgia" w:cs="Georgia" w:eastAsia="Georgia" w:hAnsi="Georgia"/>
          <w:i w:val="false"/>
          <w:iCs w:val="false"/>
          <w:sz w:val="22"/>
          <w:szCs w:val="22"/>
        </w:rPr>
        <w:t xml:space="preserve">Behavioral health enablement looked like a scale game. Pump venture money into removing therapist credentialing friction, own the supply, and patient access follows. That was the pitch, and in 2019, I thought the model was brilliant.</w:t>
      </w:r>
    </w:p>
    <w:p>
      <w:pPr>
        <w:spacing w:after="160" w:line="276"/>
      </w:pPr>
      <w:r>
        <w:rPr>
          <w:rFonts w:ascii="Georgia" w:cs="Georgia" w:eastAsia="Georgia" w:hAnsi="Georgia"/>
          <w:i w:val="false"/>
          <w:iCs w:val="false"/>
          <w:sz w:val="22"/>
          <w:szCs w:val="22"/>
        </w:rPr>
        <w:t xml:space="preserve">But remember Jevons. In a world of unconstrained demand, when the resource gets cheaper, consumption goes up, and someone absorbs the externalities. Britain got cheaper steam engines and a smokier sky. Payers got bigger networks and more billed sessions, with no evidence that anyone was getting better. The difference is that the smoke fell on a public that could do nothing about it. These externalities fell on payers, who can do plenty. They cut rates, tighten medical-necessity review, and find new ways to restrict credentialing. And when rates fall, the therapists who can fill a cash-pay panel at $200 an hour leave first, the network drifts toward lemons by selection, payer trust falls further, and rates follow it down.</w:t>
      </w:r>
    </w:p>
    <w:p>
      <w:pPr>
        <w:spacing w:after="160" w:line="276"/>
      </w:pPr>
      <w:r>
        <w:rPr>
          <w:rFonts w:ascii="Georgia" w:cs="Georgia" w:eastAsia="Georgia" w:hAnsi="Georgia"/>
          <w:i w:val="false"/>
          <w:iCs w:val="false"/>
          <w:sz w:val="22"/>
          <w:szCs w:val="22"/>
        </w:rPr>
        <w:t xml:space="preserve">Frictionless access to in-network supply is not the same as access to good care. The playbook produced the first and undermined the second. Supply was constrained because building trust was hard. Increase the supply without building the trust and there is only one way it ends.</w:t>
      </w:r>
    </w:p>
    <w:p>
      <w:pPr>
        <w:pStyle w:val="Heading2"/>
      </w:pPr>
      <w:r>
        <w:rPr>
          <w:rFonts w:ascii="Georgia" w:cs="Georgia" w:eastAsia="Georgia" w:hAnsi="Georgia"/>
        </w:rPr>
        <w:t xml:space="preserve">The principle that travels</w:t>
      </w:r>
    </w:p>
    <w:p>
      <w:pPr>
        <w:spacing w:after="160" w:line="276"/>
      </w:pPr>
      <w:r>
        <w:rPr>
          <w:rFonts w:ascii="Georgia" w:cs="Georgia" w:eastAsia="Georgia" w:hAnsi="Georgia"/>
          <w:i w:val="false"/>
          <w:iCs w:val="false"/>
          <w:sz w:val="22"/>
          <w:szCs w:val="22"/>
        </w:rPr>
        <w:t xml:space="preserve">Here is what I learned, slowly and at cost, since 2018.</w:t>
      </w:r>
    </w:p>
    <w:p>
      <w:pPr>
        <w:spacing w:after="160" w:line="276"/>
      </w:pPr>
      <w:r>
        <w:rPr>
          <w:rFonts w:ascii="Georgia" w:cs="Georgia" w:eastAsia="Georgia" w:hAnsi="Georgia"/>
          <w:i w:val="false"/>
          <w:iCs w:val="false"/>
          <w:sz w:val="22"/>
          <w:szCs w:val="22"/>
        </w:rPr>
        <w:t xml:space="preserve">At Moviefone, removing friction created value, because the person feeling the friction was the person paying. One party, one experience, one short line to revenue.</w:t>
      </w:r>
    </w:p>
    <w:p>
      <w:pPr>
        <w:spacing w:after="160" w:line="276"/>
      </w:pPr>
      <w:r>
        <w:rPr>
          <w:rFonts w:ascii="Georgia" w:cs="Georgia" w:eastAsia="Georgia" w:hAnsi="Georgia"/>
          <w:i w:val="false"/>
          <w:iCs w:val="false"/>
          <w:sz w:val="22"/>
          <w:szCs w:val="22"/>
        </w:rPr>
        <w:t xml:space="preserve">In multi-stakeholder markets, the friction is load-bearing. It is usually a crude, slow, infuriating stand-in for trust between parties who have not found a way to establish it otherwise. People who come from tech, like me, believe the answer is to remove as much friction as possible. That instinct makes the problem worse. Remove the proxy without building real trust and all you have created is a hole where trust used to be, and the bill for the hole goes to whichever party was leaning on the proxy you removed. In behavioral health that was the payer, and the bill moved upstream, therapist to platform to payer, until Aetna repriced it. Now it is moving back downstream as rate cuts, provider exits, and networks whose quality nobody can measure.</w:t>
      </w:r>
    </w:p>
    <w:p>
      <w:pPr>
        <w:spacing w:after="160" w:line="276"/>
      </w:pPr>
      <w:r>
        <w:rPr>
          <w:rFonts w:ascii="Georgia" w:cs="Georgia" w:eastAsia="Georgia" w:hAnsi="Georgia"/>
          <w:i w:val="false"/>
          <w:iCs w:val="false"/>
          <w:sz w:val="22"/>
          <w:szCs w:val="22"/>
        </w:rPr>
        <w:t xml:space="preserve">The pattern repeats across every survivor. Removing friction produced a temporary market change: a supply flood, a few years of growth, a category of unicorns. It did not produce a durable one, because durable position in a multi-stakeholder market is trust, and trust here has a specific currency, measured and published outcomes. Even that is only the entry ticket. The arrangement payers trust most is the full-risk contract, where a provider takes responsibility for a patient’s total cost of care and loses money if the outcomes don’t show up. Economists call this posting a hostage: you hand the other party something you forfeit if you defect. A JAMA study is evidence. A hostage is collateral. It is the one trust signal that cannot be faked, because faking it costs the faker. The companies that held that currency from the start are the buyers. The ones racing to mint it might make it. The ones that can’t are getting repriced, acquired, or wound down.</w:t>
      </w:r>
    </w:p>
    <w:p>
      <w:pPr>
        <w:spacing w:after="160" w:line="276"/>
      </w:pPr>
      <w:r>
        <w:rPr>
          <w:rFonts w:ascii="Georgia" w:cs="Georgia" w:eastAsia="Georgia" w:hAnsi="Georgia"/>
          <w:i w:val="false"/>
          <w:iCs w:val="false"/>
          <w:sz w:val="22"/>
          <w:szCs w:val="22"/>
        </w:rPr>
        <w:t xml:space="preserve">This is true for any business that makes a complex process easier without increasing trust, not just care enablement. And the counterparty will not sit still. When the payer plugs the hole with flat rates and tighter audits, the other side has started playing your game back at you, and every round of the cat-and-mouse destroys more of the trust the market runs on. You do not win that game by reacting faster. You end it by producing the thing trust can actually be built from. In behavioral health, the signal is unambiguous. Measured, published outcomes.</w:t>
      </w:r>
    </w:p>
    <w:p>
      <w:pPr>
        <w:spacing w:after="160" w:line="276"/>
      </w:pPr>
      <w:r>
        <w:rPr>
          <w:rFonts w:ascii="Georgia" w:cs="Georgia" w:eastAsia="Georgia" w:hAnsi="Georgia"/>
          <w:i w:val="false"/>
          <w:iCs w:val="false"/>
          <w:sz w:val="22"/>
          <w:szCs w:val="22"/>
        </w:rPr>
        <w:t xml:space="preserve">The tell was in the category’s name all along. “Enablement” promised friction removal, and friction removal without trust is erosion. The same test is coming for the word the rest of healthcare technology organizes itself around, interoperability, because the pipes are rarely the constraint. The willingness to share is, and willingness is a trust problem.</w:t>
      </w:r>
    </w:p>
    <w:p>
      <w:pPr>
        <w:spacing w:after="160" w:line="276"/>
      </w:pPr>
      <w:r>
        <w:rPr>
          <w:rFonts w:ascii="Georgia" w:cs="Georgia" w:eastAsia="Georgia" w:hAnsi="Georgia"/>
          <w:i w:val="false"/>
          <w:iCs w:val="false"/>
          <w:sz w:val="22"/>
          <w:szCs w:val="22"/>
        </w:rPr>
        <w:t xml:space="preserve">Eight years ago I built a company on the assumption that making things easier for one party created value. It does not. It moves value around, and the bill lands on whoever you were not looking at. So before you remove a step from someone else’s process, ask whose trust that step was carrying, and what you are handing them in its place. If the answer is nothing, you have already scheduled the correction.</w:t>
      </w:r>
    </w:p>
    <w:p>
      <w:pPr>
        <w:spacing w:after="160" w:line="276"/>
      </w:pPr>
      <w:r>
        <w:rPr>
          <w:rFonts w:ascii="Georgia" w:cs="Georgia" w:eastAsia="Georgia" w:hAnsi="Georgia"/>
          <w:i w:val="false"/>
          <w:iCs w:val="false"/>
          <w:sz w:val="22"/>
          <w:szCs w:val="22"/>
        </w:rPr>
        <w:t xml:space="preserve">Easy at scale is the wrong target. Trust at scale is what survives.</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140" w:before="320"/>
      <w:outlineLvl w:val="1"/>
    </w:pPr>
    <w:rPr>
      <w:rFonts w:ascii="Georgia" w:cs="Georgia" w:eastAsia="Georgia" w:hAnsi="Georgia"/>
      <w:b/>
      <w:bCs/>
      <w:color w:val="1A1A1A"/>
      <w:sz w:val="28"/>
      <w:szCs w:val="28"/>
    </w:rPr>
  </w:style>
  <w:style w:type="paragraph" w:styleId="Heading3">
    <w:name w:val="Heading 3"/>
    <w:basedOn w:val="Normal"/>
    <w:next w:val="Normal"/>
    <w:qFormat/>
    <w:pPr>
      <w:spacing w:after="120" w:before="240"/>
      <w:outlineLvl w:val="2"/>
    </w:pPr>
    <w:rPr>
      <w:rFonts w:ascii="Georgia" w:cs="Georgia" w:eastAsia="Georgia" w:hAnsi="Georgia"/>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cd65494c85e8e65f02e86ca5f0bde25b2d8d66a.gif"/><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2026-06-11T21:05:55.878Z</dcterms:created>
  <dcterms:modified xsi:type="dcterms:W3CDTF">2026-06-11T21:05:55.878Z</dcterms:modified>
</cp:coreProperties>
</file>

<file path=docProps/custom.xml><?xml version="1.0" encoding="utf-8"?>
<Properties xmlns="http://schemas.openxmlformats.org/officeDocument/2006/custom-properties" xmlns:vt="http://schemas.openxmlformats.org/officeDocument/2006/docPropsVTypes"/>
</file>