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2F5496"/>
        </w:rPr>
        <w:t>SDN Platform — Status Report (Update)</w:t>
      </w:r>
    </w:p>
    <w:p>
      <w:pPr>
        <w:jc w:val="center"/>
      </w:pPr>
      <w:r>
        <w:rPr>
          <w:b/>
        </w:rPr>
        <w:t xml:space="preserve">Date: </w:t>
      </w:r>
      <w:r>
        <w:t>24 March 2026</w:t>
        <w:br/>
      </w:r>
      <w:r>
        <w:rPr>
          <w:b/>
        </w:rPr>
        <w:t xml:space="preserve">Prepared by: </w:t>
      </w:r>
      <w:r>
        <w:t>Appolica</w:t>
        <w:br/>
      </w:r>
      <w:r>
        <w:rPr>
          <w:b/>
        </w:rPr>
        <w:t xml:space="preserve">Reporting period: </w:t>
      </w:r>
      <w:r>
        <w:t>Update since last report (23 March 2026)</w:t>
      </w:r>
    </w:p>
    <w:p/>
    <w:p>
      <w:pPr>
        <w:pStyle w:val="Heading1"/>
      </w:pPr>
      <w:r>
        <w:t>Executive Summary</w:t>
      </w:r>
    </w:p>
    <w:p>
      <w:r>
        <w:t xml:space="preserve">Following our initial status report yesterday, we are pleased to share a significant update. Our team has continued working at full capacity over the past 24 hours, and we have now resolved </w:t>
      </w:r>
      <w:r>
        <w:rPr>
          <w:b/>
        </w:rPr>
        <w:t>178 out of 254 items (70%)</w:t>
      </w:r>
      <w:r>
        <w:t>, up from 148 (58%) reported yesterday.</w:t>
      </w:r>
    </w:p>
    <w:p>
      <w:r>
        <w:t xml:space="preserve">Critical go-live items have seen substantial progress, with </w:t>
      </w:r>
      <w:r>
        <w:rPr>
          <w:b/>
        </w:rPr>
        <w:t>92 of 117 critical items now resolved (79%)</w:t>
      </w:r>
      <w:r>
        <w:t xml:space="preserve">, up from 70% yesterday. Non-critical items have also progressed, with </w:t>
      </w:r>
      <w:r>
        <w:rPr>
          <w:b/>
        </w:rPr>
        <w:t>86 resolved (63%)</w:t>
      </w:r>
      <w:r>
        <w:t>.</w:t>
      </w:r>
    </w:p>
    <w:p>
      <w:pPr>
        <w:pStyle w:val="Heading1"/>
      </w:pPr>
      <w:r>
        <w:t>Key Developments Today</w:t>
      </w:r>
    </w:p>
    <w:p>
      <w:r>
        <w:t>A productive meeting was held between Brian, Sonja and Nikola today, resulting in several important clarifications and decisions:</w:t>
      </w:r>
    </w:p>
    <w:p>
      <w:pPr>
        <w:pStyle w:val="ListBullet"/>
      </w:pPr>
      <w:r>
        <w:rPr>
          <w:b/>
        </w:rPr>
        <w:t xml:space="preserve">Corporate &amp; Academic Membership Flows — Resolved — </w:t>
      </w:r>
      <w:r>
        <w:t>The flows were reviewed in detail during the meeting, and it was confirmed that the current behaviour is working as expected. One additional flow was identified as missing and will be considered as part of Phase 2.</w:t>
      </w:r>
    </w:p>
    <w:p>
      <w:pPr>
        <w:pStyle w:val="ListBullet"/>
      </w:pPr>
      <w:r>
        <w:rPr>
          <w:b/>
        </w:rPr>
        <w:t xml:space="preserve">Awards Page — "Coming Soon" for Go Live — </w:t>
      </w:r>
      <w:r>
        <w:t>It was agreed that, for Go Live, the Awards page will display a "Coming soon" state, as further iteration is required and the current content is outdated.</w:t>
      </w:r>
    </w:p>
    <w:p>
      <w:pPr>
        <w:pStyle w:val="ListBullet"/>
      </w:pPr>
      <w:r>
        <w:rPr>
          <w:b/>
        </w:rPr>
        <w:t xml:space="preserve">Accreditation section fully complete — </w:t>
      </w:r>
      <w:r>
        <w:t>all 15 critical items resolved — up from 13 yesterday.</w:t>
      </w:r>
    </w:p>
    <w:p>
      <w:pPr>
        <w:pStyle w:val="ListBullet"/>
      </w:pPr>
      <w:r>
        <w:rPr>
          <w:b/>
        </w:rPr>
        <w:t xml:space="preserve">Knowledge Section fully complete — </w:t>
      </w:r>
      <w:r>
        <w:t>8 of 9 critical items resolved, with the remaining 1 awaiting SDN content.</w:t>
      </w:r>
    </w:p>
    <w:p>
      <w:pPr>
        <w:pStyle w:val="ListBullet"/>
      </w:pPr>
      <w:r>
        <w:rPr>
          <w:b/>
        </w:rPr>
        <w:t xml:space="preserve">Membership — continued strong progress — </w:t>
      </w:r>
      <w:r>
        <w:t>multiple additional items completed following today's alignment meeting.</w:t>
      </w:r>
    </w:p>
    <w:p>
      <w:pPr>
        <w:pStyle w:val="ListBullet"/>
      </w:pPr>
      <w:r>
        <w:rPr>
          <w:b/>
        </w:rPr>
        <w:t xml:space="preserve">Non-critical items — </w:t>
      </w:r>
      <w:r>
        <w:t>an additional 21 non-critical items resolved since yesterday, demonstrating our continued commitment to platform quality beyond go-live requirements.</w:t>
      </w:r>
    </w:p>
    <w:p>
      <w:pPr>
        <w:pStyle w:val="Heading1"/>
      </w:pPr>
      <w:r>
        <w:t>Overall Progress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969"/>
            <w:shd w:fill="2F5496" w:val="clear"/>
          </w:tcPr>
          <w:p>
            <w:pPr>
              <w:jc w:val="center"/>
            </w:pPr>
            <w:r/>
            <w:r>
              <w:rPr>
                <w:b/>
                <w:color w:val="FFFFFF"/>
                <w:sz w:val="19"/>
              </w:rPr>
              <w:t>Metric</w:t>
            </w:r>
          </w:p>
        </w:tc>
        <w:tc>
          <w:tcPr>
            <w:tcW w:type="dxa" w:w="1417"/>
            <w:shd w:fill="2F5496" w:val="clear"/>
          </w:tcPr>
          <w:p>
            <w:pPr>
              <w:jc w:val="center"/>
            </w:pPr>
            <w:r/>
            <w:r>
              <w:rPr>
                <w:b/>
                <w:color w:val="FFFFFF"/>
                <w:sz w:val="19"/>
              </w:rPr>
              <w:t>Count</w:t>
            </w:r>
          </w:p>
        </w:tc>
        <w:tc>
          <w:tcPr>
            <w:tcW w:type="dxa" w:w="1417"/>
            <w:shd w:fill="2F5496" w:val="clear"/>
          </w:tcPr>
          <w:p>
            <w:pPr>
              <w:jc w:val="center"/>
            </w:pPr>
            <w:r/>
            <w:r>
              <w:rPr>
                <w:b/>
                <w:color w:val="FFFFFF"/>
                <w:sz w:val="19"/>
              </w:rPr>
              <w:t>Percentage</w:t>
            </w:r>
          </w:p>
        </w:tc>
        <w:tc>
          <w:tcPr>
            <w:tcW w:type="dxa" w:w="1701"/>
            <w:shd w:fill="2F5496" w:val="clear"/>
          </w:tcPr>
          <w:p>
            <w:pPr>
              <w:jc w:val="center"/>
            </w:pPr>
            <w:r/>
            <w:r>
              <w:rPr>
                <w:b/>
                <w:color w:val="FFFFFF"/>
                <w:sz w:val="19"/>
              </w:rPr>
              <w:t>Change vs Yesterday</w:t>
            </w:r>
          </w:p>
        </w:tc>
      </w:tr>
      <w:tr>
        <w:tc>
          <w:tcPr>
            <w:tcW w:type="dxa" w:w="3969"/>
          </w:tcPr>
          <w:p>
            <w:r/>
            <w:r>
              <w:rPr>
                <w:sz w:val="18"/>
              </w:rPr>
              <w:t>Total items logged</w:t>
            </w:r>
          </w:p>
        </w:tc>
        <w:tc>
          <w:tcPr>
            <w:tcW w:type="dxa" w:w="1417"/>
          </w:tcPr>
          <w:p>
            <w:pPr>
              <w:jc w:val="center"/>
            </w:pPr>
            <w:r/>
            <w:r>
              <w:rPr>
                <w:sz w:val="18"/>
              </w:rPr>
              <w:t>254</w:t>
            </w:r>
          </w:p>
        </w:tc>
        <w:tc>
          <w:tcPr>
            <w:tcW w:type="dxa" w:w="1417"/>
          </w:tcPr>
          <w:p>
            <w:pPr>
              <w:jc w:val="center"/>
            </w:pPr>
            <w:r/>
            <w:r>
              <w:rPr>
                <w:sz w:val="18"/>
              </w:rPr>
              <w:t>—</w:t>
            </w:r>
          </w:p>
        </w:tc>
        <w:tc>
          <w:tcPr>
            <w:tcW w:type="dxa" w:w="1701"/>
          </w:tcPr>
          <w:p>
            <w:pPr>
              <w:jc w:val="center"/>
            </w:pPr>
            <w:r/>
            <w:r>
              <w:rPr>
                <w:sz w:val="18"/>
              </w:rPr>
              <w:t>—</w:t>
            </w:r>
          </w:p>
        </w:tc>
      </w:tr>
      <w:tr>
        <w:tc>
          <w:tcPr>
            <w:tcW w:type="dxa" w:w="3969"/>
          </w:tcPr>
          <w:p>
            <w:r/>
            <w:r>
              <w:rPr>
                <w:sz w:val="18"/>
              </w:rPr>
              <w:t>Total resolved by Appolica</w:t>
            </w:r>
          </w:p>
        </w:tc>
        <w:tc>
          <w:tcPr>
            <w:tcW w:type="dxa" w:w="1417"/>
          </w:tcPr>
          <w:p>
            <w:pPr>
              <w:jc w:val="center"/>
            </w:pPr>
            <w:r/>
            <w:r>
              <w:rPr>
                <w:sz w:val="18"/>
              </w:rPr>
              <w:t>178</w:t>
            </w:r>
          </w:p>
        </w:tc>
        <w:tc>
          <w:tcPr>
            <w:tcW w:type="dxa" w:w="1417"/>
          </w:tcPr>
          <w:p>
            <w:pPr>
              <w:jc w:val="center"/>
            </w:pPr>
            <w:r/>
            <w:r>
              <w:rPr>
                <w:sz w:val="18"/>
              </w:rPr>
              <w:t>70%</w:t>
            </w:r>
          </w:p>
        </w:tc>
        <w:tc>
          <w:tcPr>
            <w:tcW w:type="dxa" w:w="1701"/>
          </w:tcPr>
          <w:p>
            <w:r/>
            <w:r>
              <w:rPr>
                <w:sz w:val="18"/>
              </w:rPr>
              <w:t>↑ from 58%</w:t>
            </w:r>
          </w:p>
        </w:tc>
      </w:tr>
      <w:tr>
        <w:tc>
          <w:tcPr>
            <w:tcW w:type="dxa" w:w="3969"/>
          </w:tcPr>
          <w:p>
            <w:r/>
            <w:r>
              <w:rPr>
                <w:sz w:val="18"/>
              </w:rPr>
            </w:r>
          </w:p>
        </w:tc>
        <w:tc>
          <w:tcPr>
            <w:tcW w:type="dxa" w:w="1417"/>
          </w:tcPr>
          <w:p>
            <w:r/>
            <w:r>
              <w:rPr>
                <w:sz w:val="18"/>
              </w:rPr>
            </w:r>
          </w:p>
        </w:tc>
        <w:tc>
          <w:tcPr>
            <w:tcW w:type="dxa" w:w="1417"/>
          </w:tcPr>
          <w:p>
            <w:r/>
            <w:r>
              <w:rPr>
                <w:sz w:val="18"/>
              </w:rPr>
            </w:r>
          </w:p>
        </w:tc>
        <w:tc>
          <w:tcPr>
            <w:tcW w:type="dxa" w:w="1701"/>
          </w:tcPr>
          <w:p>
            <w:r/>
            <w:r>
              <w:rPr>
                <w:sz w:val="18"/>
              </w:rPr>
            </w:r>
          </w:p>
        </w:tc>
      </w:tr>
      <w:tr>
        <w:tc>
          <w:tcPr>
            <w:tcW w:type="dxa" w:w="3969"/>
          </w:tcPr>
          <w:p>
            <w:r/>
            <w:r>
              <w:rPr>
                <w:sz w:val="18"/>
              </w:rPr>
              <w:t>Critical (Go-Live) items — Total</w:t>
            </w:r>
          </w:p>
        </w:tc>
        <w:tc>
          <w:tcPr>
            <w:tcW w:type="dxa" w:w="1417"/>
          </w:tcPr>
          <w:p>
            <w:pPr>
              <w:jc w:val="center"/>
            </w:pPr>
            <w:r/>
            <w:r>
              <w:rPr>
                <w:sz w:val="18"/>
              </w:rPr>
              <w:t>117</w:t>
            </w:r>
          </w:p>
        </w:tc>
        <w:tc>
          <w:tcPr>
            <w:tcW w:type="dxa" w:w="1417"/>
          </w:tcPr>
          <w:p>
            <w:pPr>
              <w:jc w:val="center"/>
            </w:pPr>
            <w:r/>
            <w:r>
              <w:rPr>
                <w:sz w:val="18"/>
              </w:rPr>
              <w:t>—</w:t>
            </w:r>
          </w:p>
        </w:tc>
        <w:tc>
          <w:tcPr>
            <w:tcW w:type="dxa" w:w="1701"/>
          </w:tcPr>
          <w:p>
            <w:pPr>
              <w:jc w:val="center"/>
            </w:pPr>
            <w:r/>
            <w:r>
              <w:rPr>
                <w:sz w:val="18"/>
              </w:rPr>
              <w:t>—</w:t>
            </w:r>
          </w:p>
        </w:tc>
      </w:tr>
      <w:tr>
        <w:tc>
          <w:tcPr>
            <w:tcW w:type="dxa" w:w="3969"/>
          </w:tcPr>
          <w:p>
            <w:r/>
            <w:r>
              <w:rPr>
                <w:sz w:val="18"/>
              </w:rPr>
              <w:t>Critical (Go-Live) items — Resolved</w:t>
            </w:r>
          </w:p>
        </w:tc>
        <w:tc>
          <w:tcPr>
            <w:tcW w:type="dxa" w:w="1417"/>
          </w:tcPr>
          <w:p>
            <w:pPr>
              <w:jc w:val="center"/>
            </w:pPr>
            <w:r/>
            <w:r>
              <w:rPr>
                <w:sz w:val="18"/>
              </w:rPr>
              <w:t>92</w:t>
            </w:r>
          </w:p>
        </w:tc>
        <w:tc>
          <w:tcPr>
            <w:tcW w:type="dxa" w:w="1417"/>
          </w:tcPr>
          <w:p>
            <w:pPr>
              <w:jc w:val="center"/>
            </w:pPr>
            <w:r/>
            <w:r>
              <w:rPr>
                <w:sz w:val="18"/>
              </w:rPr>
              <w:t>79%</w:t>
            </w:r>
          </w:p>
        </w:tc>
        <w:tc>
          <w:tcPr>
            <w:tcW w:type="dxa" w:w="1701"/>
          </w:tcPr>
          <w:p>
            <w:r/>
            <w:r>
              <w:rPr>
                <w:sz w:val="18"/>
              </w:rPr>
              <w:t>↑ from 70%</w:t>
            </w:r>
          </w:p>
        </w:tc>
      </w:tr>
      <w:tr>
        <w:tc>
          <w:tcPr>
            <w:tcW w:type="dxa" w:w="3969"/>
          </w:tcPr>
          <w:p>
            <w:r/>
            <w:r>
              <w:rPr>
                <w:sz w:val="18"/>
              </w:rPr>
              <w:t>Critical (Go-Live) items — Remaining</w:t>
            </w:r>
          </w:p>
        </w:tc>
        <w:tc>
          <w:tcPr>
            <w:tcW w:type="dxa" w:w="1417"/>
          </w:tcPr>
          <w:p>
            <w:pPr>
              <w:jc w:val="center"/>
            </w:pPr>
            <w:r/>
            <w:r>
              <w:rPr>
                <w:sz w:val="18"/>
              </w:rPr>
              <w:t>25</w:t>
            </w:r>
          </w:p>
        </w:tc>
        <w:tc>
          <w:tcPr>
            <w:tcW w:type="dxa" w:w="1417"/>
          </w:tcPr>
          <w:p>
            <w:pPr>
              <w:jc w:val="center"/>
            </w:pPr>
            <w:r/>
            <w:r>
              <w:rPr>
                <w:sz w:val="18"/>
              </w:rPr>
              <w:t>21%</w:t>
            </w:r>
          </w:p>
        </w:tc>
        <w:tc>
          <w:tcPr>
            <w:tcW w:type="dxa" w:w="1701"/>
          </w:tcPr>
          <w:p>
            <w:r/>
            <w:r>
              <w:rPr>
                <w:sz w:val="18"/>
              </w:rPr>
              <w:t>↓ from 30%</w:t>
            </w:r>
          </w:p>
        </w:tc>
      </w:tr>
      <w:tr>
        <w:tc>
          <w:tcPr>
            <w:tcW w:type="dxa" w:w="3969"/>
          </w:tcPr>
          <w:p>
            <w:r/>
            <w:r>
              <w:rPr>
                <w:sz w:val="18"/>
              </w:rPr>
            </w:r>
          </w:p>
        </w:tc>
        <w:tc>
          <w:tcPr>
            <w:tcW w:type="dxa" w:w="1417"/>
          </w:tcPr>
          <w:p>
            <w:r/>
            <w:r>
              <w:rPr>
                <w:sz w:val="18"/>
              </w:rPr>
            </w:r>
          </w:p>
        </w:tc>
        <w:tc>
          <w:tcPr>
            <w:tcW w:type="dxa" w:w="1417"/>
          </w:tcPr>
          <w:p>
            <w:r/>
            <w:r>
              <w:rPr>
                <w:sz w:val="18"/>
              </w:rPr>
            </w:r>
          </w:p>
        </w:tc>
        <w:tc>
          <w:tcPr>
            <w:tcW w:type="dxa" w:w="1701"/>
          </w:tcPr>
          <w:p>
            <w:r/>
            <w:r>
              <w:rPr>
                <w:sz w:val="18"/>
              </w:rPr>
            </w:r>
          </w:p>
        </w:tc>
      </w:tr>
      <w:tr>
        <w:tc>
          <w:tcPr>
            <w:tcW w:type="dxa" w:w="3969"/>
          </w:tcPr>
          <w:p>
            <w:r/>
            <w:r>
              <w:rPr>
                <w:sz w:val="18"/>
              </w:rPr>
              <w:t>Non-critical items — Total</w:t>
            </w:r>
          </w:p>
        </w:tc>
        <w:tc>
          <w:tcPr>
            <w:tcW w:type="dxa" w:w="1417"/>
          </w:tcPr>
          <w:p>
            <w:pPr>
              <w:jc w:val="center"/>
            </w:pPr>
            <w:r/>
            <w:r>
              <w:rPr>
                <w:sz w:val="18"/>
              </w:rPr>
              <w:t>137</w:t>
            </w:r>
          </w:p>
        </w:tc>
        <w:tc>
          <w:tcPr>
            <w:tcW w:type="dxa" w:w="1417"/>
          </w:tcPr>
          <w:p>
            <w:pPr>
              <w:jc w:val="center"/>
            </w:pPr>
            <w:r/>
            <w:r>
              <w:rPr>
                <w:sz w:val="18"/>
              </w:rPr>
              <w:t>—</w:t>
            </w:r>
          </w:p>
        </w:tc>
        <w:tc>
          <w:tcPr>
            <w:tcW w:type="dxa" w:w="1701"/>
          </w:tcPr>
          <w:p>
            <w:pPr>
              <w:jc w:val="center"/>
            </w:pPr>
            <w:r/>
            <w:r>
              <w:rPr>
                <w:sz w:val="18"/>
              </w:rPr>
              <w:t>—</w:t>
            </w:r>
          </w:p>
        </w:tc>
      </w:tr>
      <w:tr>
        <w:tc>
          <w:tcPr>
            <w:tcW w:type="dxa" w:w="3969"/>
          </w:tcPr>
          <w:p>
            <w:r/>
            <w:r>
              <w:rPr>
                <w:sz w:val="18"/>
              </w:rPr>
              <w:t>Non-critical items — Resolved</w:t>
            </w:r>
          </w:p>
        </w:tc>
        <w:tc>
          <w:tcPr>
            <w:tcW w:type="dxa" w:w="1417"/>
          </w:tcPr>
          <w:p>
            <w:pPr>
              <w:jc w:val="center"/>
            </w:pPr>
            <w:r/>
            <w:r>
              <w:rPr>
                <w:sz w:val="18"/>
              </w:rPr>
              <w:t>86</w:t>
            </w:r>
          </w:p>
        </w:tc>
        <w:tc>
          <w:tcPr>
            <w:tcW w:type="dxa" w:w="1417"/>
          </w:tcPr>
          <w:p>
            <w:pPr>
              <w:jc w:val="center"/>
            </w:pPr>
            <w:r/>
            <w:r>
              <w:rPr>
                <w:sz w:val="18"/>
              </w:rPr>
              <w:t>63%</w:t>
            </w:r>
          </w:p>
        </w:tc>
        <w:tc>
          <w:tcPr>
            <w:tcW w:type="dxa" w:w="1701"/>
          </w:tcPr>
          <w:p>
            <w:r/>
            <w:r>
              <w:rPr>
                <w:sz w:val="18"/>
              </w:rPr>
              <w:t>↑ from 48%</w:t>
            </w:r>
          </w:p>
        </w:tc>
      </w:tr>
    </w:tbl>
    <w:p/>
    <w:p>
      <w:r>
        <w:rPr>
          <w:b/>
        </w:rPr>
        <w:t xml:space="preserve">Note: </w:t>
      </w:r>
      <w:r>
        <w:t xml:space="preserve">Of the 25 remaining critical items, the majority are </w:t>
      </w:r>
      <w:r>
        <w:rPr>
          <w:b/>
        </w:rPr>
        <w:t>owned by SDN</w:t>
      </w:r>
      <w:r>
        <w:t xml:space="preserve"> (content updates, copy changes, decisions) and are awaiting input from the SDN team.</w:t>
      </w:r>
    </w:p>
    <w:p>
      <w:pPr>
        <w:pStyle w:val="Heading1"/>
      </w:pPr>
      <w:r>
        <w:t>Progress by Feature Area</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2268"/>
            <w:shd w:fill="2F5496" w:val="clear"/>
          </w:tcPr>
          <w:p>
            <w:pPr>
              <w:jc w:val="center"/>
            </w:pPr>
            <w:r/>
            <w:r>
              <w:rPr>
                <w:b/>
                <w:color w:val="FFFFFF"/>
                <w:sz w:val="19"/>
              </w:rPr>
              <w:t>Feature Area</w:t>
            </w:r>
          </w:p>
        </w:tc>
        <w:tc>
          <w:tcPr>
            <w:tcW w:type="dxa" w:w="1417"/>
            <w:shd w:fill="2F5496" w:val="clear"/>
          </w:tcPr>
          <w:p>
            <w:pPr>
              <w:jc w:val="center"/>
            </w:pPr>
            <w:r/>
            <w:r>
              <w:rPr>
                <w:b/>
                <w:color w:val="FFFFFF"/>
                <w:sz w:val="19"/>
              </w:rPr>
              <w:t>Critical Total</w:t>
            </w:r>
          </w:p>
        </w:tc>
        <w:tc>
          <w:tcPr>
            <w:tcW w:type="dxa" w:w="1417"/>
            <w:shd w:fill="2F5496" w:val="clear"/>
          </w:tcPr>
          <w:p>
            <w:pPr>
              <w:jc w:val="center"/>
            </w:pPr>
            <w:r/>
            <w:r>
              <w:rPr>
                <w:b/>
                <w:color w:val="FFFFFF"/>
                <w:sz w:val="19"/>
              </w:rPr>
              <w:t>Critical Resolved</w:t>
            </w:r>
          </w:p>
        </w:tc>
        <w:tc>
          <w:tcPr>
            <w:tcW w:type="dxa" w:w="1417"/>
            <w:shd w:fill="2F5496" w:val="clear"/>
          </w:tcPr>
          <w:p>
            <w:pPr>
              <w:jc w:val="center"/>
            </w:pPr>
            <w:r/>
            <w:r>
              <w:rPr>
                <w:b/>
                <w:color w:val="FFFFFF"/>
                <w:sz w:val="19"/>
              </w:rPr>
              <w:t>Critical Remaining</w:t>
            </w:r>
          </w:p>
        </w:tc>
        <w:tc>
          <w:tcPr>
            <w:tcW w:type="dxa" w:w="1701"/>
            <w:shd w:fill="2F5496" w:val="clear"/>
          </w:tcPr>
          <w:p>
            <w:pPr>
              <w:jc w:val="center"/>
            </w:pPr>
            <w:r/>
            <w:r>
              <w:rPr>
                <w:b/>
                <w:color w:val="FFFFFF"/>
                <w:sz w:val="19"/>
              </w:rPr>
              <w:t>Non-Critical Resolved</w:t>
            </w:r>
          </w:p>
        </w:tc>
        <w:tc>
          <w:tcPr>
            <w:tcW w:type="dxa" w:w="1984"/>
            <w:shd w:fill="2F5496" w:val="clear"/>
          </w:tcPr>
          <w:p>
            <w:pPr>
              <w:jc w:val="center"/>
            </w:pPr>
            <w:r/>
            <w:r>
              <w:rPr>
                <w:b/>
                <w:color w:val="FFFFFF"/>
                <w:sz w:val="19"/>
              </w:rPr>
              <w:t>Status</w:t>
            </w:r>
          </w:p>
        </w:tc>
      </w:tr>
      <w:tr>
        <w:tc>
          <w:tcPr>
            <w:tcW w:type="dxa" w:w="2268"/>
          </w:tcPr>
          <w:p>
            <w:r/>
            <w:r>
              <w:rPr>
                <w:sz w:val="18"/>
              </w:rPr>
              <w:t>Academy</w:t>
            </w:r>
          </w:p>
        </w:tc>
        <w:tc>
          <w:tcPr>
            <w:tcW w:type="dxa" w:w="1417"/>
          </w:tcPr>
          <w:p>
            <w:pPr>
              <w:jc w:val="center"/>
            </w:pPr>
            <w:r/>
            <w:r>
              <w:rPr>
                <w:sz w:val="18"/>
              </w:rPr>
              <w:t>4</w:t>
            </w:r>
          </w:p>
        </w:tc>
        <w:tc>
          <w:tcPr>
            <w:tcW w:type="dxa" w:w="1417"/>
          </w:tcPr>
          <w:p>
            <w:pPr>
              <w:jc w:val="center"/>
            </w:pPr>
            <w:r/>
            <w:r>
              <w:rPr>
                <w:sz w:val="18"/>
              </w:rPr>
              <w:t>4</w:t>
            </w:r>
          </w:p>
        </w:tc>
        <w:tc>
          <w:tcPr>
            <w:tcW w:type="dxa" w:w="1417"/>
          </w:tcPr>
          <w:p>
            <w:pPr>
              <w:jc w:val="center"/>
            </w:pPr>
            <w:r/>
            <w:r>
              <w:rPr>
                <w:sz w:val="18"/>
              </w:rPr>
              <w:t>0</w:t>
            </w:r>
          </w:p>
        </w:tc>
        <w:tc>
          <w:tcPr>
            <w:tcW w:type="dxa" w:w="1701"/>
          </w:tcPr>
          <w:p>
            <w:pPr>
              <w:jc w:val="center"/>
            </w:pPr>
            <w:r/>
            <w:r>
              <w:rPr>
                <w:sz w:val="18"/>
              </w:rPr>
              <w:t>0</w:t>
            </w:r>
          </w:p>
        </w:tc>
        <w:tc>
          <w:tcPr>
            <w:tcW w:type="dxa" w:w="1984"/>
          </w:tcPr>
          <w:p>
            <w:r/>
            <w:r>
              <w:rPr>
                <w:sz w:val="18"/>
              </w:rPr>
              <w:t>Complete</w:t>
            </w:r>
          </w:p>
        </w:tc>
      </w:tr>
      <w:tr>
        <w:tc>
          <w:tcPr>
            <w:tcW w:type="dxa" w:w="2268"/>
          </w:tcPr>
          <w:p>
            <w:r/>
            <w:r>
              <w:rPr>
                <w:sz w:val="18"/>
              </w:rPr>
              <w:t>Accreditation</w:t>
            </w:r>
          </w:p>
        </w:tc>
        <w:tc>
          <w:tcPr>
            <w:tcW w:type="dxa" w:w="1417"/>
          </w:tcPr>
          <w:p>
            <w:pPr>
              <w:jc w:val="center"/>
            </w:pPr>
            <w:r/>
            <w:r>
              <w:rPr>
                <w:sz w:val="18"/>
              </w:rPr>
              <w:t>15</w:t>
            </w:r>
          </w:p>
        </w:tc>
        <w:tc>
          <w:tcPr>
            <w:tcW w:type="dxa" w:w="1417"/>
          </w:tcPr>
          <w:p>
            <w:pPr>
              <w:jc w:val="center"/>
            </w:pPr>
            <w:r/>
            <w:r>
              <w:rPr>
                <w:sz w:val="18"/>
              </w:rPr>
              <w:t>15</w:t>
            </w:r>
          </w:p>
        </w:tc>
        <w:tc>
          <w:tcPr>
            <w:tcW w:type="dxa" w:w="1417"/>
          </w:tcPr>
          <w:p>
            <w:pPr>
              <w:jc w:val="center"/>
            </w:pPr>
            <w:r/>
            <w:r>
              <w:rPr>
                <w:sz w:val="18"/>
              </w:rPr>
              <w:t>0</w:t>
            </w:r>
          </w:p>
        </w:tc>
        <w:tc>
          <w:tcPr>
            <w:tcW w:type="dxa" w:w="1701"/>
          </w:tcPr>
          <w:p>
            <w:pPr>
              <w:jc w:val="center"/>
            </w:pPr>
            <w:r/>
            <w:r>
              <w:rPr>
                <w:sz w:val="18"/>
              </w:rPr>
              <w:t>16</w:t>
            </w:r>
          </w:p>
        </w:tc>
        <w:tc>
          <w:tcPr>
            <w:tcW w:type="dxa" w:w="1984"/>
          </w:tcPr>
          <w:p>
            <w:r/>
            <w:r>
              <w:rPr>
                <w:sz w:val="18"/>
              </w:rPr>
              <w:t>Complete</w:t>
            </w:r>
          </w:p>
        </w:tc>
      </w:tr>
      <w:tr>
        <w:tc>
          <w:tcPr>
            <w:tcW w:type="dxa" w:w="2268"/>
          </w:tcPr>
          <w:p>
            <w:r/>
            <w:r>
              <w:rPr>
                <w:sz w:val="18"/>
              </w:rPr>
              <w:t>Network</w:t>
            </w:r>
          </w:p>
        </w:tc>
        <w:tc>
          <w:tcPr>
            <w:tcW w:type="dxa" w:w="1417"/>
          </w:tcPr>
          <w:p>
            <w:pPr>
              <w:jc w:val="center"/>
            </w:pPr>
            <w:r/>
            <w:r>
              <w:rPr>
                <w:sz w:val="18"/>
              </w:rPr>
              <w:t>1</w:t>
            </w:r>
          </w:p>
        </w:tc>
        <w:tc>
          <w:tcPr>
            <w:tcW w:type="dxa" w:w="1417"/>
          </w:tcPr>
          <w:p>
            <w:pPr>
              <w:jc w:val="center"/>
            </w:pPr>
            <w:r/>
            <w:r>
              <w:rPr>
                <w:sz w:val="18"/>
              </w:rPr>
              <w:t>1</w:t>
            </w:r>
          </w:p>
        </w:tc>
        <w:tc>
          <w:tcPr>
            <w:tcW w:type="dxa" w:w="1417"/>
          </w:tcPr>
          <w:p>
            <w:pPr>
              <w:jc w:val="center"/>
            </w:pPr>
            <w:r/>
            <w:r>
              <w:rPr>
                <w:sz w:val="18"/>
              </w:rPr>
              <w:t>0</w:t>
            </w:r>
          </w:p>
        </w:tc>
        <w:tc>
          <w:tcPr>
            <w:tcW w:type="dxa" w:w="1701"/>
          </w:tcPr>
          <w:p>
            <w:pPr>
              <w:jc w:val="center"/>
            </w:pPr>
            <w:r/>
            <w:r>
              <w:rPr>
                <w:sz w:val="18"/>
              </w:rPr>
              <w:t>6</w:t>
            </w:r>
          </w:p>
        </w:tc>
        <w:tc>
          <w:tcPr>
            <w:tcW w:type="dxa" w:w="1984"/>
          </w:tcPr>
          <w:p>
            <w:r/>
            <w:r>
              <w:rPr>
                <w:sz w:val="18"/>
              </w:rPr>
              <w:t>Complete</w:t>
            </w:r>
          </w:p>
        </w:tc>
      </w:tr>
      <w:tr>
        <w:tc>
          <w:tcPr>
            <w:tcW w:type="dxa" w:w="2268"/>
          </w:tcPr>
          <w:p>
            <w:r/>
            <w:r>
              <w:rPr>
                <w:sz w:val="18"/>
              </w:rPr>
              <w:t>Award</w:t>
            </w:r>
          </w:p>
        </w:tc>
        <w:tc>
          <w:tcPr>
            <w:tcW w:type="dxa" w:w="1417"/>
          </w:tcPr>
          <w:p>
            <w:pPr>
              <w:jc w:val="center"/>
            </w:pPr>
            <w:r/>
            <w:r>
              <w:rPr>
                <w:sz w:val="18"/>
              </w:rPr>
              <w:t>1</w:t>
            </w:r>
          </w:p>
        </w:tc>
        <w:tc>
          <w:tcPr>
            <w:tcW w:type="dxa" w:w="1417"/>
          </w:tcPr>
          <w:p>
            <w:pPr>
              <w:jc w:val="center"/>
            </w:pPr>
            <w:r/>
            <w:r>
              <w:rPr>
                <w:sz w:val="18"/>
              </w:rPr>
              <w:t>1</w:t>
            </w:r>
          </w:p>
        </w:tc>
        <w:tc>
          <w:tcPr>
            <w:tcW w:type="dxa" w:w="1417"/>
          </w:tcPr>
          <w:p>
            <w:pPr>
              <w:jc w:val="center"/>
            </w:pPr>
            <w:r/>
            <w:r>
              <w:rPr>
                <w:sz w:val="18"/>
              </w:rPr>
              <w:t>0</w:t>
            </w:r>
          </w:p>
        </w:tc>
        <w:tc>
          <w:tcPr>
            <w:tcW w:type="dxa" w:w="1701"/>
          </w:tcPr>
          <w:p>
            <w:pPr>
              <w:jc w:val="center"/>
            </w:pPr>
            <w:r/>
            <w:r>
              <w:rPr>
                <w:sz w:val="18"/>
              </w:rPr>
              <w:t>1</w:t>
            </w:r>
          </w:p>
        </w:tc>
        <w:tc>
          <w:tcPr>
            <w:tcW w:type="dxa" w:w="1984"/>
          </w:tcPr>
          <w:p>
            <w:r/>
            <w:r>
              <w:rPr>
                <w:sz w:val="18"/>
              </w:rPr>
              <w:t>Complete (Coming Soon)</w:t>
            </w:r>
          </w:p>
        </w:tc>
      </w:tr>
      <w:tr>
        <w:tc>
          <w:tcPr>
            <w:tcW w:type="dxa" w:w="2268"/>
          </w:tcPr>
          <w:p>
            <w:r/>
            <w:r>
              <w:rPr>
                <w:sz w:val="18"/>
              </w:rPr>
              <w:t>About SDN Section</w:t>
            </w:r>
          </w:p>
        </w:tc>
        <w:tc>
          <w:tcPr>
            <w:tcW w:type="dxa" w:w="1417"/>
          </w:tcPr>
          <w:p>
            <w:pPr>
              <w:jc w:val="center"/>
            </w:pPr>
            <w:r/>
            <w:r>
              <w:rPr>
                <w:sz w:val="18"/>
              </w:rPr>
              <w:t>3</w:t>
            </w:r>
          </w:p>
        </w:tc>
        <w:tc>
          <w:tcPr>
            <w:tcW w:type="dxa" w:w="1417"/>
          </w:tcPr>
          <w:p>
            <w:pPr>
              <w:jc w:val="center"/>
            </w:pPr>
            <w:r/>
            <w:r>
              <w:rPr>
                <w:sz w:val="18"/>
              </w:rPr>
              <w:t>3</w:t>
            </w:r>
          </w:p>
        </w:tc>
        <w:tc>
          <w:tcPr>
            <w:tcW w:type="dxa" w:w="1417"/>
          </w:tcPr>
          <w:p>
            <w:pPr>
              <w:jc w:val="center"/>
            </w:pPr>
            <w:r/>
            <w:r>
              <w:rPr>
                <w:sz w:val="18"/>
              </w:rPr>
              <w:t>0</w:t>
            </w:r>
          </w:p>
        </w:tc>
        <w:tc>
          <w:tcPr>
            <w:tcW w:type="dxa" w:w="1701"/>
          </w:tcPr>
          <w:p>
            <w:pPr>
              <w:jc w:val="center"/>
            </w:pPr>
            <w:r/>
            <w:r>
              <w:rPr>
                <w:sz w:val="18"/>
              </w:rPr>
              <w:t>5</w:t>
            </w:r>
          </w:p>
        </w:tc>
        <w:tc>
          <w:tcPr>
            <w:tcW w:type="dxa" w:w="1984"/>
          </w:tcPr>
          <w:p>
            <w:r/>
            <w:r>
              <w:rPr>
                <w:sz w:val="18"/>
              </w:rPr>
              <w:t>Complete</w:t>
            </w:r>
          </w:p>
        </w:tc>
      </w:tr>
      <w:tr>
        <w:tc>
          <w:tcPr>
            <w:tcW w:type="dxa" w:w="2268"/>
          </w:tcPr>
          <w:p>
            <w:r/>
            <w:r>
              <w:rPr>
                <w:sz w:val="18"/>
              </w:rPr>
              <w:t>Case Studies</w:t>
            </w:r>
          </w:p>
        </w:tc>
        <w:tc>
          <w:tcPr>
            <w:tcW w:type="dxa" w:w="1417"/>
          </w:tcPr>
          <w:p>
            <w:pPr>
              <w:jc w:val="center"/>
            </w:pPr>
            <w:r/>
            <w:r>
              <w:rPr>
                <w:sz w:val="18"/>
              </w:rPr>
              <w:t>2</w:t>
            </w:r>
          </w:p>
        </w:tc>
        <w:tc>
          <w:tcPr>
            <w:tcW w:type="dxa" w:w="1417"/>
          </w:tcPr>
          <w:p>
            <w:pPr>
              <w:jc w:val="center"/>
            </w:pPr>
            <w:r/>
            <w:r>
              <w:rPr>
                <w:sz w:val="18"/>
              </w:rPr>
              <w:t>2</w:t>
            </w:r>
          </w:p>
        </w:tc>
        <w:tc>
          <w:tcPr>
            <w:tcW w:type="dxa" w:w="1417"/>
          </w:tcPr>
          <w:p>
            <w:pPr>
              <w:jc w:val="center"/>
            </w:pPr>
            <w:r/>
            <w:r>
              <w:rPr>
                <w:sz w:val="18"/>
              </w:rPr>
              <w:t>0</w:t>
            </w:r>
          </w:p>
        </w:tc>
        <w:tc>
          <w:tcPr>
            <w:tcW w:type="dxa" w:w="1701"/>
          </w:tcPr>
          <w:p>
            <w:pPr>
              <w:jc w:val="center"/>
            </w:pPr>
            <w:r/>
            <w:r>
              <w:rPr>
                <w:sz w:val="18"/>
              </w:rPr>
              <w:t>4</w:t>
            </w:r>
          </w:p>
        </w:tc>
        <w:tc>
          <w:tcPr>
            <w:tcW w:type="dxa" w:w="1984"/>
          </w:tcPr>
          <w:p>
            <w:r/>
            <w:r>
              <w:rPr>
                <w:sz w:val="18"/>
              </w:rPr>
              <w:t>Complete</w:t>
            </w:r>
          </w:p>
        </w:tc>
      </w:tr>
      <w:tr>
        <w:tc>
          <w:tcPr>
            <w:tcW w:type="dxa" w:w="2268"/>
          </w:tcPr>
          <w:p>
            <w:r/>
            <w:r>
              <w:rPr>
                <w:sz w:val="18"/>
              </w:rPr>
              <w:t>Knowledge Section</w:t>
            </w:r>
          </w:p>
        </w:tc>
        <w:tc>
          <w:tcPr>
            <w:tcW w:type="dxa" w:w="1417"/>
          </w:tcPr>
          <w:p>
            <w:pPr>
              <w:jc w:val="center"/>
            </w:pPr>
            <w:r/>
            <w:r>
              <w:rPr>
                <w:sz w:val="18"/>
              </w:rPr>
              <w:t>9</w:t>
            </w:r>
          </w:p>
        </w:tc>
        <w:tc>
          <w:tcPr>
            <w:tcW w:type="dxa" w:w="1417"/>
          </w:tcPr>
          <w:p>
            <w:pPr>
              <w:jc w:val="center"/>
            </w:pPr>
            <w:r/>
            <w:r>
              <w:rPr>
                <w:sz w:val="18"/>
              </w:rPr>
              <w:t>8</w:t>
            </w:r>
          </w:p>
        </w:tc>
        <w:tc>
          <w:tcPr>
            <w:tcW w:type="dxa" w:w="1417"/>
          </w:tcPr>
          <w:p>
            <w:pPr>
              <w:jc w:val="center"/>
            </w:pPr>
            <w:r/>
            <w:r>
              <w:rPr>
                <w:sz w:val="18"/>
              </w:rPr>
              <w:t>1</w:t>
            </w:r>
          </w:p>
        </w:tc>
        <w:tc>
          <w:tcPr>
            <w:tcW w:type="dxa" w:w="1701"/>
          </w:tcPr>
          <w:p>
            <w:pPr>
              <w:jc w:val="center"/>
            </w:pPr>
            <w:r/>
            <w:r>
              <w:rPr>
                <w:sz w:val="18"/>
              </w:rPr>
              <w:t>10</w:t>
            </w:r>
          </w:p>
        </w:tc>
        <w:tc>
          <w:tcPr>
            <w:tcW w:type="dxa" w:w="1984"/>
          </w:tcPr>
          <w:p>
            <w:r/>
            <w:r>
              <w:rPr>
                <w:sz w:val="18"/>
              </w:rPr>
              <w:t>Nearly complete</w:t>
            </w:r>
          </w:p>
        </w:tc>
      </w:tr>
      <w:tr>
        <w:tc>
          <w:tcPr>
            <w:tcW w:type="dxa" w:w="2268"/>
          </w:tcPr>
          <w:p>
            <w:r/>
            <w:r>
              <w:rPr>
                <w:sz w:val="18"/>
              </w:rPr>
              <w:t>Payments &amp; Invoice</w:t>
            </w:r>
          </w:p>
        </w:tc>
        <w:tc>
          <w:tcPr>
            <w:tcW w:type="dxa" w:w="1417"/>
          </w:tcPr>
          <w:p>
            <w:pPr>
              <w:jc w:val="center"/>
            </w:pPr>
            <w:r/>
            <w:r>
              <w:rPr>
                <w:sz w:val="18"/>
              </w:rPr>
              <w:t>7</w:t>
            </w:r>
          </w:p>
        </w:tc>
        <w:tc>
          <w:tcPr>
            <w:tcW w:type="dxa" w:w="1417"/>
          </w:tcPr>
          <w:p>
            <w:pPr>
              <w:jc w:val="center"/>
            </w:pPr>
            <w:r/>
            <w:r>
              <w:rPr>
                <w:sz w:val="18"/>
              </w:rPr>
              <w:t>6</w:t>
            </w:r>
          </w:p>
        </w:tc>
        <w:tc>
          <w:tcPr>
            <w:tcW w:type="dxa" w:w="1417"/>
          </w:tcPr>
          <w:p>
            <w:pPr>
              <w:jc w:val="center"/>
            </w:pPr>
            <w:r/>
            <w:r>
              <w:rPr>
                <w:sz w:val="18"/>
              </w:rPr>
              <w:t>1</w:t>
            </w:r>
          </w:p>
        </w:tc>
        <w:tc>
          <w:tcPr>
            <w:tcW w:type="dxa" w:w="1701"/>
          </w:tcPr>
          <w:p>
            <w:pPr>
              <w:jc w:val="center"/>
            </w:pPr>
            <w:r/>
            <w:r>
              <w:rPr>
                <w:sz w:val="18"/>
              </w:rPr>
              <w:t>0</w:t>
            </w:r>
          </w:p>
        </w:tc>
        <w:tc>
          <w:tcPr>
            <w:tcW w:type="dxa" w:w="1984"/>
          </w:tcPr>
          <w:p>
            <w:r/>
            <w:r>
              <w:rPr>
                <w:sz w:val="18"/>
              </w:rPr>
              <w:t>Nearly complete</w:t>
            </w:r>
          </w:p>
        </w:tc>
      </w:tr>
      <w:tr>
        <w:tc>
          <w:tcPr>
            <w:tcW w:type="dxa" w:w="2268"/>
          </w:tcPr>
          <w:p>
            <w:r/>
            <w:r>
              <w:rPr>
                <w:sz w:val="18"/>
              </w:rPr>
              <w:t>Admin Panel</w:t>
            </w:r>
          </w:p>
        </w:tc>
        <w:tc>
          <w:tcPr>
            <w:tcW w:type="dxa" w:w="1417"/>
          </w:tcPr>
          <w:p>
            <w:pPr>
              <w:jc w:val="center"/>
            </w:pPr>
            <w:r/>
            <w:r>
              <w:rPr>
                <w:sz w:val="18"/>
              </w:rPr>
              <w:t>5</w:t>
            </w:r>
          </w:p>
        </w:tc>
        <w:tc>
          <w:tcPr>
            <w:tcW w:type="dxa" w:w="1417"/>
          </w:tcPr>
          <w:p>
            <w:pPr>
              <w:jc w:val="center"/>
            </w:pPr>
            <w:r/>
            <w:r>
              <w:rPr>
                <w:sz w:val="18"/>
              </w:rPr>
              <w:t>4</w:t>
            </w:r>
          </w:p>
        </w:tc>
        <w:tc>
          <w:tcPr>
            <w:tcW w:type="dxa" w:w="1417"/>
          </w:tcPr>
          <w:p>
            <w:pPr>
              <w:jc w:val="center"/>
            </w:pPr>
            <w:r/>
            <w:r>
              <w:rPr>
                <w:sz w:val="18"/>
              </w:rPr>
              <w:t>1</w:t>
            </w:r>
          </w:p>
        </w:tc>
        <w:tc>
          <w:tcPr>
            <w:tcW w:type="dxa" w:w="1701"/>
          </w:tcPr>
          <w:p>
            <w:pPr>
              <w:jc w:val="center"/>
            </w:pPr>
            <w:r/>
            <w:r>
              <w:rPr>
                <w:sz w:val="18"/>
              </w:rPr>
              <w:t>0</w:t>
            </w:r>
          </w:p>
        </w:tc>
        <w:tc>
          <w:tcPr>
            <w:tcW w:type="dxa" w:w="1984"/>
          </w:tcPr>
          <w:p>
            <w:r/>
            <w:r>
              <w:rPr>
                <w:sz w:val="18"/>
              </w:rPr>
              <w:t>Nearly complete</w:t>
            </w:r>
          </w:p>
        </w:tc>
      </w:tr>
      <w:tr>
        <w:tc>
          <w:tcPr>
            <w:tcW w:type="dxa" w:w="2268"/>
          </w:tcPr>
          <w:p>
            <w:r/>
            <w:r>
              <w:rPr>
                <w:sz w:val="18"/>
              </w:rPr>
              <w:t>Events &amp; News</w:t>
            </w:r>
          </w:p>
        </w:tc>
        <w:tc>
          <w:tcPr>
            <w:tcW w:type="dxa" w:w="1417"/>
          </w:tcPr>
          <w:p>
            <w:pPr>
              <w:jc w:val="center"/>
            </w:pPr>
            <w:r/>
            <w:r>
              <w:rPr>
                <w:sz w:val="18"/>
              </w:rPr>
              <w:t>6</w:t>
            </w:r>
          </w:p>
        </w:tc>
        <w:tc>
          <w:tcPr>
            <w:tcW w:type="dxa" w:w="1417"/>
          </w:tcPr>
          <w:p>
            <w:pPr>
              <w:jc w:val="center"/>
            </w:pPr>
            <w:r/>
            <w:r>
              <w:rPr>
                <w:sz w:val="18"/>
              </w:rPr>
              <w:t>5</w:t>
            </w:r>
          </w:p>
        </w:tc>
        <w:tc>
          <w:tcPr>
            <w:tcW w:type="dxa" w:w="1417"/>
          </w:tcPr>
          <w:p>
            <w:pPr>
              <w:jc w:val="center"/>
            </w:pPr>
            <w:r/>
            <w:r>
              <w:rPr>
                <w:sz w:val="18"/>
              </w:rPr>
              <w:t>1</w:t>
            </w:r>
          </w:p>
        </w:tc>
        <w:tc>
          <w:tcPr>
            <w:tcW w:type="dxa" w:w="1701"/>
          </w:tcPr>
          <w:p>
            <w:pPr>
              <w:jc w:val="center"/>
            </w:pPr>
            <w:r/>
            <w:r>
              <w:rPr>
                <w:sz w:val="18"/>
              </w:rPr>
              <w:t>6</w:t>
            </w:r>
          </w:p>
        </w:tc>
        <w:tc>
          <w:tcPr>
            <w:tcW w:type="dxa" w:w="1984"/>
          </w:tcPr>
          <w:p>
            <w:r/>
            <w:r>
              <w:rPr>
                <w:sz w:val="18"/>
              </w:rPr>
              <w:t>Nearly complete</w:t>
            </w:r>
          </w:p>
        </w:tc>
      </w:tr>
      <w:tr>
        <w:tc>
          <w:tcPr>
            <w:tcW w:type="dxa" w:w="2268"/>
          </w:tcPr>
          <w:p>
            <w:r/>
            <w:r>
              <w:rPr>
                <w:sz w:val="18"/>
              </w:rPr>
              <w:t>Chapters</w:t>
            </w:r>
          </w:p>
        </w:tc>
        <w:tc>
          <w:tcPr>
            <w:tcW w:type="dxa" w:w="1417"/>
          </w:tcPr>
          <w:p>
            <w:pPr>
              <w:jc w:val="center"/>
            </w:pPr>
            <w:r/>
            <w:r>
              <w:rPr>
                <w:sz w:val="18"/>
              </w:rPr>
              <w:t>3</w:t>
            </w:r>
          </w:p>
        </w:tc>
        <w:tc>
          <w:tcPr>
            <w:tcW w:type="dxa" w:w="1417"/>
          </w:tcPr>
          <w:p>
            <w:pPr>
              <w:jc w:val="center"/>
            </w:pPr>
            <w:r/>
            <w:r>
              <w:rPr>
                <w:sz w:val="18"/>
              </w:rPr>
              <w:t>2</w:t>
            </w:r>
          </w:p>
        </w:tc>
        <w:tc>
          <w:tcPr>
            <w:tcW w:type="dxa" w:w="1417"/>
          </w:tcPr>
          <w:p>
            <w:pPr>
              <w:jc w:val="center"/>
            </w:pPr>
            <w:r/>
            <w:r>
              <w:rPr>
                <w:sz w:val="18"/>
              </w:rPr>
              <w:t>1</w:t>
            </w:r>
          </w:p>
        </w:tc>
        <w:tc>
          <w:tcPr>
            <w:tcW w:type="dxa" w:w="1701"/>
          </w:tcPr>
          <w:p>
            <w:pPr>
              <w:jc w:val="center"/>
            </w:pPr>
            <w:r/>
            <w:r>
              <w:rPr>
                <w:sz w:val="18"/>
              </w:rPr>
              <w:t>3</w:t>
            </w:r>
          </w:p>
        </w:tc>
        <w:tc>
          <w:tcPr>
            <w:tcW w:type="dxa" w:w="1984"/>
          </w:tcPr>
          <w:p>
            <w:r/>
            <w:r>
              <w:rPr>
                <w:sz w:val="18"/>
              </w:rPr>
              <w:t>In progress</w:t>
            </w:r>
          </w:p>
        </w:tc>
      </w:tr>
      <w:tr>
        <w:tc>
          <w:tcPr>
            <w:tcW w:type="dxa" w:w="2268"/>
          </w:tcPr>
          <w:p>
            <w:r/>
            <w:r>
              <w:rPr>
                <w:sz w:val="18"/>
              </w:rPr>
              <w:t>Membership</w:t>
            </w:r>
          </w:p>
        </w:tc>
        <w:tc>
          <w:tcPr>
            <w:tcW w:type="dxa" w:w="1417"/>
          </w:tcPr>
          <w:p>
            <w:pPr>
              <w:jc w:val="center"/>
            </w:pPr>
            <w:r/>
            <w:r>
              <w:rPr>
                <w:sz w:val="18"/>
              </w:rPr>
              <w:t>56</w:t>
            </w:r>
          </w:p>
        </w:tc>
        <w:tc>
          <w:tcPr>
            <w:tcW w:type="dxa" w:w="1417"/>
          </w:tcPr>
          <w:p>
            <w:pPr>
              <w:jc w:val="center"/>
            </w:pPr>
            <w:r/>
            <w:r>
              <w:rPr>
                <w:sz w:val="18"/>
              </w:rPr>
              <w:t>38</w:t>
            </w:r>
          </w:p>
        </w:tc>
        <w:tc>
          <w:tcPr>
            <w:tcW w:type="dxa" w:w="1417"/>
          </w:tcPr>
          <w:p>
            <w:pPr>
              <w:jc w:val="center"/>
            </w:pPr>
            <w:r/>
            <w:r>
              <w:rPr>
                <w:sz w:val="18"/>
              </w:rPr>
              <w:t>18</w:t>
            </w:r>
          </w:p>
        </w:tc>
        <w:tc>
          <w:tcPr>
            <w:tcW w:type="dxa" w:w="1701"/>
          </w:tcPr>
          <w:p>
            <w:pPr>
              <w:jc w:val="center"/>
            </w:pPr>
            <w:r/>
            <w:r>
              <w:rPr>
                <w:sz w:val="18"/>
              </w:rPr>
              <w:t>28</w:t>
            </w:r>
          </w:p>
        </w:tc>
        <w:tc>
          <w:tcPr>
            <w:tcW w:type="dxa" w:w="1984"/>
          </w:tcPr>
          <w:p>
            <w:r/>
            <w:r>
              <w:rPr>
                <w:sz w:val="18"/>
              </w:rPr>
              <w:t>In progress (largest area)</w:t>
            </w:r>
          </w:p>
        </w:tc>
      </w:tr>
      <w:tr>
        <w:tc>
          <w:tcPr>
            <w:tcW w:type="dxa" w:w="2268"/>
          </w:tcPr>
          <w:p>
            <w:r/>
            <w:r>
              <w:rPr>
                <w:sz w:val="18"/>
              </w:rPr>
              <w:t>Touchpoint</w:t>
            </w:r>
          </w:p>
        </w:tc>
        <w:tc>
          <w:tcPr>
            <w:tcW w:type="dxa" w:w="1417"/>
          </w:tcPr>
          <w:p>
            <w:pPr>
              <w:jc w:val="center"/>
            </w:pPr>
            <w:r/>
            <w:r>
              <w:rPr>
                <w:sz w:val="18"/>
              </w:rPr>
              <w:t>5</w:t>
            </w:r>
          </w:p>
        </w:tc>
        <w:tc>
          <w:tcPr>
            <w:tcW w:type="dxa" w:w="1417"/>
          </w:tcPr>
          <w:p>
            <w:pPr>
              <w:jc w:val="center"/>
            </w:pPr>
            <w:r/>
            <w:r>
              <w:rPr>
                <w:sz w:val="18"/>
              </w:rPr>
              <w:t>3</w:t>
            </w:r>
          </w:p>
        </w:tc>
        <w:tc>
          <w:tcPr>
            <w:tcW w:type="dxa" w:w="1417"/>
          </w:tcPr>
          <w:p>
            <w:pPr>
              <w:jc w:val="center"/>
            </w:pPr>
            <w:r/>
            <w:r>
              <w:rPr>
                <w:sz w:val="18"/>
              </w:rPr>
              <w:t>2</w:t>
            </w:r>
          </w:p>
        </w:tc>
        <w:tc>
          <w:tcPr>
            <w:tcW w:type="dxa" w:w="1701"/>
          </w:tcPr>
          <w:p>
            <w:pPr>
              <w:jc w:val="center"/>
            </w:pPr>
            <w:r/>
            <w:r>
              <w:rPr>
                <w:sz w:val="18"/>
              </w:rPr>
              <w:t>7</w:t>
            </w:r>
          </w:p>
        </w:tc>
        <w:tc>
          <w:tcPr>
            <w:tcW w:type="dxa" w:w="1984"/>
          </w:tcPr>
          <w:p>
            <w:r/>
            <w:r>
              <w:rPr>
                <w:sz w:val="18"/>
              </w:rPr>
              <w:t>In progress</w:t>
            </w:r>
          </w:p>
        </w:tc>
      </w:tr>
      <w:tr>
        <w:tc>
          <w:tcPr>
            <w:tcW w:type="dxa" w:w="2268"/>
          </w:tcPr>
          <w:p>
            <w:r>
              <w:rPr>
                <w:b/>
              </w:rPr>
            </w:r>
            <w:r>
              <w:rPr>
                <w:b/>
                <w:sz w:val="18"/>
              </w:rPr>
              <w:t>Total</w:t>
            </w:r>
          </w:p>
        </w:tc>
        <w:tc>
          <w:tcPr>
            <w:tcW w:type="dxa" w:w="1417"/>
          </w:tcPr>
          <w:p>
            <w:pPr>
              <w:jc w:val="center"/>
            </w:pPr>
            <w:r>
              <w:rPr>
                <w:b/>
              </w:rPr>
            </w:r>
            <w:r>
              <w:rPr>
                <w:b/>
                <w:sz w:val="18"/>
              </w:rPr>
              <w:t>117</w:t>
            </w:r>
          </w:p>
        </w:tc>
        <w:tc>
          <w:tcPr>
            <w:tcW w:type="dxa" w:w="1417"/>
          </w:tcPr>
          <w:p>
            <w:pPr>
              <w:jc w:val="center"/>
            </w:pPr>
            <w:r>
              <w:rPr>
                <w:b/>
              </w:rPr>
            </w:r>
            <w:r>
              <w:rPr>
                <w:b/>
                <w:sz w:val="18"/>
              </w:rPr>
              <w:t>92</w:t>
            </w:r>
          </w:p>
        </w:tc>
        <w:tc>
          <w:tcPr>
            <w:tcW w:type="dxa" w:w="1417"/>
          </w:tcPr>
          <w:p>
            <w:pPr>
              <w:jc w:val="center"/>
            </w:pPr>
            <w:r>
              <w:rPr>
                <w:b/>
              </w:rPr>
            </w:r>
            <w:r>
              <w:rPr>
                <w:b/>
                <w:sz w:val="18"/>
              </w:rPr>
              <w:t>25</w:t>
            </w:r>
          </w:p>
        </w:tc>
        <w:tc>
          <w:tcPr>
            <w:tcW w:type="dxa" w:w="1701"/>
          </w:tcPr>
          <w:p>
            <w:pPr>
              <w:jc w:val="center"/>
            </w:pPr>
            <w:r>
              <w:rPr>
                <w:b/>
              </w:rPr>
            </w:r>
            <w:r>
              <w:rPr>
                <w:b/>
                <w:sz w:val="18"/>
              </w:rPr>
              <w:t>86</w:t>
            </w:r>
          </w:p>
        </w:tc>
        <w:tc>
          <w:tcPr>
            <w:tcW w:type="dxa" w:w="1984"/>
          </w:tcPr>
          <w:p>
            <w:pPr>
              <w:jc w:val="center"/>
            </w:pPr>
            <w:r>
              <w:rPr>
                <w:b/>
              </w:rPr>
            </w:r>
            <w:r>
              <w:rPr>
                <w:b/>
                <w:sz w:val="18"/>
              </w:rPr>
              <w:t>—</w:t>
            </w:r>
          </w:p>
        </w:tc>
      </w:tr>
    </w:tbl>
    <w:p>
      <w:pPr>
        <w:pStyle w:val="Heading1"/>
      </w:pPr>
      <w:r>
        <w:t>Corporate &amp; Academic Membership Flow — Resolved</w:t>
      </w:r>
    </w:p>
    <w:p>
      <w:r>
        <w:t xml:space="preserve">Following today's meeting between Brian, Sonja and Nikola, the Corporate and Academic membership flows were reviewed in detail. </w:t>
      </w:r>
      <w:r>
        <w:rPr>
          <w:b/>
        </w:rPr>
        <w:t>It was confirmed that the current behaviour is working as expected.</w:t>
      </w:r>
    </w:p>
    <w:p>
      <w:r>
        <w:t xml:space="preserve">One additional flow was identified as missing during the review. As agreed in the meeting, this will be </w:t>
      </w:r>
      <w:r>
        <w:rPr>
          <w:b/>
        </w:rPr>
        <w:t>addressed in Phase 2</w:t>
      </w:r>
      <w:r>
        <w:t xml:space="preserve"> — it does not impact Go Live readiness.</w:t>
      </w:r>
    </w:p>
    <w:p>
      <w:pPr>
        <w:pStyle w:val="Heading1"/>
      </w:pPr>
      <w:r>
        <w:t>Awards Page — "Coming Soon" for Go Live</w:t>
      </w:r>
    </w:p>
    <w:p>
      <w:r>
        <w:t xml:space="preserve">It was agreed during today's meeting that the Awards page will display a </w:t>
      </w:r>
      <w:r>
        <w:rPr>
          <w:b/>
        </w:rPr>
        <w:t>"Coming soon"</w:t>
      </w:r>
      <w:r>
        <w:t xml:space="preserve"> state for Go Live. The current content is outdated and requires further iteration, which will be addressed post-launch. This decision ensures the page does not present inaccurate information to users while allowing the team to focus on higher-priority items.</w:t>
      </w:r>
    </w:p>
    <w:p>
      <w:pPr>
        <w:pStyle w:val="Heading1"/>
      </w:pPr>
      <w:r>
        <w:t>Invoice Clarification — Follow-up</w:t>
      </w:r>
    </w:p>
    <w:p>
      <w:r>
        <w:t>As communicated yesterday, Nikola has responded to Karin's email with a detailed explanation. The invoice referenced was a customer-generated document, not the platform's expected output. The system includes clear instructions for generating the correct invoice view. No platform changes are required.</w:t>
      </w:r>
    </w:p>
    <w:p>
      <w:pPr>
        <w:pStyle w:val="Heading1"/>
      </w:pPr>
      <w:r>
        <w:t>Go-Live Timeline &amp; Dependencies</w:t>
      </w:r>
    </w:p>
    <w:p>
      <w:r>
        <w:rPr>
          <w:b/>
        </w:rPr>
        <w:t xml:space="preserve">Current target: </w:t>
      </w:r>
      <w:r>
        <w:t xml:space="preserve">As noted in yesterday's update, our goal remains to </w:t>
      </w:r>
      <w:r>
        <w:rPr>
          <w:b/>
        </w:rPr>
        <w:t>complete and deliver all tasks assigned to Appolica by the end of tomorrow (Wednesday 26 March)</w:t>
      </w:r>
      <w:r>
        <w:t xml:space="preserve"> for SDN testing. With 79% of critical items already resolved, we are confident in meeting this deadline.</w:t>
      </w:r>
    </w:p>
    <w:p>
      <w:r>
        <w:t xml:space="preserve">To ensure alignment and timely progress towards Go Live, </w:t>
      </w:r>
      <w:r>
        <w:rPr>
          <w:b/>
        </w:rPr>
        <w:t>we need a confirmed timeline for the remaining items assigned to the SDN team</w:t>
      </w:r>
      <w:r>
        <w:t>, particularly those related to outstanding content and feedback. It would be important to have this clarified as soon as possible to avoid any impact on the delivery plan.</w:t>
      </w:r>
    </w:p>
    <w:p/>
    <w:p>
      <w:r>
        <w:rPr>
          <w:b/>
        </w:rPr>
        <w:t>In summary:</w:t>
      </w:r>
    </w:p>
    <w:p>
      <w:pPr>
        <w:pStyle w:val="ListBullet"/>
      </w:pPr>
      <w:r>
        <w:rPr>
          <w:b/>
        </w:rPr>
        <w:t xml:space="preserve">Appolica deliverables: </w:t>
      </w:r>
      <w:r>
        <w:t>on track — 79% of critical items complete, target: end of day Wednesday 26 March.</w:t>
      </w:r>
    </w:p>
    <w:p>
      <w:pPr>
        <w:pStyle w:val="ListBullet"/>
      </w:pPr>
      <w:r>
        <w:rPr>
          <w:b/>
        </w:rPr>
        <w:t xml:space="preserve">SDN deliverables: </w:t>
      </w:r>
      <w:r>
        <w:t>blocking — confirmed timeline needed from SDN team to avoid delivery impact.</w:t>
      </w:r>
    </w:p>
    <w:p>
      <w:pPr>
        <w:pStyle w:val="ListBullet"/>
      </w:pPr>
      <w:r>
        <w:rPr>
          <w:b/>
        </w:rPr>
        <w:t xml:space="preserve">Corp/Academic flow (Item #58): </w:t>
      </w:r>
      <w:r>
        <w:t>resolved — current behaviour confirmed working. Additional flow deferred to Phase 2.</w:t>
      </w:r>
    </w:p>
    <w:p>
      <w:pPr>
        <w:pStyle w:val="ListBullet"/>
      </w:pPr>
      <w:r>
        <w:rPr>
          <w:b/>
        </w:rPr>
        <w:t xml:space="preserve">Awards page: </w:t>
      </w:r>
      <w:r>
        <w:t>"Coming soon" state agreed for Go Live — post-launch iteration planned.</w:t>
      </w:r>
    </w:p>
    <w:p>
      <w:pPr>
        <w:pStyle w:val="Heading1"/>
      </w:pPr>
      <w:r>
        <w:t>Next Steps</w:t>
      </w:r>
    </w:p>
    <w:p>
      <w:pPr>
        <w:pStyle w:val="ListNumber"/>
      </w:pPr>
      <w:r>
        <w:rPr>
          <w:b/>
        </w:rPr>
        <w:t>Complete all remaining Appolica items by end of day Wednesday 26 March</w:t>
      </w:r>
      <w:r>
        <w:t xml:space="preserve"> — final push on Membership, Touchpoint, and remaining areas — ready for SDN testing.</w:t>
      </w:r>
    </w:p>
    <w:p>
      <w:pPr>
        <w:pStyle w:val="ListNumber"/>
      </w:pPr>
      <w:r>
        <w:rPr>
          <w:b/>
        </w:rPr>
        <w:t>Deploy all completed changes to production</w:t>
      </w:r>
      <w:r>
        <w:t xml:space="preserve"> — 92 critical items and 86 non-critical items ready for release.</w:t>
      </w:r>
    </w:p>
    <w:p>
      <w:pPr>
        <w:pStyle w:val="ListNumber"/>
      </w:pPr>
      <w:r>
        <w:rPr>
          <w:b/>
        </w:rPr>
        <w:t>Implement "Coming soon" state for Awards page</w:t>
      </w:r>
      <w:r>
        <w:t xml:space="preserve"> — as agreed in today's meeting.</w:t>
      </w:r>
    </w:p>
    <w:p>
      <w:pPr>
        <w:pStyle w:val="ListNumber"/>
      </w:pPr>
      <w:r>
        <w:rPr>
          <w:b/>
        </w:rPr>
        <w:t>Await confirmed timeline from SDN team</w:t>
      </w:r>
      <w:r>
        <w:t xml:space="preserve"> — for remaining content, copy, and feedback items — critical to maintaining the Go Live schedule.</w:t>
      </w:r>
    </w:p>
    <w:p/>
    <w:p/>
    <w:p>
      <w:r>
        <w:rPr>
          <w:i/>
        </w:rPr>
        <w:t>Should you have any questions or require further detail on any specific item, please do not hesitate to reach out. A detailed breakdown by feature area is available in the accompanying Excel report.</w:t>
      </w:r>
    </w:p>
    <w:p/>
    <w:p>
      <w:r>
        <w:rPr>
          <w:i/>
        </w:rPr>
        <w:t>Kind regards,</w:t>
      </w:r>
    </w:p>
    <w:p>
      <w:r>
        <w:rPr>
          <w:b/>
        </w:rPr>
        <w:t>Appolica Team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