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F036" w14:textId="2875F29E" w:rsidR="00893A3A" w:rsidRPr="00893A3A" w:rsidRDefault="00893A3A" w:rsidP="00893A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40FF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2B615" wp14:editId="40E163D3">
                <wp:simplePos x="0" y="0"/>
                <wp:positionH relativeFrom="column">
                  <wp:posOffset>-629264</wp:posOffset>
                </wp:positionH>
                <wp:positionV relativeFrom="paragraph">
                  <wp:posOffset>446159</wp:posOffset>
                </wp:positionV>
                <wp:extent cx="323850" cy="8180070"/>
                <wp:effectExtent l="0" t="0" r="19050" b="11430"/>
                <wp:wrapNone/>
                <wp:docPr id="143574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3C51B" id="Rectangle 2" o:spid="_x0000_s1026" style="position:absolute;margin-left:-49.55pt;margin-top:35.15pt;width:25.5pt;height:64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" fillcolor="#ff40ff" strokecolor="#030e13 [484]" strokeweight="1pt"/>
            </w:pict>
          </mc:Fallback>
        </mc:AlternateContent>
      </w:r>
      <w:r w:rsidRPr="00DB397D">
        <w:rPr>
          <w:rFonts w:ascii="Times New Roman" w:eastAsia="Times New Roman" w:hAnsi="Times New Roman" w:cs="Times New Roman"/>
          <w:b/>
          <w:bCs/>
          <w:color w:val="FF40FF"/>
          <w:kern w:val="0"/>
          <w:sz w:val="40"/>
          <w:szCs w:val="40"/>
          <w:u w:val="single"/>
          <w14:ligatures w14:val="none"/>
        </w:rPr>
        <w:t>PINK REPORT</w:t>
      </w:r>
    </w:p>
    <w:p w14:paraId="4F051D99" w14:textId="0A563683" w:rsidR="00D64AC9" w:rsidRPr="00D64AC9" w:rsidRDefault="00D64AC9" w:rsidP="00D6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NCCN guidance supports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either BEP×4 or VIP×4 (both Category 1)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 for poor-risk disease, explicitly including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mediastinal primary </w:t>
      </w:r>
      <w:proofErr w:type="spellStart"/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nonseminoma</w:t>
      </w:r>
      <w:proofErr w:type="spellEnd"/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, with the practical tradeoff that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avoids bleomycin pulmonary toxicity but increases hematologic toxicity and requires routine G-CSF prophylaxis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 (NCCN; Nichols; Hinton; de Wit).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 In a bleomycin-risk scenario (e.g., baseline pulmonary vulnerability or strong desire to avoid bleomycin),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VIP×4 is a guideline-endorsed alternative with similar cure/OS in randomized trials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, but plan for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myelosuppression/febrile neutropenia risk and mandatory G-CSF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; if BEP is used, follow </w:t>
      </w: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pulmonary monitoring and early discontinuation thresholds</w:t>
      </w:r>
      <w:r w:rsidRPr="00D64AC9">
        <w:rPr>
          <w:rFonts w:ascii="Times New Roman" w:eastAsia="Times New Roman" w:hAnsi="Times New Roman" w:cs="Times New Roman"/>
          <w:kern w:val="0"/>
          <w14:ligatures w14:val="none"/>
        </w:rPr>
        <w:t xml:space="preserve"> (NCCN; Nichols; Hinton; Watson; Lauritsen).</w:t>
      </w:r>
    </w:p>
    <w:p w14:paraId="124D506D" w14:textId="77777777" w:rsidR="00D64AC9" w:rsidRPr="00D64AC9" w:rsidRDefault="00D64AC9" w:rsidP="00D6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supporting summary ordered by strength of evidence: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170"/>
        <w:gridCol w:w="2768"/>
        <w:gridCol w:w="1376"/>
        <w:gridCol w:w="1260"/>
        <w:gridCol w:w="2066"/>
      </w:tblGrid>
      <w:tr w:rsidR="00D64AC9" w:rsidRPr="00D64AC9" w14:paraId="265F8428" w14:textId="77777777" w:rsidTr="00893A3A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3B1310E8" w14:textId="2B96129D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1140" w:type="dxa"/>
            <w:vAlign w:val="center"/>
            <w:hideMark/>
          </w:tcPr>
          <w:p w14:paraId="657C6DAB" w14:textId="59C9425E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 of Evidence</w:t>
            </w:r>
          </w:p>
        </w:tc>
        <w:tc>
          <w:tcPr>
            <w:tcW w:w="2738" w:type="dxa"/>
            <w:vAlign w:val="center"/>
            <w:hideMark/>
          </w:tcPr>
          <w:p w14:paraId="71882DB5" w14:textId="77777777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Title</w:t>
            </w:r>
          </w:p>
        </w:tc>
        <w:tc>
          <w:tcPr>
            <w:tcW w:w="1346" w:type="dxa"/>
            <w:vAlign w:val="center"/>
            <w:hideMark/>
          </w:tcPr>
          <w:p w14:paraId="104E6ADF" w14:textId="77777777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</w:t>
            </w:r>
          </w:p>
        </w:tc>
        <w:tc>
          <w:tcPr>
            <w:tcW w:w="1230" w:type="dxa"/>
            <w:vAlign w:val="center"/>
            <w:hideMark/>
          </w:tcPr>
          <w:p w14:paraId="2B66B911" w14:textId="77777777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Journal (Year)</w:t>
            </w:r>
          </w:p>
        </w:tc>
        <w:tc>
          <w:tcPr>
            <w:tcW w:w="2021" w:type="dxa"/>
            <w:vAlign w:val="center"/>
            <w:hideMark/>
          </w:tcPr>
          <w:p w14:paraId="1ED682AA" w14:textId="77777777" w:rsidR="00D64AC9" w:rsidRPr="00D64AC9" w:rsidRDefault="00D64AC9" w:rsidP="00D64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64AC9" w:rsidRPr="00D64AC9" w14:paraId="468B2F68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395DC88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vAlign w:val="center"/>
            <w:hideMark/>
          </w:tcPr>
          <w:p w14:paraId="5DE390C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2738" w:type="dxa"/>
            <w:vAlign w:val="center"/>
            <w:hideMark/>
          </w:tcPr>
          <w:p w14:paraId="7E360E0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Testicular Cancer</w:t>
            </w:r>
          </w:p>
        </w:tc>
        <w:tc>
          <w:tcPr>
            <w:tcW w:w="1346" w:type="dxa"/>
            <w:vAlign w:val="center"/>
            <w:hideMark/>
          </w:tcPr>
          <w:p w14:paraId="7AC5771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Comprehensive Cancer Network (NCCN)</w:t>
            </w:r>
          </w:p>
        </w:tc>
        <w:tc>
          <w:tcPr>
            <w:tcW w:w="1230" w:type="dxa"/>
            <w:vAlign w:val="center"/>
            <w:hideMark/>
          </w:tcPr>
          <w:p w14:paraId="04777984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NCCN Guidelines (Updated 2025-10-15)</w:t>
            </w:r>
          </w:p>
        </w:tc>
        <w:tc>
          <w:tcPr>
            <w:tcW w:w="2021" w:type="dxa"/>
            <w:vAlign w:val="center"/>
            <w:hideMark/>
          </w:tcPr>
          <w:p w14:paraId="767D78A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Lists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BEP×4 (Category 1, preferred)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VIP×4 (Category 1)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intermediate/poor-risk disease; notes mediastinal primary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nonseminoma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should be treated with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VIP or BEP with careful pulmonary monitoring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recommends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routine G-CSF with VIP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D64AC9" w:rsidRPr="00D64AC9" w14:paraId="29F4075E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4A68936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vAlign w:val="center"/>
            <w:hideMark/>
          </w:tcPr>
          <w:p w14:paraId="63EAD40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2738" w:type="dxa"/>
            <w:vAlign w:val="center"/>
            <w:hideMark/>
          </w:tcPr>
          <w:p w14:paraId="42D5E518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Development of a Best-Practice Clinical Guideline for the Use of Bleomycin in the Treatment of Germ Cell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Tumours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UK</w:t>
            </w:r>
          </w:p>
        </w:tc>
        <w:tc>
          <w:tcPr>
            <w:tcW w:w="1346" w:type="dxa"/>
            <w:vAlign w:val="center"/>
            <w:hideMark/>
          </w:tcPr>
          <w:p w14:paraId="22C2928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Watson RA, De La Peña H,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Tsakok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MT, et al.</w:t>
            </w:r>
          </w:p>
        </w:tc>
        <w:tc>
          <w:tcPr>
            <w:tcW w:w="1230" w:type="dxa"/>
            <w:vAlign w:val="center"/>
            <w:hideMark/>
          </w:tcPr>
          <w:p w14:paraId="1D7CF3F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British Journal of Cancer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(2018)</w:t>
            </w:r>
          </w:p>
        </w:tc>
        <w:tc>
          <w:tcPr>
            <w:tcW w:w="2021" w:type="dxa"/>
            <w:vAlign w:val="center"/>
            <w:hideMark/>
          </w:tcPr>
          <w:p w14:paraId="5DA8A5F8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Best-practice guidance for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bleomycin use/monitoring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symptom-triggered evaluation, PFT/DLCO considerations) and mitigation/management of suspected bleomycin lung toxicity.</w:t>
            </w:r>
          </w:p>
        </w:tc>
      </w:tr>
      <w:tr w:rsidR="00D64AC9" w:rsidRPr="00D64AC9" w14:paraId="615F9AFC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1CB66AF" w14:textId="1177C360" w:rsidR="00D64AC9" w:rsidRPr="00D64AC9" w:rsidRDefault="00893A3A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397D">
              <w:rPr>
                <w:rFonts w:ascii="Times New Roman" w:eastAsia="Times New Roman" w:hAnsi="Times New Roman" w:cs="Times New Roman"/>
                <w:b/>
                <w:bCs/>
                <w:noProof/>
                <w:color w:val="FF40FF"/>
                <w:kern w:val="0"/>
                <w:sz w:val="40"/>
                <w:szCs w:val="40"/>
                <w:u w:val="singl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AE8047" wp14:editId="368203E5">
                      <wp:simplePos x="0" y="0"/>
                      <wp:positionH relativeFrom="column">
                        <wp:posOffset>-619760</wp:posOffset>
                      </wp:positionH>
                      <wp:positionV relativeFrom="paragraph">
                        <wp:posOffset>16510</wp:posOffset>
                      </wp:positionV>
                      <wp:extent cx="323850" cy="8180070"/>
                      <wp:effectExtent l="0" t="0" r="19050" b="11430"/>
                      <wp:wrapNone/>
                      <wp:docPr id="14027807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8180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C4C34" id="Rectangle 2" o:spid="_x0000_s1026" style="position:absolute;margin-left:-48.8pt;margin-top:1.3pt;width:25.5pt;height:64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" fillcolor="#ff40ff" strokecolor="#030e13 [484]" strokeweight="1pt"/>
                  </w:pict>
                </mc:Fallback>
              </mc:AlternateContent>
            </w:r>
            <w:r w:rsidR="00D64AC9"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="00D64AC9"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D64AC9"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1140" w:type="dxa"/>
            <w:vAlign w:val="center"/>
            <w:hideMark/>
          </w:tcPr>
          <w:p w14:paraId="432F10A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2738" w:type="dxa"/>
            <w:vAlign w:val="center"/>
            <w:hideMark/>
          </w:tcPr>
          <w:p w14:paraId="7F9DCE2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Bleomycin (Prescribing information / label)</w:t>
            </w:r>
          </w:p>
        </w:tc>
        <w:tc>
          <w:tcPr>
            <w:tcW w:w="1346" w:type="dxa"/>
            <w:vAlign w:val="center"/>
            <w:hideMark/>
          </w:tcPr>
          <w:p w14:paraId="63FA639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U.S. Food and Drug Administration</w:t>
            </w:r>
          </w:p>
        </w:tc>
        <w:tc>
          <w:tcPr>
            <w:tcW w:w="1230" w:type="dxa"/>
            <w:vAlign w:val="center"/>
            <w:hideMark/>
          </w:tcPr>
          <w:p w14:paraId="17CB8554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 Label (Updated 2021-12-06)</w:t>
            </w:r>
          </w:p>
        </w:tc>
        <w:tc>
          <w:tcPr>
            <w:tcW w:w="2021" w:type="dxa"/>
            <w:vAlign w:val="center"/>
            <w:hideMark/>
          </w:tcPr>
          <w:p w14:paraId="75C6A973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States bleomycin should be used with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extreme caution in patients with compromised pulmonary function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reinforces pulmonary toxicity risk framing.</w:t>
            </w:r>
          </w:p>
        </w:tc>
      </w:tr>
      <w:tr w:rsidR="00D64AC9" w:rsidRPr="00D64AC9" w14:paraId="1370DD82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BC99947" w14:textId="60394E25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1140" w:type="dxa"/>
            <w:vAlign w:val="center"/>
            <w:hideMark/>
          </w:tcPr>
          <w:p w14:paraId="700A0990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2738" w:type="dxa"/>
            <w:vAlign w:val="center"/>
            <w:hideMark/>
          </w:tcPr>
          <w:p w14:paraId="4C1DD22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Effect of Bleomycin Administration on the Development of Pulmonary Toxicity in Patients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Metastatic Germ Cell Tumors Receiving First-Line Chemotherapy: A Meta-Analysis of Randomized Studies</w:t>
            </w:r>
          </w:p>
        </w:tc>
        <w:tc>
          <w:tcPr>
            <w:tcW w:w="1346" w:type="dxa"/>
            <w:vAlign w:val="center"/>
            <w:hideMark/>
          </w:tcPr>
          <w:p w14:paraId="2F14BB60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Necchi A, Miceli R,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Oualla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K, et al.</w:t>
            </w:r>
          </w:p>
        </w:tc>
        <w:tc>
          <w:tcPr>
            <w:tcW w:w="1230" w:type="dxa"/>
            <w:vAlign w:val="center"/>
            <w:hideMark/>
          </w:tcPr>
          <w:p w14:paraId="4965201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Clinical Genitourinary Cancer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(2017)</w:t>
            </w:r>
          </w:p>
        </w:tc>
        <w:tc>
          <w:tcPr>
            <w:tcW w:w="2021" w:type="dxa"/>
            <w:vAlign w:val="center"/>
            <w:hideMark/>
          </w:tcPr>
          <w:p w14:paraId="478D5133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Meta-analysis of randomized data assessing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bleomycin-related pulmonary toxicity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risk in first-line regimens; supports quantification of pulmonary risk burden with bleomycin-containing therapy.</w:t>
            </w:r>
          </w:p>
        </w:tc>
      </w:tr>
      <w:tr w:rsidR="00D64AC9" w:rsidRPr="00D64AC9" w14:paraId="49818758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6BEE7EBE" w14:textId="740E53CF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1140" w:type="dxa"/>
            <w:vAlign w:val="center"/>
            <w:hideMark/>
          </w:tcPr>
          <w:p w14:paraId="378139E8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2738" w:type="dxa"/>
            <w:vAlign w:val="center"/>
            <w:hideMark/>
          </w:tcPr>
          <w:p w14:paraId="73974EE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Randomized Comparison of Cisplatin and Etoposide and Either Bleomycin or Ifosfamide in Treatment of Advanced Disseminated Germ Cell Tumors (Intergroup/ECOG/SWOG/CALGB)</w:t>
            </w:r>
          </w:p>
        </w:tc>
        <w:tc>
          <w:tcPr>
            <w:tcW w:w="1346" w:type="dxa"/>
            <w:vAlign w:val="center"/>
            <w:hideMark/>
          </w:tcPr>
          <w:p w14:paraId="0EBBA52E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Nichols CR, Catalano PJ, Crawford ED, et al.</w:t>
            </w:r>
          </w:p>
        </w:tc>
        <w:tc>
          <w:tcPr>
            <w:tcW w:w="1230" w:type="dxa"/>
            <w:vAlign w:val="center"/>
            <w:hideMark/>
          </w:tcPr>
          <w:p w14:paraId="4FBC8956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Clinical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(1998)</w:t>
            </w:r>
          </w:p>
        </w:tc>
        <w:tc>
          <w:tcPr>
            <w:tcW w:w="2021" w:type="dxa"/>
            <w:vAlign w:val="center"/>
            <w:hideMark/>
          </w:tcPr>
          <w:p w14:paraId="0EED87D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 randomized comparison of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BEP vs VIP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advanced GCT: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significant OS/FFS difference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establishes comparable efficacy while regimens differ in toxicity profile.</w:t>
            </w:r>
          </w:p>
        </w:tc>
      </w:tr>
      <w:tr w:rsidR="00D64AC9" w:rsidRPr="00D64AC9" w14:paraId="4F696A23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93209F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1140" w:type="dxa"/>
            <w:vAlign w:val="center"/>
            <w:hideMark/>
          </w:tcPr>
          <w:p w14:paraId="5FB44D9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2738" w:type="dxa"/>
            <w:vAlign w:val="center"/>
            <w:hideMark/>
          </w:tcPr>
          <w:p w14:paraId="2312BC4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Cisplatin, Etoposide and Either Bleomycin or Ifosfamide in the Treatment of Disseminated Germ Cell Tumors: Final Analysis of an Intergroup Trial</w:t>
            </w:r>
          </w:p>
        </w:tc>
        <w:tc>
          <w:tcPr>
            <w:tcW w:w="1346" w:type="dxa"/>
            <w:vAlign w:val="center"/>
            <w:hideMark/>
          </w:tcPr>
          <w:p w14:paraId="20CCEE3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Hinton S, Catalano PJ, Einhorn LH, et al.</w:t>
            </w:r>
          </w:p>
        </w:tc>
        <w:tc>
          <w:tcPr>
            <w:tcW w:w="1230" w:type="dxa"/>
            <w:vAlign w:val="center"/>
            <w:hideMark/>
          </w:tcPr>
          <w:p w14:paraId="70DC9830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Cancer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(2003)</w:t>
            </w:r>
          </w:p>
        </w:tc>
        <w:tc>
          <w:tcPr>
            <w:tcW w:w="2021" w:type="dxa"/>
            <w:vAlign w:val="center"/>
            <w:hideMark/>
          </w:tcPr>
          <w:p w14:paraId="59C7573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Long-term follow-up of intergroup trial: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survival remains similar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between VIP and BEP with extended follow-up; informs durability of cure equivalence.</w:t>
            </w:r>
          </w:p>
        </w:tc>
      </w:tr>
      <w:tr w:rsidR="00D64AC9" w:rsidRPr="00D64AC9" w14:paraId="1D656F39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A19B169" w14:textId="2669AEB0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1140" w:type="dxa"/>
            <w:vAlign w:val="center"/>
            <w:hideMark/>
          </w:tcPr>
          <w:p w14:paraId="66B7C3D0" w14:textId="4E31A78B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2738" w:type="dxa"/>
            <w:vAlign w:val="center"/>
            <w:hideMark/>
          </w:tcPr>
          <w:p w14:paraId="32DFE50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Four Cycles of BEP vs Four Cycles of VIP in Intermediate-Prognosis 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Metastatic Testicular Non-Seminoma (EORTC)</w:t>
            </w:r>
          </w:p>
        </w:tc>
        <w:tc>
          <w:tcPr>
            <w:tcW w:w="1346" w:type="dxa"/>
            <w:vAlign w:val="center"/>
            <w:hideMark/>
          </w:tcPr>
          <w:p w14:paraId="5261BE3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de Wit R,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Stoter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Sleijfer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DT, et al.</w:t>
            </w:r>
          </w:p>
        </w:tc>
        <w:tc>
          <w:tcPr>
            <w:tcW w:w="1230" w:type="dxa"/>
            <w:vAlign w:val="center"/>
            <w:hideMark/>
          </w:tcPr>
          <w:p w14:paraId="0ACB362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 xml:space="preserve">British Journal of </w:t>
            </w: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>Cancer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(1998)</w:t>
            </w:r>
          </w:p>
        </w:tc>
        <w:tc>
          <w:tcPr>
            <w:tcW w:w="2021" w:type="dxa"/>
            <w:vAlign w:val="center"/>
            <w:hideMark/>
          </w:tcPr>
          <w:p w14:paraId="30EA08EE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Randomized intermediate-prognosis study: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similar disease control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documents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substantially higher leukopenia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VIP vs BEP (hematologic toxicity tradeoff).</w:t>
            </w:r>
          </w:p>
        </w:tc>
      </w:tr>
      <w:tr w:rsidR="00D64AC9" w:rsidRPr="00D64AC9" w14:paraId="7A912AB8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768B29A" w14:textId="03BE78D8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🟨🟢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1140" w:type="dxa"/>
            <w:vAlign w:val="center"/>
            <w:hideMark/>
          </w:tcPr>
          <w:p w14:paraId="6698901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2738" w:type="dxa"/>
            <w:vAlign w:val="center"/>
            <w:hideMark/>
          </w:tcPr>
          <w:p w14:paraId="05DBB904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TE-3: 72 h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Infusional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Versus Bolus Bleomycin in BEP for IGCCCG Good Prognosis Metastatic GCT</w:t>
            </w:r>
          </w:p>
        </w:tc>
        <w:tc>
          <w:tcPr>
            <w:tcW w:w="1346" w:type="dxa"/>
            <w:vAlign w:val="center"/>
            <w:hideMark/>
          </w:tcPr>
          <w:p w14:paraId="595583F3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Shamash J, Sarker SJ, Huddart R, et al.</w:t>
            </w:r>
          </w:p>
        </w:tc>
        <w:tc>
          <w:tcPr>
            <w:tcW w:w="1230" w:type="dxa"/>
            <w:vAlign w:val="center"/>
            <w:hideMark/>
          </w:tcPr>
          <w:p w14:paraId="40B3F5A4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Annals of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(2017)</w:t>
            </w:r>
          </w:p>
        </w:tc>
        <w:tc>
          <w:tcPr>
            <w:tcW w:w="2021" w:type="dxa"/>
            <w:vAlign w:val="center"/>
            <w:hideMark/>
          </w:tcPr>
          <w:p w14:paraId="52E371C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BEP vs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VIP, but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informs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bleomycin administration strategy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pulmonary-toxicity-relevant considerations within BEP-based care pathways.</w:t>
            </w:r>
          </w:p>
        </w:tc>
      </w:tr>
      <w:tr w:rsidR="00D64AC9" w:rsidRPr="00D64AC9" w14:paraId="18375AEB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E20DAF8" w14:textId="64C578E2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1140" w:type="dxa"/>
            <w:vAlign w:val="center"/>
            <w:hideMark/>
          </w:tcPr>
          <w:p w14:paraId="3D7D14D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(P2) Trial</w:t>
            </w:r>
          </w:p>
        </w:tc>
        <w:tc>
          <w:tcPr>
            <w:tcW w:w="2738" w:type="dxa"/>
            <w:vAlign w:val="center"/>
            <w:hideMark/>
          </w:tcPr>
          <w:p w14:paraId="02945CA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6" w:type="dxa"/>
            <w:vAlign w:val="center"/>
            <w:hideMark/>
          </w:tcPr>
          <w:p w14:paraId="10B384D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0" w:type="dxa"/>
            <w:vAlign w:val="center"/>
            <w:hideMark/>
          </w:tcPr>
          <w:p w14:paraId="51FC87A6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21" w:type="dxa"/>
            <w:vAlign w:val="center"/>
            <w:hideMark/>
          </w:tcPr>
          <w:p w14:paraId="5FECBDB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64AC9" w:rsidRPr="00D64AC9" w14:paraId="213A1AB6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EA7B4C0" w14:textId="092D054B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1140" w:type="dxa"/>
            <w:vAlign w:val="center"/>
            <w:hideMark/>
          </w:tcPr>
          <w:p w14:paraId="22CDF940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(P1) Trial</w:t>
            </w:r>
          </w:p>
        </w:tc>
        <w:tc>
          <w:tcPr>
            <w:tcW w:w="2738" w:type="dxa"/>
            <w:vAlign w:val="center"/>
            <w:hideMark/>
          </w:tcPr>
          <w:p w14:paraId="52DFDB60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6" w:type="dxa"/>
            <w:vAlign w:val="center"/>
            <w:hideMark/>
          </w:tcPr>
          <w:p w14:paraId="70EFC48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0" w:type="dxa"/>
            <w:vAlign w:val="center"/>
            <w:hideMark/>
          </w:tcPr>
          <w:p w14:paraId="3953099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21" w:type="dxa"/>
            <w:vAlign w:val="center"/>
            <w:hideMark/>
          </w:tcPr>
          <w:p w14:paraId="41A2E50E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64AC9" w:rsidRPr="00D64AC9" w14:paraId="5FC32D4E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D1F7CA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🟧🔴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1140" w:type="dxa"/>
            <w:vAlign w:val="center"/>
            <w:hideMark/>
          </w:tcPr>
          <w:p w14:paraId="4BFEDA6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Cohort Study</w:t>
            </w:r>
          </w:p>
        </w:tc>
        <w:tc>
          <w:tcPr>
            <w:tcW w:w="2738" w:type="dxa"/>
            <w:vAlign w:val="center"/>
            <w:hideMark/>
          </w:tcPr>
          <w:p w14:paraId="0B0D8E4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Extragonadal Germ Cell Tumors of the Mediastinum and Retroperitoneum: Results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 International Analysis</w:t>
            </w:r>
          </w:p>
        </w:tc>
        <w:tc>
          <w:tcPr>
            <w:tcW w:w="1346" w:type="dxa"/>
            <w:vAlign w:val="center"/>
            <w:hideMark/>
          </w:tcPr>
          <w:p w14:paraId="221883C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Bokemeyer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C, Nichols CR, Droz JP, et al.</w:t>
            </w:r>
          </w:p>
        </w:tc>
        <w:tc>
          <w:tcPr>
            <w:tcW w:w="1230" w:type="dxa"/>
            <w:vAlign w:val="center"/>
            <w:hideMark/>
          </w:tcPr>
          <w:p w14:paraId="21851DED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Clinical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(2002)</w:t>
            </w:r>
          </w:p>
        </w:tc>
        <w:tc>
          <w:tcPr>
            <w:tcW w:w="2021" w:type="dxa"/>
            <w:vAlign w:val="center"/>
            <w:hideMark/>
          </w:tcPr>
          <w:p w14:paraId="0AD9C76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Large international cohort describing outcomes in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extragonadal (incl mediastinal) GCT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supporting historical survival expectations and prognostic context.</w:t>
            </w:r>
          </w:p>
        </w:tc>
      </w:tr>
      <w:tr w:rsidR="00D64AC9" w:rsidRPr="00D64AC9" w14:paraId="64999879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DADEB57" w14:textId="5DA59D9C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742A58E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17A23A4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Primary Mediastinal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Nonseminomatous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Germ Cell Tumors: Results of Modern Therapy Including Cisplatin-Based Chemotherapy</w:t>
            </w:r>
          </w:p>
        </w:tc>
        <w:tc>
          <w:tcPr>
            <w:tcW w:w="1346" w:type="dxa"/>
            <w:vAlign w:val="center"/>
            <w:hideMark/>
          </w:tcPr>
          <w:p w14:paraId="45A2F99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Fizazi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Culine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S, Droz JP, et al.</w:t>
            </w:r>
          </w:p>
        </w:tc>
        <w:tc>
          <w:tcPr>
            <w:tcW w:w="1230" w:type="dxa"/>
            <w:vAlign w:val="center"/>
            <w:hideMark/>
          </w:tcPr>
          <w:p w14:paraId="184D94A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Clinical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(1998)</w:t>
            </w:r>
          </w:p>
        </w:tc>
        <w:tc>
          <w:tcPr>
            <w:tcW w:w="2021" w:type="dxa"/>
            <w:vAlign w:val="center"/>
            <w:hideMark/>
          </w:tcPr>
          <w:p w14:paraId="734CCE7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Cohort focused on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mediastinal NSGCT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outcomes with cisplatin-based therapy; supports disease-specific baseline prognosis context.</w:t>
            </w:r>
          </w:p>
        </w:tc>
      </w:tr>
      <w:tr w:rsidR="00D64AC9" w:rsidRPr="00D64AC9" w14:paraId="567498F7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37B53B6" w14:textId="13746182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5D4773B0" w14:textId="461303CE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192E097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Primary Mediastinal Germ Cell Tumors: Real-World Analysis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Two 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Tertiary Cancer Centers in India</w:t>
            </w:r>
          </w:p>
        </w:tc>
        <w:tc>
          <w:tcPr>
            <w:tcW w:w="1346" w:type="dxa"/>
            <w:vAlign w:val="center"/>
            <w:hideMark/>
          </w:tcPr>
          <w:p w14:paraId="162E14F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Gangadhar B, Nagpal C, Sharma A, et al.</w:t>
            </w:r>
          </w:p>
        </w:tc>
        <w:tc>
          <w:tcPr>
            <w:tcW w:w="1230" w:type="dxa"/>
            <w:vAlign w:val="center"/>
            <w:hideMark/>
          </w:tcPr>
          <w:p w14:paraId="00E70F7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JCO Global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(2025)</w:t>
            </w:r>
          </w:p>
        </w:tc>
        <w:tc>
          <w:tcPr>
            <w:tcW w:w="2021" w:type="dxa"/>
            <w:vAlign w:val="center"/>
            <w:hideMark/>
          </w:tcPr>
          <w:p w14:paraId="3B480F0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Contemporary real-world series including patients treated with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BEP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and VIP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provides pragmatic outcomes context (heterogeneous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histologies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observational).</w:t>
            </w:r>
          </w:p>
        </w:tc>
      </w:tr>
      <w:tr w:rsidR="00D64AC9" w:rsidRPr="00D64AC9" w14:paraId="2550D57F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21D2DD8" w14:textId="5F2F03BB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4474A9C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4AA34B1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Predicting the Risk of Bleomycin Lung Toxicity in Patients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Germ-Cell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Tumours</w:t>
            </w:r>
            <w:proofErr w:type="spellEnd"/>
          </w:p>
        </w:tc>
        <w:tc>
          <w:tcPr>
            <w:tcW w:w="1346" w:type="dxa"/>
            <w:vAlign w:val="center"/>
            <w:hideMark/>
          </w:tcPr>
          <w:p w14:paraId="7584392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O’Sullivan JM, Huddart RA, Norman AR, et al.</w:t>
            </w:r>
          </w:p>
        </w:tc>
        <w:tc>
          <w:tcPr>
            <w:tcW w:w="1230" w:type="dxa"/>
            <w:vAlign w:val="center"/>
            <w:hideMark/>
          </w:tcPr>
          <w:p w14:paraId="6C913C7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Annals of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(2003)</w:t>
            </w:r>
          </w:p>
        </w:tc>
        <w:tc>
          <w:tcPr>
            <w:tcW w:w="2021" w:type="dxa"/>
            <w:vAlign w:val="center"/>
            <w:hideMark/>
          </w:tcPr>
          <w:p w14:paraId="1AC8D2E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Develops/validates risk factors for bleomycin lung toxicity (e.g., renal function, age, stage, cumulative dose), supporting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stratification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beyond asthma-specific evidence.</w:t>
            </w:r>
          </w:p>
        </w:tc>
      </w:tr>
      <w:tr w:rsidR="00D64AC9" w:rsidRPr="00D64AC9" w14:paraId="7A9BB556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91B253B" w14:textId="2D0B089C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117015D6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14027E93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Pulmonary Function in Patients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Germ Cell Cancer Treated </w:t>
            </w:r>
            <w:proofErr w:type="gram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</w:t>
            </w:r>
            <w:proofErr w:type="gram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Bleomycin, Etoposide, and Cisplatin</w:t>
            </w:r>
          </w:p>
        </w:tc>
        <w:tc>
          <w:tcPr>
            <w:tcW w:w="1346" w:type="dxa"/>
            <w:vAlign w:val="center"/>
            <w:hideMark/>
          </w:tcPr>
          <w:p w14:paraId="3EBE79F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Lauritsen J, Kier MG, Bandak M, et al.</w:t>
            </w:r>
          </w:p>
        </w:tc>
        <w:tc>
          <w:tcPr>
            <w:tcW w:w="1230" w:type="dxa"/>
            <w:vAlign w:val="center"/>
            <w:hideMark/>
          </w:tcPr>
          <w:p w14:paraId="2C5A954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Clinical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(2016)</w:t>
            </w:r>
          </w:p>
        </w:tc>
        <w:tc>
          <w:tcPr>
            <w:tcW w:w="2021" w:type="dxa"/>
            <w:vAlign w:val="center"/>
            <w:hideMark/>
          </w:tcPr>
          <w:p w14:paraId="2A1ECC98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Observational evaluation of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PFT/DLCO changes and pulmonary outcomes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BEP-treated patients; informs monitoring expectations.</w:t>
            </w:r>
          </w:p>
        </w:tc>
      </w:tr>
      <w:tr w:rsidR="00D64AC9" w:rsidRPr="00D64AC9" w14:paraId="7BA60089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4288A771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0F8C75FE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1A973FE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Role of Atopy in the Pathogenesis of Bleomycin Pulmonary Toxicity</w:t>
            </w:r>
          </w:p>
        </w:tc>
        <w:tc>
          <w:tcPr>
            <w:tcW w:w="1346" w:type="dxa"/>
            <w:vAlign w:val="center"/>
            <w:hideMark/>
          </w:tcPr>
          <w:p w14:paraId="377A73D4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Ozyigit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LP, Aktas EC,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Senbas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ZA, et al.</w:t>
            </w:r>
          </w:p>
        </w:tc>
        <w:tc>
          <w:tcPr>
            <w:tcW w:w="1230" w:type="dxa"/>
            <w:vAlign w:val="center"/>
            <w:hideMark/>
          </w:tcPr>
          <w:p w14:paraId="6FBA64B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Respiratory Medicine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(2019)</w:t>
            </w:r>
          </w:p>
        </w:tc>
        <w:tc>
          <w:tcPr>
            <w:tcW w:w="2021" w:type="dxa"/>
            <w:vAlign w:val="center"/>
            <w:hideMark/>
          </w:tcPr>
          <w:p w14:paraId="5CB7362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Small clinical study suggesting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atopy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may associate with higher bleomycin pulmonary toxicity risk; hypothesis-generating and not asthma-specific proof.</w:t>
            </w:r>
          </w:p>
        </w:tc>
      </w:tr>
      <w:tr w:rsidR="00D64AC9" w:rsidRPr="00D64AC9" w14:paraId="2173CA7A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A6F7DB5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1140" w:type="dxa"/>
            <w:vAlign w:val="center"/>
            <w:hideMark/>
          </w:tcPr>
          <w:p w14:paraId="12365EDA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738" w:type="dxa"/>
            <w:vAlign w:val="center"/>
            <w:hideMark/>
          </w:tcPr>
          <w:p w14:paraId="4AE1795B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Decade of insights: Bleomycin-induced pneumonitis and use of G-CSF in chemotherapy-treated GCT and Hodgkin lymphoma—Real-world outcomes</w:t>
            </w:r>
          </w:p>
        </w:tc>
        <w:tc>
          <w:tcPr>
            <w:tcW w:w="1346" w:type="dxa"/>
            <w:vAlign w:val="center"/>
            <w:hideMark/>
          </w:tcPr>
          <w:p w14:paraId="46F97FA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Shah M, Mortazavi A, </w:t>
            </w:r>
            <w:proofErr w:type="spellStart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Folefac</w:t>
            </w:r>
            <w:proofErr w:type="spellEnd"/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E, et al.</w:t>
            </w:r>
          </w:p>
        </w:tc>
        <w:tc>
          <w:tcPr>
            <w:tcW w:w="1230" w:type="dxa"/>
            <w:vAlign w:val="center"/>
            <w:hideMark/>
          </w:tcPr>
          <w:p w14:paraId="6CA43E6E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Clinical Oncology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(2024; Suppl abstract)</w:t>
            </w:r>
          </w:p>
        </w:tc>
        <w:tc>
          <w:tcPr>
            <w:tcW w:w="2021" w:type="dxa"/>
            <w:vAlign w:val="center"/>
            <w:hideMark/>
          </w:tcPr>
          <w:p w14:paraId="73FBE457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Real-world outcomes evaluating bleomycin pneumonitis and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G-CSF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cited to support the clinical question of whether G-CSF use materially worsens 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pulmonary toxicity risk.</w:t>
            </w:r>
          </w:p>
        </w:tc>
      </w:tr>
      <w:tr w:rsidR="00D64AC9" w:rsidRPr="00D64AC9" w14:paraId="3DAF9A40" w14:textId="77777777" w:rsidTr="00893A3A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722B814F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🟫</w:t>
            </w:r>
            <w:r w:rsidRPr="00D64A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1140" w:type="dxa"/>
            <w:vAlign w:val="center"/>
            <w:hideMark/>
          </w:tcPr>
          <w:p w14:paraId="0A0CAF7C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A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Animal Model</w:t>
            </w:r>
          </w:p>
        </w:tc>
        <w:tc>
          <w:tcPr>
            <w:tcW w:w="2738" w:type="dxa"/>
            <w:vAlign w:val="center"/>
            <w:hideMark/>
          </w:tcPr>
          <w:p w14:paraId="23B4DE3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46" w:type="dxa"/>
            <w:vAlign w:val="center"/>
            <w:hideMark/>
          </w:tcPr>
          <w:p w14:paraId="6CBDF0B2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0" w:type="dxa"/>
            <w:vAlign w:val="center"/>
            <w:hideMark/>
          </w:tcPr>
          <w:p w14:paraId="4DC7BB26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21" w:type="dxa"/>
            <w:vAlign w:val="center"/>
            <w:hideMark/>
          </w:tcPr>
          <w:p w14:paraId="02637C99" w14:textId="77777777" w:rsidR="00D64AC9" w:rsidRPr="00D64AC9" w:rsidRDefault="00D64AC9" w:rsidP="00D64A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ED88A43" w14:textId="77777777" w:rsidR="007E6715" w:rsidRDefault="007E6715"/>
    <w:sectPr w:rsidR="007E6715" w:rsidSect="00985F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BE6A" w14:textId="77777777" w:rsidR="00FD38AA" w:rsidRDefault="00FD38AA" w:rsidP="00893A3A">
      <w:pPr>
        <w:spacing w:after="0" w:line="240" w:lineRule="auto"/>
      </w:pPr>
      <w:r>
        <w:separator/>
      </w:r>
    </w:p>
  </w:endnote>
  <w:endnote w:type="continuationSeparator" w:id="0">
    <w:p w14:paraId="1C2FB07E" w14:textId="77777777" w:rsidR="00FD38AA" w:rsidRDefault="00FD38AA" w:rsidP="00893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B8E16" w14:textId="6C4311DF" w:rsidR="00893A3A" w:rsidRPr="00893A3A" w:rsidRDefault="00893A3A">
    <w:pPr>
      <w:pStyle w:val="Footer"/>
      <w:rPr>
        <w:color w:val="FF40FF"/>
      </w:rPr>
    </w:pPr>
    <w:r w:rsidRPr="00DB397D">
      <w:rPr>
        <w:color w:val="FF40FF"/>
      </w:rPr>
      <w:t>PINK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421B" w14:textId="77777777" w:rsidR="00FD38AA" w:rsidRDefault="00FD38AA" w:rsidP="00893A3A">
      <w:pPr>
        <w:spacing w:after="0" w:line="240" w:lineRule="auto"/>
      </w:pPr>
      <w:r>
        <w:separator/>
      </w:r>
    </w:p>
  </w:footnote>
  <w:footnote w:type="continuationSeparator" w:id="0">
    <w:p w14:paraId="342F6516" w14:textId="77777777" w:rsidR="00FD38AA" w:rsidRDefault="00FD38AA" w:rsidP="00893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800E" w14:textId="7DE40C72" w:rsidR="00893A3A" w:rsidRPr="00893A3A" w:rsidRDefault="00893A3A">
    <w:pPr>
      <w:pStyle w:val="Header"/>
      <w:rPr>
        <w:color w:val="FF40FF"/>
      </w:rPr>
    </w:pPr>
    <w:r w:rsidRPr="00DB397D">
      <w:rPr>
        <w:color w:val="FF40FF"/>
      </w:rPr>
      <w:t>PINK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9E"/>
    <w:rsid w:val="0018469E"/>
    <w:rsid w:val="00602C25"/>
    <w:rsid w:val="007E6715"/>
    <w:rsid w:val="008355BC"/>
    <w:rsid w:val="00893A3A"/>
    <w:rsid w:val="008F3B2D"/>
    <w:rsid w:val="00985FE9"/>
    <w:rsid w:val="00D64AC9"/>
    <w:rsid w:val="00DA1091"/>
    <w:rsid w:val="00EE0CD0"/>
    <w:rsid w:val="00FD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1EBC"/>
  <w15:chartTrackingRefBased/>
  <w15:docId w15:val="{B42E3D5C-30C2-374E-B608-FB23331E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6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4AC9"/>
    <w:rPr>
      <w:b/>
      <w:bCs/>
    </w:rPr>
  </w:style>
  <w:style w:type="character" w:styleId="Emphasis">
    <w:name w:val="Emphasis"/>
    <w:basedOn w:val="DefaultParagraphFont"/>
    <w:uiPriority w:val="20"/>
    <w:qFormat/>
    <w:rsid w:val="00D64AC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93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A3A"/>
  </w:style>
  <w:style w:type="paragraph" w:styleId="Footer">
    <w:name w:val="footer"/>
    <w:basedOn w:val="Normal"/>
    <w:link w:val="FooterChar"/>
    <w:uiPriority w:val="99"/>
    <w:unhideWhenUsed/>
    <w:rsid w:val="00893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3</cp:revision>
  <cp:lastPrinted>2026-03-04T06:00:00Z</cp:lastPrinted>
  <dcterms:created xsi:type="dcterms:W3CDTF">2026-03-04T06:00:00Z</dcterms:created>
  <dcterms:modified xsi:type="dcterms:W3CDTF">2026-03-04T06:00:00Z</dcterms:modified>
</cp:coreProperties>
</file>