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06B6" w14:textId="77777777" w:rsidR="000F62DA" w:rsidRPr="000D32C6" w:rsidRDefault="000F62DA" w:rsidP="000F62D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</w:pPr>
      <w:r w:rsidRPr="000D32C6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1455D3" wp14:editId="742D5418">
                <wp:simplePos x="0" y="0"/>
                <wp:positionH relativeFrom="column">
                  <wp:posOffset>-491613</wp:posOffset>
                </wp:positionH>
                <wp:positionV relativeFrom="paragraph">
                  <wp:posOffset>167148</wp:posOffset>
                </wp:positionV>
                <wp:extent cx="324464" cy="8180295"/>
                <wp:effectExtent l="0" t="0" r="19050" b="11430"/>
                <wp:wrapNone/>
                <wp:docPr id="918193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464" cy="818029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B1AB7" id="Rectangle 2" o:spid="_x0000_s1026" style="position:absolute;margin-left:-38.7pt;margin-top:13.15pt;width:25.55pt;height:644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" fillcolor="#e00" strokecolor="#030e13 [484]" strokeweight="1pt"/>
            </w:pict>
          </mc:Fallback>
        </mc:AlternateContent>
      </w:r>
      <w:r w:rsidRPr="009C43B4">
        <w:rPr>
          <w:rFonts w:ascii="Times New Roman" w:eastAsia="Times New Roman" w:hAnsi="Times New Roman" w:cs="Times New Roman"/>
          <w:b/>
          <w:bCs/>
          <w:color w:val="EE0000"/>
          <w:kern w:val="0"/>
          <w:sz w:val="40"/>
          <w:szCs w:val="40"/>
          <w:u w:val="single"/>
          <w14:ligatures w14:val="none"/>
        </w:rPr>
        <w:t>RED REPORT</w:t>
      </w:r>
    </w:p>
    <w:p w14:paraId="571FAA20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comparative evidence shows (BEP vs VIP)</w:t>
      </w:r>
    </w:p>
    <w:p w14:paraId="74CE7027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line: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Across randomized trials in metastatic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intermediate-/poor-risk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germ cell tumors (the closest evidence base to </w:t>
      </w:r>
      <w:r w:rsidRPr="004D09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primary mediastinal NSGCT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which is </w:t>
      </w:r>
      <w:r w:rsidRPr="004D096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poor-risk by definition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and BEP have very similar cure and survival outcomes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toxicity profiles differ materially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—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bleomycin drives pulmonary risk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ifosfamide drives hematologic/urothelial/neuro toxicity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182E7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survival and cure / durable response</w:t>
      </w:r>
    </w:p>
    <w:p w14:paraId="6AF79F9F" w14:textId="77777777" w:rsidR="004D096E" w:rsidRPr="004D096E" w:rsidRDefault="004D096E" w:rsidP="004D0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Poor-risk randomized intergroup trial (n≈300):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significant differences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in key efficacy outcomes between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4×BEP vs 4×VIP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: complete remission, “favorable response,” failure-free survival, and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2-year OS ~71–74%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(VIP 74% vs BEP 71%). (</w:t>
      </w:r>
      <w:hyperlink r:id="rId7" w:tooltip="Randomized comparison of cisplatin and etoposide and either bleomycin or ifosfamide in treatment of advanced disseminated germ cell tumors: an Eastern Cooperative Oncology Group, Southwest Oncology Group, and Cancer and Leukemia Group B Study - PubMed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B39072" w14:textId="77777777" w:rsidR="004D096E" w:rsidRPr="004D096E" w:rsidRDefault="004D096E" w:rsidP="004D0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Intermediate-prognosis randomized EORTC trial (n=84):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5-year PFS essentially the same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(VIP 85% vs BEP 83%); no evidence VIP is superior. (</w:t>
      </w:r>
      <w:hyperlink r:id="rId8" w:tooltip="&#10;            Four cycles of BEP vs four cycles of VIP in patients with intermediate-prognosis metastatic testicular non-seminoma: a randomized study of the EORTC Genitourinary Tract Cancer Cooperative Group. European Organization for Research and Treatment of Cancer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BB93EA7" w14:textId="77777777" w:rsidR="004D096E" w:rsidRPr="004D096E" w:rsidRDefault="004D096E" w:rsidP="004D0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follow-up / re-analysis (median follow-up ~7 years):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OS and PFS comparable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between VIP and BEP; authors note VIP is a reasonable alternative when bleomycin is undesirable. (</w:t>
      </w:r>
      <w:hyperlink r:id="rId9" w:tooltip="Cisplatin, etoposide and either bleomycin or ifosfamide in the ...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CA57351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 for PMNSGCT: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PMNSGCT outcomes are generally worse than gonadal NSGCT even with modern multimodality care, but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is no convincing randomized evidence that VIP is more curative than BEP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; the decision is typically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toxicity- and surgery-risk–driven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efficacy-driven. (</w:t>
      </w:r>
      <w:hyperlink r:id="rId10" w:tooltip="&#10;            Outcomes After Multidisciplinary Management of Primary Mediastinal Germ Cell Tumors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245E4C9" w14:textId="77777777" w:rsidR="004D096E" w:rsidRPr="004D096E" w:rsidRDefault="005C5951" w:rsidP="004D0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13F4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66BE52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Pulmonary complications (bleomycin risk) and why mediastinal disease is different</w:t>
      </w:r>
    </w:p>
    <w:p w14:paraId="76A03EAE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Bleomycin-related pulmonary toxicity</w:t>
      </w:r>
    </w:p>
    <w:p w14:paraId="7C9192D1" w14:textId="77777777" w:rsidR="004D096E" w:rsidRPr="004D096E" w:rsidRDefault="004D096E" w:rsidP="004D0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Trial-level meta-analysis across first-line GCT studies: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all-grade pulmonary toxicity ~11.7% with bleomycin-containing regimens vs ~1.7% without bleomycin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; bleomycin exposure strongly associated with pulmonary toxicity (in adjusted analyses as well). (</w:t>
      </w:r>
      <w:hyperlink r:id="rId11" w:tooltip="Effect of Bleomycin Administration on the Development of Pulmonary Toxicity in Patients With Metastatic Germ Cell Tumors Receiving First-Line Chemotherapy: A Meta-Analysis of Randomized Studies - ScienceDirect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ScienceDirect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BA54A2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Post-chemotherapy thoracic surgery concern (highly relevant in mediastinal primaries)</w:t>
      </w:r>
    </w:p>
    <w:p w14:paraId="424DBCAB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PMNSGCT care commonly includes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thoracic resection of residual mass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. Multiple surgical/oncology sources emphasize that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 bleomycin increases perioperative respiratory complication risk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so many centers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prefer bleomycin-free induction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when substantial lung/mediastinal surgery is anticipated. (</w:t>
      </w:r>
      <w:hyperlink r:id="rId12" w:tooltip="&#10;            Pulmonary metastasectomy in germ cell tumors and prostate cancer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B4BC2AA" w14:textId="77777777" w:rsidR="004D096E" w:rsidRPr="004D096E" w:rsidRDefault="005C5951" w:rsidP="004D0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D8C601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77C5BA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Treatment-related morbidity: what you trade when choosing VIP</w:t>
      </w:r>
    </w:p>
    <w:p w14:paraId="61E965D5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tends to be more myelotoxic and morbid overall, even though it avoids bleomycin lung injury</w:t>
      </w:r>
    </w:p>
    <w:p w14:paraId="51F4807B" w14:textId="77777777" w:rsidR="004D096E" w:rsidRPr="004D096E" w:rsidRDefault="004D096E" w:rsidP="004D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In the poor-risk intergroup randomized trial,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grade ≥3 toxicity (especially hematologic and genitourinary)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was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significantly more common with VIP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3" w:tooltip="Randomized comparison of cisplatin and etoposide and either bleomycin or ifosfamide in treatment of advanced disseminated germ cell tumors: an Eastern Cooperative Oncology Group, Southwest Oncology Group, and Cancer and Leukemia Group B Study - PubMed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BF1E24D" w14:textId="77777777" w:rsidR="004D096E" w:rsidRPr="004D096E" w:rsidRDefault="004D096E" w:rsidP="004D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In the EORTC intermediate-prognosis trial, VIP caused markedly greater marrow suppression (example metric reported: profound leukopenia far more frequent with VIP). (</w:t>
      </w:r>
      <w:hyperlink r:id="rId14" w:tooltip="&#10;            Four cycles of BEP vs four cycles of VIP in patients with intermediate-prognosis metastatic testicular non-seminoma: a randomized study of the EORTC Genitourinary Tract Cancer Cooperative Group. European Organization for Research and Treatment of Cancer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8361DC" w14:textId="77777777" w:rsidR="004D096E" w:rsidRPr="004D096E" w:rsidRDefault="004D096E" w:rsidP="004D0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Long-term follow-up similarly describes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modestly greater (primarily hematologic) toxicity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with VIP. (</w:t>
      </w:r>
      <w:hyperlink r:id="rId15" w:tooltip="Cisplatin, etoposide and either bleomycin or ifosfamide in the ...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04E3679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Mechanistic/clinical “VIP toxicity bucket” (typical):</w:t>
      </w:r>
    </w:p>
    <w:p w14:paraId="138C9C0C" w14:textId="77777777" w:rsidR="004D096E" w:rsidRPr="004D096E" w:rsidRDefault="004D096E" w:rsidP="004D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More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neutropenia/febrile neutropenia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transfusions, infections → often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routine G-CSF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support is used when giving VIP in practice/guidelines. (</w:t>
      </w:r>
      <w:hyperlink r:id="rId16" w:tooltip="&#10;            SEOM-GG clinical guidelines for the management of germ-cell testicular cancer (2023)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4B34E8" w14:textId="77777777" w:rsidR="004D096E" w:rsidRPr="004D096E" w:rsidRDefault="004D096E" w:rsidP="004D0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Ifosfamide-specific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risks: hemorrhagic cystitis (mitigated with mesna/hydration), renal tubular injury, and neurotoxicity/encephalopathy (less common but important).</w:t>
      </w:r>
    </w:p>
    <w:p w14:paraId="243952C5" w14:textId="77777777" w:rsidR="004D096E" w:rsidRPr="004D096E" w:rsidRDefault="005C5951" w:rsidP="004D0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071C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2902AB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 guidelines/recommendations favor VIP over BEP in high bleomycin-risk patients?</w:t>
      </w:r>
    </w:p>
    <w:p w14:paraId="2E582F51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Yes—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bleomycin is contraindicated or relatively contraindicated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multiple guideline and expert sources recommend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(for intermediate/poor risk) as the standard bleomycin-free substitute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1BFE10" w14:textId="77777777" w:rsidR="004D096E" w:rsidRPr="004D096E" w:rsidRDefault="004D096E" w:rsidP="004D0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SEOM-GG 2024 guideline: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notes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relative/absolute contraindications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to bleomycin include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pulmonary disease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and specifically mentions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mediastinal tumors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(and situations where major pulmonary resection/radiation is anticipated). For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intermediate/poor risk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the recommended alternative is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+ prophylactic G-CSF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. (</w:t>
      </w:r>
      <w:hyperlink r:id="rId17" w:tooltip="&#10;            SEOM-GG clinical guidelines for the management of germ-cell testicular cancer (2023)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EE51CD" w14:textId="77777777" w:rsidR="004D096E" w:rsidRPr="004D096E" w:rsidRDefault="004D096E" w:rsidP="004D0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NCCN Testicular Cancer (2018 publicly available PDF):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for intermediate-risk disease, BEP is preferred;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 is reserved for patients with a contraindication to bleomycin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, and bleomycin-free regimens are considered in other higher-toxicity-risk settings.</w:t>
      </w:r>
    </w:p>
    <w:p w14:paraId="35C502D6" w14:textId="77777777" w:rsidR="004D096E" w:rsidRPr="004D096E" w:rsidRDefault="004D096E" w:rsidP="004D0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Mediastinal PMNSGCT–focused expert recommendations: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recommend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VIP×4 as standard induction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surgery (rationale includes avoiding bleomycin pulmonary and perioperative risk). (</w:t>
      </w:r>
      <w:hyperlink r:id="rId18" w:tooltip="MTE 23.02 Mediastinal Germ Cell Tumor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JTO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0A8BA7" w14:textId="77777777" w:rsidR="004D096E" w:rsidRPr="004D096E" w:rsidRDefault="005C5951" w:rsidP="004D09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D9BF50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9C838C" w14:textId="77777777" w:rsidR="004D096E" w:rsidRPr="004D096E" w:rsidRDefault="004D096E" w:rsidP="004D0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Practical application to a 20-year-old with asthma (bleomycin concern)</w:t>
      </w:r>
    </w:p>
    <w:p w14:paraId="146F71B2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Asthma isn’t automatically a hard contraindication, but it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place the patient into a “pulmonary disease” category where many guidelines advise extra caution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and objective assessment:</w:t>
      </w:r>
    </w:p>
    <w:p w14:paraId="1269795B" w14:textId="77777777" w:rsidR="004D096E" w:rsidRPr="004D096E" w:rsidRDefault="004D096E" w:rsidP="004D0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baseline pulmonary assessment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(symptoms, exam, and typically PFTs including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DLCO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). (</w:t>
      </w:r>
      <w:hyperlink r:id="rId19" w:tooltip="&#10;            SEOM-GG clinical guidelines for the management of germ-cell testicular cancer (2023)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3615AAB" w14:textId="77777777" w:rsidR="004D096E" w:rsidRPr="004D096E" w:rsidRDefault="004D096E" w:rsidP="004D0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If there’s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reduced/borderline DLCO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significant active lung disease, or if the team expects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thoracic/mediastinal resection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, the evidence-and-guideline-consistent approach is to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favor VIP×4 (with G-CSF)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to reduce risk of bleomycin lung injury and perioperative pulmonary complications. (</w:t>
      </w:r>
      <w:hyperlink r:id="rId20" w:tooltip="&#10;            SEOM-GG clinical guidelines for the management of germ-cell testicular cancer (2023) - PMC&#10;        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PMC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E03E50" w14:textId="77777777" w:rsidR="004D096E" w:rsidRPr="004D096E" w:rsidRDefault="004D096E" w:rsidP="004D0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Counsel on the trade-off: VIP likely preserves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similar cure probability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vs BEP based on randomized data, but at the cost of </w:t>
      </w:r>
      <w:r w:rsidRPr="004D09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hematologic and GU toxicity</w:t>
      </w:r>
      <w:r w:rsidRPr="004D096E">
        <w:rPr>
          <w:rFonts w:ascii="Times New Roman" w:eastAsia="Times New Roman" w:hAnsi="Times New Roman" w:cs="Times New Roman"/>
          <w:kern w:val="0"/>
          <w14:ligatures w14:val="none"/>
        </w:rPr>
        <w:t xml:space="preserve"> and more supportive-care burden. (</w:t>
      </w:r>
      <w:hyperlink r:id="rId21" w:tooltip="Randomized comparison of cisplatin and etoposide and either bleomycin or ifosfamide in treatment of advanced disseminated germ cell tumors: an Eastern Cooperative Oncology Group, Southwest Oncology Group, and Cancer and Leukemia Group B Study - PubMed" w:history="1">
        <w:r w:rsidRPr="004D096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PubMed</w:t>
        </w:r>
      </w:hyperlink>
      <w:r w:rsidRPr="004D096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DC38E5B" w14:textId="77777777" w:rsidR="004D096E" w:rsidRPr="004D096E" w:rsidRDefault="004D096E" w:rsidP="004D0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096E">
        <w:rPr>
          <w:rFonts w:ascii="Times New Roman" w:eastAsia="Times New Roman" w:hAnsi="Times New Roman" w:cs="Times New Roman"/>
          <w:kern w:val="0"/>
          <w14:ligatures w14:val="none"/>
        </w:rPr>
        <w:t>If you want, tell me whether the asthma is mild/intermittent vs moderate/severe and whether thoracic surgery is anticipated (e.g., large residual mass expected), and I’ll translate this into a concise, case-specific recommendation statement you could drop into a tumor board note.</w:t>
      </w:r>
    </w:p>
    <w:p w14:paraId="22F0DF08" w14:textId="77777777" w:rsidR="007E6715" w:rsidRDefault="007E6715"/>
    <w:sectPr w:rsidR="007E6715" w:rsidSect="00985FE9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045F9" w14:textId="77777777" w:rsidR="005C5951" w:rsidRDefault="005C5951" w:rsidP="000F62DA">
      <w:pPr>
        <w:spacing w:after="0" w:line="240" w:lineRule="auto"/>
      </w:pPr>
      <w:r>
        <w:separator/>
      </w:r>
    </w:p>
  </w:endnote>
  <w:endnote w:type="continuationSeparator" w:id="0">
    <w:p w14:paraId="01E56B75" w14:textId="77777777" w:rsidR="005C5951" w:rsidRDefault="005C5951" w:rsidP="000F6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F8BA" w14:textId="3A9DB50F" w:rsidR="000F62DA" w:rsidRPr="000F62DA" w:rsidRDefault="000F62DA">
    <w:pPr>
      <w:pStyle w:val="Footer"/>
      <w:rPr>
        <w:color w:val="EE0000"/>
      </w:rPr>
    </w:pPr>
    <w:r w:rsidRPr="000D32C6">
      <w:rPr>
        <w:color w:val="EE0000"/>
      </w:rPr>
      <w:t>RED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60702" w14:textId="77777777" w:rsidR="005C5951" w:rsidRDefault="005C5951" w:rsidP="000F62DA">
      <w:pPr>
        <w:spacing w:after="0" w:line="240" w:lineRule="auto"/>
      </w:pPr>
      <w:r>
        <w:separator/>
      </w:r>
    </w:p>
  </w:footnote>
  <w:footnote w:type="continuationSeparator" w:id="0">
    <w:p w14:paraId="5479529F" w14:textId="77777777" w:rsidR="005C5951" w:rsidRDefault="005C5951" w:rsidP="000F6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E8E0" w14:textId="47670159" w:rsidR="000F62DA" w:rsidRPr="000F62DA" w:rsidRDefault="000F62DA" w:rsidP="000F62DA">
    <w:pPr>
      <w:pStyle w:val="Footer"/>
      <w:rPr>
        <w:color w:val="EE0000"/>
      </w:rPr>
    </w:pPr>
    <w:r w:rsidRPr="000D32C6">
      <w:rPr>
        <w:color w:val="EE0000"/>
      </w:rPr>
      <w:t>RED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59F"/>
    <w:multiLevelType w:val="multilevel"/>
    <w:tmpl w:val="4DC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27B5"/>
    <w:multiLevelType w:val="multilevel"/>
    <w:tmpl w:val="EB26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24F77"/>
    <w:multiLevelType w:val="multilevel"/>
    <w:tmpl w:val="867A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9555D"/>
    <w:multiLevelType w:val="multilevel"/>
    <w:tmpl w:val="1492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43068"/>
    <w:multiLevelType w:val="multilevel"/>
    <w:tmpl w:val="874A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F67B6"/>
    <w:multiLevelType w:val="multilevel"/>
    <w:tmpl w:val="1CB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933037">
    <w:abstractNumId w:val="3"/>
  </w:num>
  <w:num w:numId="2" w16cid:durableId="41827757">
    <w:abstractNumId w:val="0"/>
  </w:num>
  <w:num w:numId="3" w16cid:durableId="1973366009">
    <w:abstractNumId w:val="4"/>
  </w:num>
  <w:num w:numId="4" w16cid:durableId="1873301681">
    <w:abstractNumId w:val="2"/>
  </w:num>
  <w:num w:numId="5" w16cid:durableId="1168524996">
    <w:abstractNumId w:val="5"/>
  </w:num>
  <w:num w:numId="6" w16cid:durableId="692269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6E"/>
    <w:rsid w:val="000F62DA"/>
    <w:rsid w:val="004D096E"/>
    <w:rsid w:val="005C5951"/>
    <w:rsid w:val="00602C25"/>
    <w:rsid w:val="007E6715"/>
    <w:rsid w:val="008355BC"/>
    <w:rsid w:val="008F3B2D"/>
    <w:rsid w:val="00985FE9"/>
    <w:rsid w:val="00B0560D"/>
    <w:rsid w:val="00DA1091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96864"/>
  <w15:chartTrackingRefBased/>
  <w15:docId w15:val="{B43790B3-609B-4D4B-9728-84849EE3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0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0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0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0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096E"/>
    <w:rPr>
      <w:b/>
      <w:bCs/>
    </w:rPr>
  </w:style>
  <w:style w:type="character" w:styleId="Emphasis">
    <w:name w:val="Emphasis"/>
    <w:basedOn w:val="DefaultParagraphFont"/>
    <w:uiPriority w:val="20"/>
    <w:qFormat/>
    <w:rsid w:val="004D096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D096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6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2DA"/>
  </w:style>
  <w:style w:type="paragraph" w:styleId="Footer">
    <w:name w:val="footer"/>
    <w:basedOn w:val="Normal"/>
    <w:link w:val="FooterChar"/>
    <w:uiPriority w:val="99"/>
    <w:unhideWhenUsed/>
    <w:rsid w:val="000F62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2062963/" TargetMode="External"/><Relationship Id="rId13" Type="http://schemas.openxmlformats.org/officeDocument/2006/relationships/hyperlink" Target="https://pubmed.ncbi.nlm.nih.gov/9552027/" TargetMode="External"/><Relationship Id="rId18" Type="http://schemas.openxmlformats.org/officeDocument/2006/relationships/hyperlink" Target="https://www.jto.org/article/S1556-0864%2817%2930910-3/fulltext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ubmed.ncbi.nlm.nih.gov/9552027/" TargetMode="External"/><Relationship Id="rId7" Type="http://schemas.openxmlformats.org/officeDocument/2006/relationships/hyperlink" Target="https://pubmed.ncbi.nlm.nih.gov/9552027/" TargetMode="External"/><Relationship Id="rId12" Type="http://schemas.openxmlformats.org/officeDocument/2006/relationships/hyperlink" Target="https://pmc.ncbi.nlm.nih.gov/articles/PMC8107574/" TargetMode="External"/><Relationship Id="rId17" Type="http://schemas.openxmlformats.org/officeDocument/2006/relationships/hyperlink" Target="https://pmc.ncbi.nlm.nih.gov/articles/PMC11467073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467073/" TargetMode="External"/><Relationship Id="rId20" Type="http://schemas.openxmlformats.org/officeDocument/2006/relationships/hyperlink" Target="https://pmc.ncbi.nlm.nih.gov/articles/PMC11467073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ciencedirect.com/science/article/abs/pii/S1558767316302555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pubmed.ncbi.nlm.nih.gov/12673712/?utm_source=chatgpt.com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pmc.ncbi.nlm.nih.gov/articles/PMC7371518/" TargetMode="External"/><Relationship Id="rId19" Type="http://schemas.openxmlformats.org/officeDocument/2006/relationships/hyperlink" Target="https://pmc.ncbi.nlm.nih.gov/articles/PMC1146707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med.ncbi.nlm.nih.gov/12673712/?utm_source=chatgpt.com" TargetMode="External"/><Relationship Id="rId14" Type="http://schemas.openxmlformats.org/officeDocument/2006/relationships/hyperlink" Target="https://pmc.ncbi.nlm.nih.gov/articles/PMC2062963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1307</Words>
  <Characters>7456</Characters>
  <Application>Microsoft Office Word</Application>
  <DocSecurity>0</DocSecurity>
  <Lines>62</Lines>
  <Paragraphs>17</Paragraphs>
  <ScaleCrop>false</ScaleCrop>
  <Company/>
  <LinksUpToDate>false</LinksUpToDate>
  <CharactersWithSpaces>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2</cp:revision>
  <dcterms:created xsi:type="dcterms:W3CDTF">2026-03-04T02:58:00Z</dcterms:created>
  <dcterms:modified xsi:type="dcterms:W3CDTF">2026-03-04T06:01:00Z</dcterms:modified>
</cp:coreProperties>
</file>