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61C06" w14:textId="1FF38397" w:rsidR="0090316C" w:rsidRDefault="0090316C" w:rsidP="0090316C">
      <w:r w:rsidRPr="007E6E66">
        <w:t>In a 20-year-old male with a primary mediastinal non-seminomatous germ cell tumor and comorbid asthma (where bleomycin pulmonary toxicity is a concern), what is the current evidence comparing BEP (bleomycin, etoposide, cisplatin) versus VIP (etoposide, ifosfamide, cisplatin) in terms of overall survival, cure rates, pulmonary complications, and treatment-related morbidity? Are there recommendations favoring VIP over BEP in patients at higher risk for bleomycin-induced lung injury?</w:t>
      </w:r>
    </w:p>
    <w:p w14:paraId="257600DC" w14:textId="77777777" w:rsidR="0090316C" w:rsidRDefault="0090316C"/>
    <w:p w14:paraId="70D77296" w14:textId="6F658A42" w:rsidR="0090316C" w:rsidRDefault="0090316C">
      <w:r>
        <w:br w:type="page"/>
      </w:r>
    </w:p>
    <w:p w14:paraId="3B9E5681" w14:textId="77777777" w:rsidR="0090316C" w:rsidRPr="0090316C" w:rsidRDefault="0090316C" w:rsidP="0090316C">
      <w:pPr>
        <w:spacing w:after="240"/>
      </w:pPr>
      <w:r w:rsidRPr="0090316C">
        <w:lastRenderedPageBreak/>
        <w:t>Primary mediastinal non-seminomatous germ cell tumors (NSGCTs) are rare, accounting for a small subset of germ cell malignancies, and are associated with a poorer prognosis compared to their gonadal counterparts. Prognosis and treatment selection are guided by the International Germ Cell Cancer Collaborative Group (IGCCCG) risk stratification, with most mediastinal NSGCTs classified as intermediate or poor risk due to frequent bulky disease, elevated tumor markers, and extragonadal location.</w:t>
      </w:r>
      <w:hyperlink r:id="rId5" w:history="1">
        <w:r w:rsidRPr="0090316C">
          <w:rPr>
            <w:color w:val="0000FF"/>
            <w:u w:val="single"/>
          </w:rPr>
          <w:t>[1]</w:t>
        </w:r>
      </w:hyperlink>
      <w:hyperlink r:id="rId6" w:history="1">
        <w:r w:rsidRPr="0090316C">
          <w:rPr>
            <w:color w:val="0000FF"/>
            <w:u w:val="single"/>
          </w:rPr>
          <w:t>[2]</w:t>
        </w:r>
      </w:hyperlink>
      <w:hyperlink r:id="rId7" w:history="1">
        <w:r w:rsidRPr="0090316C">
          <w:rPr>
            <w:color w:val="0000FF"/>
            <w:u w:val="single"/>
          </w:rPr>
          <w:t>[3]</w:t>
        </w:r>
      </w:hyperlink>
      <w:r w:rsidRPr="0090316C">
        <w:br/>
      </w:r>
      <w:r w:rsidRPr="0090316C">
        <w:br/>
      </w:r>
      <w:r w:rsidRPr="0090316C">
        <w:rPr>
          <w:b/>
          <w:bCs/>
        </w:rPr>
        <w:t>BEP (bleomycin, etoposide, cisplatin) remains the standard first-line regimen for intermediate- and poor-risk NSGCTs</w:t>
      </w:r>
      <w:r w:rsidRPr="0090316C">
        <w:t>, as established by randomized trials and consensus guidelines.</w:t>
      </w:r>
      <w:hyperlink r:id="rId8" w:history="1">
        <w:r w:rsidRPr="0090316C">
          <w:rPr>
            <w:color w:val="0000FF"/>
            <w:u w:val="single"/>
          </w:rPr>
          <w:t>[1]</w:t>
        </w:r>
      </w:hyperlink>
      <w:hyperlink r:id="rId9" w:history="1">
        <w:r w:rsidRPr="0090316C">
          <w:rPr>
            <w:color w:val="0000FF"/>
            <w:u w:val="single"/>
          </w:rPr>
          <w:t>[2]</w:t>
        </w:r>
      </w:hyperlink>
      <w:hyperlink r:id="rId10" w:history="1">
        <w:r w:rsidRPr="0090316C">
          <w:rPr>
            <w:color w:val="0000FF"/>
            <w:u w:val="single"/>
          </w:rPr>
          <w:t>[3]</w:t>
        </w:r>
      </w:hyperlink>
      <w:hyperlink r:id="rId11" w:history="1">
        <w:r w:rsidRPr="0090316C">
          <w:rPr>
            <w:color w:val="0000FF"/>
            <w:u w:val="single"/>
          </w:rPr>
          <w:t>[4]</w:t>
        </w:r>
      </w:hyperlink>
      <w:hyperlink r:id="rId12" w:history="1">
        <w:r w:rsidRPr="0090316C">
          <w:rPr>
            <w:color w:val="0000FF"/>
            <w:u w:val="single"/>
          </w:rPr>
          <w:t>[5]</w:t>
        </w:r>
      </w:hyperlink>
      <w:hyperlink r:id="rId13" w:history="1">
        <w:r w:rsidRPr="0090316C">
          <w:rPr>
            <w:color w:val="0000FF"/>
            <w:u w:val="single"/>
          </w:rPr>
          <w:t>[6]</w:t>
        </w:r>
      </w:hyperlink>
      <w:hyperlink r:id="rId14" w:history="1">
        <w:r w:rsidRPr="0090316C">
          <w:rPr>
            <w:color w:val="0000FF"/>
            <w:u w:val="single"/>
          </w:rPr>
          <w:t>[7]</w:t>
        </w:r>
      </w:hyperlink>
      <w:r w:rsidRPr="0090316C">
        <w:t xml:space="preserve"> VIP (etoposide, ifosfamide, cisplatin) is recommended as an alternative when bleomycin is contraindicated, particularly in patients with pre-existing pulmonary disease, extensive pulmonary metastases, or other risk factors for bleomycin-induced lung injury.</w:t>
      </w:r>
      <w:hyperlink r:id="rId15" w:history="1">
        <w:r w:rsidRPr="0090316C">
          <w:rPr>
            <w:color w:val="0000FF"/>
            <w:u w:val="single"/>
          </w:rPr>
          <w:t>[1]</w:t>
        </w:r>
      </w:hyperlink>
      <w:hyperlink r:id="rId16" w:history="1">
        <w:r w:rsidRPr="0090316C">
          <w:rPr>
            <w:color w:val="0000FF"/>
            <w:u w:val="single"/>
          </w:rPr>
          <w:t>[2]</w:t>
        </w:r>
      </w:hyperlink>
      <w:hyperlink r:id="rId17" w:history="1">
        <w:r w:rsidRPr="0090316C">
          <w:rPr>
            <w:color w:val="0000FF"/>
            <w:u w:val="single"/>
          </w:rPr>
          <w:t>[3]</w:t>
        </w:r>
      </w:hyperlink>
      <w:r w:rsidRPr="0090316C">
        <w:t xml:space="preserve"> Both regimens are endorsed in major guidelines for intermediate/poor-risk disease, with the choice individualized based on patient comorbidities and risk factors.</w:t>
      </w:r>
      <w:hyperlink r:id="rId18" w:history="1">
        <w:r w:rsidRPr="0090316C">
          <w:rPr>
            <w:color w:val="0000FF"/>
            <w:u w:val="single"/>
          </w:rPr>
          <w:t>[1]</w:t>
        </w:r>
      </w:hyperlink>
      <w:hyperlink r:id="rId19" w:history="1">
        <w:r w:rsidRPr="0090316C">
          <w:rPr>
            <w:color w:val="0000FF"/>
            <w:u w:val="single"/>
          </w:rPr>
          <w:t>[2]</w:t>
        </w:r>
      </w:hyperlink>
      <w:hyperlink r:id="rId20" w:history="1">
        <w:r w:rsidRPr="0090316C">
          <w:rPr>
            <w:color w:val="0000FF"/>
            <w:u w:val="single"/>
          </w:rPr>
          <w:t>[3]</w:t>
        </w:r>
      </w:hyperlink>
      <w:r w:rsidRPr="0090316C">
        <w:br/>
      </w:r>
      <w:r w:rsidRPr="0090316C">
        <w:br/>
        <w:t xml:space="preserve">Randomized trials and retrospective analyses demonstrate </w:t>
      </w:r>
      <w:r w:rsidRPr="0090316C">
        <w:rPr>
          <w:b/>
          <w:bCs/>
        </w:rPr>
        <w:t>similar overall survival, progression-free survival, and cure rates between BEP and VIP</w:t>
      </w:r>
      <w:r w:rsidRPr="0090316C">
        <w:t xml:space="preserve"> in intermediate- and poor-risk NSGCTs.</w:t>
      </w:r>
      <w:hyperlink r:id="rId21" w:history="1">
        <w:r w:rsidRPr="0090316C">
          <w:rPr>
            <w:color w:val="0000FF"/>
            <w:u w:val="single"/>
          </w:rPr>
          <w:t>[4]</w:t>
        </w:r>
      </w:hyperlink>
      <w:hyperlink r:id="rId22" w:history="1">
        <w:r w:rsidRPr="0090316C">
          <w:rPr>
            <w:color w:val="0000FF"/>
            <w:u w:val="single"/>
          </w:rPr>
          <w:t>[5]</w:t>
        </w:r>
      </w:hyperlink>
      <w:hyperlink r:id="rId23" w:history="1">
        <w:r w:rsidRPr="0090316C">
          <w:rPr>
            <w:color w:val="0000FF"/>
            <w:u w:val="single"/>
          </w:rPr>
          <w:t>[6]</w:t>
        </w:r>
      </w:hyperlink>
      <w:hyperlink r:id="rId24" w:history="1">
        <w:r w:rsidRPr="0090316C">
          <w:rPr>
            <w:color w:val="0000FF"/>
            <w:u w:val="single"/>
          </w:rPr>
          <w:t>[7]</w:t>
        </w:r>
      </w:hyperlink>
      <w:hyperlink r:id="rId25" w:history="1">
        <w:r w:rsidRPr="0090316C">
          <w:rPr>
            <w:color w:val="0000FF"/>
            <w:u w:val="single"/>
          </w:rPr>
          <w:t>[8]</w:t>
        </w:r>
      </w:hyperlink>
      <w:r w:rsidRPr="0090316C">
        <w:t xml:space="preserve"> For example, long-term follow-up from large randomized studies shows no statistically significant difference in 5- to 7-year overall survival or progression-free survival between BEP and VIP arms.</w:t>
      </w:r>
      <w:hyperlink r:id="rId26" w:history="1">
        <w:r w:rsidRPr="0090316C">
          <w:rPr>
            <w:color w:val="0000FF"/>
            <w:u w:val="single"/>
          </w:rPr>
          <w:t>[5]</w:t>
        </w:r>
      </w:hyperlink>
      <w:hyperlink r:id="rId27" w:history="1">
        <w:r w:rsidRPr="0090316C">
          <w:rPr>
            <w:color w:val="0000FF"/>
            <w:u w:val="single"/>
          </w:rPr>
          <w:t>[6]</w:t>
        </w:r>
      </w:hyperlink>
      <w:hyperlink r:id="rId28" w:history="1">
        <w:r w:rsidRPr="0090316C">
          <w:rPr>
            <w:color w:val="0000FF"/>
            <w:u w:val="single"/>
          </w:rPr>
          <w:t>[7]</w:t>
        </w:r>
      </w:hyperlink>
      <w:r w:rsidRPr="0090316C">
        <w:t xml:space="preserve"> Some retrospective cohorts suggest slightly better long-term outcomes with BEP, but these differences are not statistically significant and may reflect selection bias, as patients receiving VIP often have more aggressive disease features (e.g., mediastinal primary, higher tumor marker burden).</w:t>
      </w:r>
      <w:hyperlink r:id="rId29" w:history="1">
        <w:r w:rsidRPr="0090316C">
          <w:rPr>
            <w:color w:val="0000FF"/>
            <w:u w:val="single"/>
          </w:rPr>
          <w:t>[4]</w:t>
        </w:r>
      </w:hyperlink>
      <w:hyperlink r:id="rId30" w:history="1">
        <w:r w:rsidRPr="0090316C">
          <w:rPr>
            <w:color w:val="0000FF"/>
            <w:u w:val="single"/>
          </w:rPr>
          <w:t>[5]</w:t>
        </w:r>
      </w:hyperlink>
      <w:hyperlink r:id="rId31" w:history="1">
        <w:r w:rsidRPr="0090316C">
          <w:rPr>
            <w:color w:val="0000FF"/>
            <w:u w:val="single"/>
          </w:rPr>
          <w:t>[7]</w:t>
        </w:r>
      </w:hyperlink>
      <w:r w:rsidRPr="0090316C">
        <w:br/>
      </w:r>
      <w:r w:rsidRPr="0090316C">
        <w:br/>
        <w:t>Bleomycin-induced pulmonary toxicity is a well-recognized complication, with increased risk in patients with underlying lung disease (such as asthma), mediastinal primaries, older age, smoking history, and those receiving higher cumulative bleomycin doses.</w:t>
      </w:r>
      <w:hyperlink r:id="rId32" w:history="1">
        <w:r w:rsidRPr="0090316C">
          <w:rPr>
            <w:color w:val="0000FF"/>
            <w:u w:val="single"/>
          </w:rPr>
          <w:t>[2]</w:t>
        </w:r>
      </w:hyperlink>
      <w:hyperlink r:id="rId33" w:history="1">
        <w:r w:rsidRPr="0090316C">
          <w:rPr>
            <w:color w:val="0000FF"/>
            <w:u w:val="single"/>
          </w:rPr>
          <w:t>[4]</w:t>
        </w:r>
      </w:hyperlink>
      <w:hyperlink r:id="rId34" w:history="1">
        <w:r w:rsidRPr="0090316C">
          <w:rPr>
            <w:color w:val="0000FF"/>
            <w:u w:val="single"/>
          </w:rPr>
          <w:t>[9]</w:t>
        </w:r>
      </w:hyperlink>
      <w:hyperlink r:id="rId35" w:history="1">
        <w:r w:rsidRPr="0090316C">
          <w:rPr>
            <w:color w:val="0000FF"/>
            <w:u w:val="single"/>
          </w:rPr>
          <w:t>[10]</w:t>
        </w:r>
      </w:hyperlink>
      <w:hyperlink r:id="rId36" w:history="1">
        <w:r w:rsidRPr="0090316C">
          <w:rPr>
            <w:color w:val="0000FF"/>
            <w:u w:val="single"/>
          </w:rPr>
          <w:t>[11]</w:t>
        </w:r>
      </w:hyperlink>
      <w:r w:rsidRPr="0090316C">
        <w:t xml:space="preserve"> Pulmonary toxicity can range from subclinical declines in diffusing capacity to life-threatening pneumonitis and fibrosis. VIP avoids bleomycin-related lung injury but is associated with </w:t>
      </w:r>
      <w:r w:rsidRPr="0090316C">
        <w:rPr>
          <w:b/>
          <w:bCs/>
        </w:rPr>
        <w:t>increased hematologic toxicity</w:t>
      </w:r>
      <w:r w:rsidRPr="0090316C">
        <w:t>, including higher rates of myelosuppression, febrile neutropenia, and genitourinary toxicity.</w:t>
      </w:r>
      <w:hyperlink r:id="rId37" w:history="1">
        <w:r w:rsidRPr="0090316C">
          <w:rPr>
            <w:color w:val="0000FF"/>
            <w:u w:val="single"/>
          </w:rPr>
          <w:t>[5]</w:t>
        </w:r>
      </w:hyperlink>
      <w:hyperlink r:id="rId38" w:history="1">
        <w:r w:rsidRPr="0090316C">
          <w:rPr>
            <w:color w:val="0000FF"/>
            <w:u w:val="single"/>
          </w:rPr>
          <w:t>[6]</w:t>
        </w:r>
      </w:hyperlink>
      <w:hyperlink r:id="rId39" w:history="1">
        <w:r w:rsidRPr="0090316C">
          <w:rPr>
            <w:color w:val="0000FF"/>
            <w:u w:val="single"/>
          </w:rPr>
          <w:t>[7]</w:t>
        </w:r>
      </w:hyperlink>
      <w:hyperlink r:id="rId40" w:history="1">
        <w:r w:rsidRPr="0090316C">
          <w:rPr>
            <w:color w:val="0000FF"/>
            <w:u w:val="single"/>
          </w:rPr>
          <w:t>[8]</w:t>
        </w:r>
      </w:hyperlink>
      <w:r w:rsidRPr="0090316C">
        <w:t xml:space="preserve"> The risk of severe pulmonary complications with BEP is low in the general population, but can be clinically significant in high-risk individuals.</w:t>
      </w:r>
      <w:hyperlink r:id="rId41" w:history="1">
        <w:r w:rsidRPr="0090316C">
          <w:rPr>
            <w:color w:val="0000FF"/>
            <w:u w:val="single"/>
          </w:rPr>
          <w:t>[9]</w:t>
        </w:r>
      </w:hyperlink>
      <w:hyperlink r:id="rId42" w:history="1">
        <w:r w:rsidRPr="0090316C">
          <w:rPr>
            <w:color w:val="0000FF"/>
            <w:u w:val="single"/>
          </w:rPr>
          <w:t>[10]</w:t>
        </w:r>
      </w:hyperlink>
      <w:hyperlink r:id="rId43" w:history="1">
        <w:r w:rsidRPr="0090316C">
          <w:rPr>
            <w:color w:val="0000FF"/>
            <w:u w:val="single"/>
          </w:rPr>
          <w:t>[11]</w:t>
        </w:r>
      </w:hyperlink>
      <w:r w:rsidRPr="0090316C">
        <w:br/>
      </w:r>
      <w:r w:rsidRPr="0090316C">
        <w:br/>
      </w:r>
      <w:r w:rsidRPr="0090316C">
        <w:rPr>
          <w:b/>
          <w:bCs/>
        </w:rPr>
        <w:t>Guidelines recommend VIP as an alternative to BEP in patients at higher risk for bleomycin-induced lung injury</w:t>
      </w:r>
      <w:r w:rsidRPr="0090316C">
        <w:t>, such as those with pre-existing pulmonary disease, extensive pulmonary metastases, or other risk factors.</w:t>
      </w:r>
      <w:hyperlink r:id="rId44" w:history="1">
        <w:r w:rsidRPr="0090316C">
          <w:rPr>
            <w:color w:val="0000FF"/>
            <w:u w:val="single"/>
          </w:rPr>
          <w:t>[1]</w:t>
        </w:r>
      </w:hyperlink>
      <w:hyperlink r:id="rId45" w:history="1">
        <w:r w:rsidRPr="0090316C">
          <w:rPr>
            <w:color w:val="0000FF"/>
            <w:u w:val="single"/>
          </w:rPr>
          <w:t>[2]</w:t>
        </w:r>
      </w:hyperlink>
      <w:hyperlink r:id="rId46" w:history="1">
        <w:r w:rsidRPr="0090316C">
          <w:rPr>
            <w:color w:val="0000FF"/>
            <w:u w:val="single"/>
          </w:rPr>
          <w:t>[3]</w:t>
        </w:r>
      </w:hyperlink>
      <w:r w:rsidRPr="0090316C">
        <w:t xml:space="preserve"> The choice between BEP and VIP should be individualized, balancing the risk of pulmonary toxicity against the increased hematologic morbidity associated with VIP.</w:t>
      </w:r>
      <w:hyperlink r:id="rId47" w:history="1">
        <w:r w:rsidRPr="0090316C">
          <w:rPr>
            <w:color w:val="0000FF"/>
            <w:u w:val="single"/>
          </w:rPr>
          <w:t>[1]</w:t>
        </w:r>
      </w:hyperlink>
      <w:hyperlink r:id="rId48" w:history="1">
        <w:r w:rsidRPr="0090316C">
          <w:rPr>
            <w:color w:val="0000FF"/>
            <w:u w:val="single"/>
          </w:rPr>
          <w:t>[2]</w:t>
        </w:r>
      </w:hyperlink>
      <w:hyperlink r:id="rId49" w:history="1">
        <w:r w:rsidRPr="0090316C">
          <w:rPr>
            <w:color w:val="0000FF"/>
            <w:u w:val="single"/>
          </w:rPr>
          <w:t>[4]</w:t>
        </w:r>
      </w:hyperlink>
      <w:hyperlink r:id="rId50" w:history="1">
        <w:r w:rsidRPr="0090316C">
          <w:rPr>
            <w:color w:val="0000FF"/>
            <w:u w:val="single"/>
          </w:rPr>
          <w:t>[5]</w:t>
        </w:r>
      </w:hyperlink>
      <w:hyperlink r:id="rId51" w:history="1">
        <w:r w:rsidRPr="0090316C">
          <w:rPr>
            <w:color w:val="0000FF"/>
            <w:u w:val="single"/>
          </w:rPr>
          <w:t>[6]</w:t>
        </w:r>
      </w:hyperlink>
      <w:hyperlink r:id="rId52" w:history="1">
        <w:r w:rsidRPr="0090316C">
          <w:rPr>
            <w:color w:val="0000FF"/>
            <w:u w:val="single"/>
          </w:rPr>
          <w:t>[7]</w:t>
        </w:r>
      </w:hyperlink>
      <w:r w:rsidRPr="0090316C">
        <w:t xml:space="preserve"> </w:t>
      </w:r>
      <w:r w:rsidRPr="0090316C">
        <w:rPr>
          <w:b/>
          <w:bCs/>
        </w:rPr>
        <w:t>BEP is preferred when feasible due to lower hematologic toxicity</w:t>
      </w:r>
      <w:r w:rsidRPr="0090316C">
        <w:t>, but VIP is appropriate when pulmonary risk is elevated. There is no evidence supporting routine use of VIP over BEP except in cases of increased pulmonary risk.</w:t>
      </w:r>
      <w:hyperlink r:id="rId53" w:history="1">
        <w:r w:rsidRPr="0090316C">
          <w:rPr>
            <w:color w:val="0000FF"/>
            <w:u w:val="single"/>
          </w:rPr>
          <w:t>[1]</w:t>
        </w:r>
      </w:hyperlink>
      <w:hyperlink r:id="rId54" w:history="1">
        <w:r w:rsidRPr="0090316C">
          <w:rPr>
            <w:color w:val="0000FF"/>
            <w:u w:val="single"/>
          </w:rPr>
          <w:t>[2]</w:t>
        </w:r>
      </w:hyperlink>
      <w:hyperlink r:id="rId55" w:history="1">
        <w:r w:rsidRPr="0090316C">
          <w:rPr>
            <w:color w:val="0000FF"/>
            <w:u w:val="single"/>
          </w:rPr>
          <w:t>[3]</w:t>
        </w:r>
      </w:hyperlink>
      <w:r w:rsidRPr="0090316C">
        <w:br/>
      </w:r>
      <w:r w:rsidRPr="0090316C">
        <w:br/>
        <w:t xml:space="preserve">In summary, </w:t>
      </w:r>
      <w:r w:rsidRPr="0090316C">
        <w:rPr>
          <w:b/>
          <w:bCs/>
        </w:rPr>
        <w:t>VIP is recommended over BEP in patients at higher risk for bleomycin-induced lung injury</w:t>
      </w:r>
      <w:r w:rsidRPr="0090316C">
        <w:t xml:space="preserve">, such as those with comorbid asthma, but both regimens offer comparable survival and cure rates. The decision should be individualized, with careful consideration of </w:t>
      </w:r>
      <w:r w:rsidRPr="0090316C">
        <w:lastRenderedPageBreak/>
        <w:t>pulmonary and hematologic risks.</w:t>
      </w:r>
      <w:r w:rsidRPr="0090316C">
        <w:br/>
      </w:r>
      <w:r w:rsidRPr="0090316C">
        <w:br/>
      </w:r>
      <w:r w:rsidRPr="0090316C">
        <w:br/>
        <w:t>Would you like me to summarize the latest data on risk stratification tools or predictive models for bleomycin-induced pulmonary toxicity, specifically in patients with pre-existing pulmonary conditions like asthma, to help further individualize regimen selection?</w:t>
      </w:r>
    </w:p>
    <w:p w14:paraId="44696F40" w14:textId="77777777" w:rsidR="0090316C" w:rsidRPr="0090316C" w:rsidRDefault="0090316C" w:rsidP="0090316C">
      <w:pPr>
        <w:spacing w:before="100" w:beforeAutospacing="1" w:after="100" w:afterAutospacing="1"/>
        <w:outlineLvl w:val="2"/>
        <w:rPr>
          <w:b/>
          <w:bCs/>
          <w:sz w:val="27"/>
          <w:szCs w:val="27"/>
        </w:rPr>
      </w:pPr>
      <w:r w:rsidRPr="0090316C">
        <w:rPr>
          <w:b/>
          <w:bCs/>
          <w:sz w:val="27"/>
          <w:szCs w:val="27"/>
        </w:rPr>
        <w:t>References</w:t>
      </w:r>
    </w:p>
    <w:p w14:paraId="1BDDC2AB" w14:textId="77777777" w:rsidR="0090316C" w:rsidRPr="0090316C" w:rsidRDefault="0090316C" w:rsidP="0090316C">
      <w:pPr>
        <w:numPr>
          <w:ilvl w:val="0"/>
          <w:numId w:val="1"/>
        </w:numPr>
        <w:spacing w:before="100" w:beforeAutospacing="1" w:after="100" w:afterAutospacing="1"/>
      </w:pPr>
      <w:hyperlink r:id="rId56" w:history="1">
        <w:r w:rsidRPr="0090316C">
          <w:rPr>
            <w:color w:val="0000FF"/>
            <w:u w:val="single"/>
          </w:rPr>
          <w:t>Testicular Cancer</w:t>
        </w:r>
      </w:hyperlink>
      <w:r w:rsidRPr="0090316C">
        <w:t>. Chavarriaga J, Nappi L, Papachristofilou A, Conduit C, Hamilton RJ. Lancet (London, England). 2025;406(10498):76-90. doi:10.1016/S0140-6736(25)00455-6.</w:t>
      </w:r>
    </w:p>
    <w:p w14:paraId="2581DA7D" w14:textId="77777777" w:rsidR="0090316C" w:rsidRPr="0090316C" w:rsidRDefault="0090316C" w:rsidP="0090316C">
      <w:pPr>
        <w:numPr>
          <w:ilvl w:val="0"/>
          <w:numId w:val="1"/>
        </w:numPr>
        <w:spacing w:before="100" w:beforeAutospacing="1" w:after="100" w:afterAutospacing="1"/>
      </w:pPr>
      <w:hyperlink r:id="rId57" w:history="1">
        <w:r w:rsidRPr="0090316C">
          <w:rPr>
            <w:color w:val="0000FF"/>
            <w:u w:val="single"/>
          </w:rPr>
          <w:t>Testicular Germ Cell Tumors: A Review</w:t>
        </w:r>
      </w:hyperlink>
      <w:r w:rsidRPr="0090316C">
        <w:t>. Singla N, Bagrodia A, Baraban E, Fankhauser CD, Ged YMA. JAMA. 2025;333(9):793-803. doi:10.1001/jama.2024.27122.</w:t>
      </w:r>
    </w:p>
    <w:p w14:paraId="01A7A204" w14:textId="77777777" w:rsidR="0090316C" w:rsidRPr="0090316C" w:rsidRDefault="0090316C" w:rsidP="0090316C">
      <w:pPr>
        <w:numPr>
          <w:ilvl w:val="0"/>
          <w:numId w:val="1"/>
        </w:numPr>
        <w:spacing w:before="100" w:beforeAutospacing="1" w:after="100" w:afterAutospacing="1"/>
      </w:pPr>
      <w:hyperlink r:id="rId58" w:history="1">
        <w:r w:rsidRPr="0090316C">
          <w:rPr>
            <w:color w:val="0000FF"/>
            <w:u w:val="single"/>
          </w:rPr>
          <w:t>Testicular Germ Cell Tumours</w:t>
        </w:r>
      </w:hyperlink>
      <w:r w:rsidRPr="0090316C">
        <w:t>. Rajpert-De Meyts E, McGlynn KA, Okamoto K, Jewett MA, Bokemeyer C. Lancet (London, England). 2016;387(10029):1762-74. doi:10.1016/S0140-6736(15)00991-5.</w:t>
      </w:r>
    </w:p>
    <w:p w14:paraId="16FF1433" w14:textId="77777777" w:rsidR="0090316C" w:rsidRPr="0090316C" w:rsidRDefault="0090316C" w:rsidP="0090316C">
      <w:pPr>
        <w:numPr>
          <w:ilvl w:val="0"/>
          <w:numId w:val="1"/>
        </w:numPr>
        <w:spacing w:before="100" w:beforeAutospacing="1" w:after="100" w:afterAutospacing="1"/>
      </w:pPr>
      <w:hyperlink r:id="rId59" w:history="1">
        <w:r w:rsidRPr="0090316C">
          <w:rPr>
            <w:color w:val="0000FF"/>
            <w:u w:val="single"/>
          </w:rPr>
          <w:t>BEP in intermediate- and poor-risk advanced non-seminomatous germ cell tumor (NSGCT): Standing the test of time</w:t>
        </w:r>
      </w:hyperlink>
      <w:r w:rsidRPr="0090316C">
        <w:t>. Dhanawat A, Jadhav B, Tiwari A, et al. Journal of Clinical Oncology. 2025;43(Suppl 16):5026. doi:10.1200/JCO.2025.43.16_suppl.5026.</w:t>
      </w:r>
    </w:p>
    <w:p w14:paraId="52B6AA77" w14:textId="77777777" w:rsidR="0090316C" w:rsidRPr="0090316C" w:rsidRDefault="0090316C" w:rsidP="0090316C">
      <w:pPr>
        <w:numPr>
          <w:ilvl w:val="0"/>
          <w:numId w:val="1"/>
        </w:numPr>
        <w:spacing w:before="100" w:beforeAutospacing="1" w:after="100" w:afterAutospacing="1"/>
      </w:pPr>
      <w:hyperlink r:id="rId60" w:history="1">
        <w:r w:rsidRPr="0090316C">
          <w:rPr>
            <w:color w:val="0000FF"/>
            <w:u w:val="single"/>
          </w:rPr>
          <w:t>Cisplatin, Etoposide and Either Bleomycin or Ifosfamide in the Treatment of Disseminated Germ Cell Tumors: Final Analysis of an Intergroup Trial</w:t>
        </w:r>
      </w:hyperlink>
      <w:r w:rsidRPr="0090316C">
        <w:t>. Hinton S, Catalano PJ, Einhorn LH, et al. Cancer. 2003;97(8):1869-75. doi:10.1002/cncr.11271.</w:t>
      </w:r>
    </w:p>
    <w:p w14:paraId="44B67694" w14:textId="77777777" w:rsidR="0090316C" w:rsidRPr="0090316C" w:rsidRDefault="0090316C" w:rsidP="0090316C">
      <w:pPr>
        <w:numPr>
          <w:ilvl w:val="0"/>
          <w:numId w:val="1"/>
        </w:numPr>
        <w:spacing w:before="100" w:beforeAutospacing="1" w:after="100" w:afterAutospacing="1"/>
      </w:pPr>
      <w:hyperlink r:id="rId61" w:history="1">
        <w:r w:rsidRPr="0090316C">
          <w:rPr>
            <w:color w:val="0000FF"/>
            <w:u w:val="single"/>
          </w:rPr>
          <w:t>Randomized Comparison of Cisplatin and Etoposide and Either Bleomycin or Ifosfamide in Treatment of Advanced Disseminated Germ Cell Tumors: An Eastern Cooperative Oncology Group, Southwest Oncology Group, and Cancer and Leukemia Group B Study</w:t>
        </w:r>
      </w:hyperlink>
      <w:r w:rsidRPr="0090316C">
        <w:t>. Nichols CR, Catalano PJ, Crawford ED, et al. Journal of Clinical Oncology : Official Journal of the American Society of Clinical Oncology. 1998;16(4):1287-93. doi:10.1200/JCO.1998.16.4.1287.</w:t>
      </w:r>
    </w:p>
    <w:p w14:paraId="26EFD7BF" w14:textId="77777777" w:rsidR="0090316C" w:rsidRPr="0090316C" w:rsidRDefault="0090316C" w:rsidP="0090316C">
      <w:pPr>
        <w:numPr>
          <w:ilvl w:val="0"/>
          <w:numId w:val="1"/>
        </w:numPr>
        <w:spacing w:before="100" w:beforeAutospacing="1" w:after="100" w:afterAutospacing="1"/>
      </w:pPr>
      <w:hyperlink r:id="rId62" w:history="1">
        <w:r w:rsidRPr="0090316C">
          <w:rPr>
            <w:color w:val="0000FF"/>
            <w:u w:val="single"/>
          </w:rPr>
          <w:t>Four Cycles of BEP vs Four Cycles of VIP in Patients With Intermediate-Prognosis Metastatic Testicular Non-Seminoma: A Randomized Study of the EORTC Genitourinary Tract Cancer Cooperative Group. European Organization for Research and Treatment of Cancer</w:t>
        </w:r>
      </w:hyperlink>
      <w:r w:rsidRPr="0090316C">
        <w:t>. de Wit R, Stoter G, Sleijfer DT, et al. British Journal of Cancer. 1998;78(6):828-32. doi:10.1038/bjc.1998.587.</w:t>
      </w:r>
    </w:p>
    <w:p w14:paraId="5A3474E8" w14:textId="77777777" w:rsidR="0090316C" w:rsidRPr="0090316C" w:rsidRDefault="0090316C" w:rsidP="0090316C">
      <w:pPr>
        <w:numPr>
          <w:ilvl w:val="0"/>
          <w:numId w:val="1"/>
        </w:numPr>
        <w:spacing w:before="100" w:beforeAutospacing="1" w:after="100" w:afterAutospacing="1"/>
      </w:pPr>
      <w:hyperlink r:id="rId63" w:history="1">
        <w:r w:rsidRPr="0090316C">
          <w:rPr>
            <w:color w:val="0000FF"/>
            <w:u w:val="single"/>
          </w:rPr>
          <w:t>Intensive Induction-Sequential Chemotherapy With BOP/VIP-B Compared With Treatment With BEP/EP for Poor-Prognosis Metastatic Nonseminomatous Germ Cell Tumor: A Randomized Medical Research Council/European Organization for Research and Treatment of Cancer Study</w:t>
        </w:r>
      </w:hyperlink>
      <w:r w:rsidRPr="0090316C">
        <w:t>. Kaye SB, Mead GM, Fossa S, et al. Journal of Clinical Oncology : Official Journal of the American Society of Clinical Oncology. 1998;16(2):692-701. doi:10.1200/JCO.1998.16.2.692.</w:t>
      </w:r>
    </w:p>
    <w:p w14:paraId="2975BCCD" w14:textId="77777777" w:rsidR="0090316C" w:rsidRPr="0090316C" w:rsidRDefault="0090316C" w:rsidP="0090316C">
      <w:pPr>
        <w:numPr>
          <w:ilvl w:val="0"/>
          <w:numId w:val="1"/>
        </w:numPr>
        <w:spacing w:before="100" w:beforeAutospacing="1" w:after="100" w:afterAutospacing="1"/>
      </w:pPr>
      <w:hyperlink r:id="rId64" w:history="1">
        <w:r w:rsidRPr="0090316C">
          <w:rPr>
            <w:color w:val="0000FF"/>
            <w:u w:val="single"/>
          </w:rPr>
          <w:t>Pulmonary Function in Patients With Germ Cell Cancer Treated With Bleomycin, Etoposide, and Cisplatin</w:t>
        </w:r>
      </w:hyperlink>
      <w:r w:rsidRPr="0090316C">
        <w:t>. Lauritsen J, Kier MG, Bandak M, et al. Journal of Clinical Oncology : Official Journal of the American Society of Clinical Oncology. 2016;34(13):1492-9. doi:10.1200/JCO.2015.64.8451.</w:t>
      </w:r>
    </w:p>
    <w:p w14:paraId="24D8DA1E" w14:textId="77777777" w:rsidR="0090316C" w:rsidRPr="0090316C" w:rsidRDefault="0090316C" w:rsidP="0090316C">
      <w:pPr>
        <w:numPr>
          <w:ilvl w:val="0"/>
          <w:numId w:val="1"/>
        </w:numPr>
        <w:spacing w:before="100" w:beforeAutospacing="1" w:after="100" w:afterAutospacing="1"/>
      </w:pPr>
      <w:hyperlink r:id="rId65" w:history="1">
        <w:r w:rsidRPr="0090316C">
          <w:rPr>
            <w:color w:val="0000FF"/>
            <w:u w:val="single"/>
          </w:rPr>
          <w:t>Prognostic Impact of Bleomycin Pulmonary Toxicity on the Outcomes of Patients With Germ Cell Tumors</w:t>
        </w:r>
      </w:hyperlink>
      <w:r w:rsidRPr="0090316C">
        <w:t>. Maruyama Y, Sadahira T, Mitsui Y, et al. Medical Oncology (Northwood, London, England). 2018;35(6):80. doi:10.1007/s12032-018-1140-5.</w:t>
      </w:r>
    </w:p>
    <w:p w14:paraId="2E347BFA" w14:textId="77777777" w:rsidR="0090316C" w:rsidRPr="0090316C" w:rsidRDefault="0090316C" w:rsidP="0090316C">
      <w:pPr>
        <w:numPr>
          <w:ilvl w:val="0"/>
          <w:numId w:val="1"/>
        </w:numPr>
        <w:spacing w:before="100" w:beforeAutospacing="1" w:after="100" w:afterAutospacing="1"/>
      </w:pPr>
      <w:hyperlink r:id="rId66" w:history="1">
        <w:r w:rsidRPr="0090316C">
          <w:rPr>
            <w:color w:val="0000FF"/>
            <w:u w:val="single"/>
          </w:rPr>
          <w:t>A Randomized Phase III Study of 72 h Infusional Versus Bolus Bleomycin in BEP (Bleomycin, Etoposide and Cisplatin) Chemotherapy to Treat IGCCCG Good Prognosis Metastatic Germ Cell Tumours (TE-3)</w:t>
        </w:r>
      </w:hyperlink>
      <w:r w:rsidRPr="0090316C">
        <w:t>. Shamash J, Sarker SJ, Huddart R, et al. Annals of Oncology : Official Journal of the European Society for Medical Oncology. 2017;28(6):1333-1338. doi:10.1093/annonc/mdx071.</w:t>
      </w:r>
    </w:p>
    <w:p w14:paraId="2A0EB3A4" w14:textId="6B4ECDEC" w:rsidR="0090316C" w:rsidRDefault="0090316C">
      <w:pPr>
        <w:spacing w:after="160" w:line="278" w:lineRule="auto"/>
      </w:pPr>
      <w:r>
        <w:br w:type="page"/>
      </w:r>
    </w:p>
    <w:p w14:paraId="50DA2D3F" w14:textId="77777777" w:rsidR="0090316C" w:rsidRPr="0090316C" w:rsidRDefault="0090316C" w:rsidP="0090316C">
      <w:pPr>
        <w:spacing w:before="100" w:beforeAutospacing="1" w:after="100" w:afterAutospacing="1"/>
      </w:pPr>
      <w:r w:rsidRPr="0090316C">
        <w:lastRenderedPageBreak/>
        <w:t xml:space="preserve">Here’s the </w:t>
      </w:r>
      <w:r w:rsidRPr="0090316C">
        <w:rPr>
          <w:b/>
          <w:bCs/>
        </w:rPr>
        <w:t>color-coded evidence-ranked summary</w:t>
      </w:r>
      <w:r w:rsidRPr="0090316C">
        <w:t xml:space="preserve"> for </w:t>
      </w:r>
      <w:r w:rsidRPr="0090316C">
        <w:rPr>
          <w:b/>
          <w:bCs/>
        </w:rPr>
        <w:t>BEP vs VIP in primary mediastinal non-seminomatous germ cell tumor (NSGCT)</w:t>
      </w:r>
      <w:r w:rsidRPr="0090316C">
        <w:t xml:space="preserve"> — optimized for slide decks, publications, or clinical evidence summaries.</w:t>
      </w:r>
      <w:r w:rsidRPr="0090316C">
        <w:br/>
      </w:r>
      <w:r w:rsidRPr="0090316C">
        <w:rPr>
          <w:rFonts w:ascii="Apple Color Emoji" w:hAnsi="Apple Color Emoji" w:cs="Apple Color Emoji"/>
        </w:rPr>
        <w:t>🟩</w:t>
      </w:r>
      <w:r w:rsidRPr="0090316C">
        <w:t xml:space="preserve"> = </w:t>
      </w:r>
      <w:r w:rsidRPr="0090316C">
        <w:rPr>
          <w:b/>
          <w:bCs/>
        </w:rPr>
        <w:t>Highest-level evidence (Guideline)</w:t>
      </w:r>
      <w:r w:rsidRPr="0090316C">
        <w:t xml:space="preserve"> → </w:t>
      </w:r>
      <w:r w:rsidRPr="0090316C">
        <w:rPr>
          <w:rFonts w:ascii="Apple Color Emoji" w:hAnsi="Apple Color Emoji" w:cs="Apple Color Emoji"/>
        </w:rPr>
        <w:t>🟫</w:t>
      </w:r>
      <w:r w:rsidRPr="0090316C">
        <w:t xml:space="preserve"> = </w:t>
      </w:r>
      <w:r w:rsidRPr="0090316C">
        <w:rPr>
          <w:b/>
          <w:bCs/>
        </w:rPr>
        <w:t>Lowest-level evidence (Preclinical)</w:t>
      </w:r>
    </w:p>
    <w:p w14:paraId="5D0699D5" w14:textId="77777777" w:rsidR="0090316C" w:rsidRPr="0090316C" w:rsidRDefault="00782633" w:rsidP="0090316C">
      <w:r w:rsidRPr="00782633">
        <w:rPr>
          <w:noProof/>
          <w14:ligatures w14:val="standardContextual"/>
        </w:rPr>
        <w:pict w14:anchorId="0B1ECCD8">
          <v:rect id="_x0000_i1028" alt="" style="width:468pt;height:.05pt;mso-width-percent:0;mso-height-percent:0;mso-width-percent:0;mso-height-percent:0" o:hralign="center" o:hrstd="t" o:hr="t" fillcolor="#a0a0a0" stroked="f"/>
        </w:pict>
      </w:r>
    </w:p>
    <w:p w14:paraId="61487950" w14:textId="77777777" w:rsidR="0090316C" w:rsidRPr="0090316C" w:rsidRDefault="0090316C" w:rsidP="0090316C">
      <w:pPr>
        <w:spacing w:before="100" w:beforeAutospacing="1" w:after="100" w:afterAutospacing="1"/>
        <w:outlineLvl w:val="2"/>
        <w:rPr>
          <w:b/>
          <w:bCs/>
          <w:sz w:val="27"/>
          <w:szCs w:val="27"/>
        </w:rPr>
      </w:pPr>
      <w:r w:rsidRPr="0090316C">
        <w:rPr>
          <w:b/>
          <w:bCs/>
          <w:sz w:val="27"/>
          <w:szCs w:val="27"/>
        </w:rPr>
        <w:t>Summary &amp; Recommendation</w:t>
      </w:r>
    </w:p>
    <w:p w14:paraId="3462D259" w14:textId="77777777" w:rsidR="0090316C" w:rsidRPr="0090316C" w:rsidRDefault="0090316C" w:rsidP="0090316C">
      <w:pPr>
        <w:spacing w:before="100" w:beforeAutospacing="1" w:after="100" w:afterAutospacing="1"/>
      </w:pPr>
      <w:r w:rsidRPr="0090316C">
        <w:t xml:space="preserve">This table synthesizes current evidence comparing </w:t>
      </w:r>
      <w:r w:rsidRPr="0090316C">
        <w:rPr>
          <w:b/>
          <w:bCs/>
        </w:rPr>
        <w:t>BEP (bleomycin, etoposide, cisplatin)</w:t>
      </w:r>
      <w:r w:rsidRPr="0090316C">
        <w:t xml:space="preserve"> versus </w:t>
      </w:r>
      <w:r w:rsidRPr="0090316C">
        <w:rPr>
          <w:b/>
          <w:bCs/>
        </w:rPr>
        <w:t>VIP (etoposide, ifosfamide, cisplatin)</w:t>
      </w:r>
      <w:r w:rsidRPr="0090316C">
        <w:t xml:space="preserve"> for intermediate- and poor-risk </w:t>
      </w:r>
      <w:r w:rsidRPr="0090316C">
        <w:rPr>
          <w:b/>
          <w:bCs/>
        </w:rPr>
        <w:t>primary mediastinal NSGCT</w:t>
      </w:r>
      <w:r w:rsidRPr="0090316C">
        <w:t xml:space="preserve">, ranked from highest to lowest evidence level. Major guidelines and randomized phase III trials demonstrate </w:t>
      </w:r>
      <w:r w:rsidRPr="0090316C">
        <w:rPr>
          <w:b/>
          <w:bCs/>
        </w:rPr>
        <w:t>comparable survival and cure rates</w:t>
      </w:r>
      <w:r w:rsidRPr="0090316C">
        <w:t xml:space="preserve"> between BEP and VIP. VIP eliminates bleomycin-related pulmonary toxicity but increases hematologic complications.</w:t>
      </w:r>
      <w:r w:rsidRPr="0090316C">
        <w:br/>
      </w:r>
      <w:r w:rsidRPr="0090316C">
        <w:rPr>
          <w:b/>
          <w:bCs/>
        </w:rPr>
        <w:t>Recommendation:</w:t>
      </w:r>
      <w:r w:rsidRPr="0090316C">
        <w:t xml:space="preserve"> For patients with pre-existing pulmonary disease (e.g., asthma), VIP is preferred to avoid bleomycin-induced lung injury. Otherwise, BEP remains standard due to lower hematologic toxicity.</w:t>
      </w:r>
    </w:p>
    <w:p w14:paraId="4E2C6378" w14:textId="77777777" w:rsidR="0090316C" w:rsidRPr="0090316C" w:rsidRDefault="00782633" w:rsidP="0090316C">
      <w:r w:rsidRPr="00782633">
        <w:rPr>
          <w:noProof/>
          <w14:ligatures w14:val="standardContextual"/>
        </w:rPr>
        <w:pict w14:anchorId="348FC334">
          <v:rect id="_x0000_i1027" alt="" style="width:468pt;height:.05pt;mso-width-percent:0;mso-height-percent:0;mso-width-percent:0;mso-height-percent:0"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110"/>
        <w:gridCol w:w="2451"/>
        <w:gridCol w:w="1896"/>
        <w:gridCol w:w="913"/>
        <w:gridCol w:w="2349"/>
      </w:tblGrid>
      <w:tr w:rsidR="0090316C" w:rsidRPr="0090316C" w14:paraId="47BEFB43" w14:textId="77777777">
        <w:trPr>
          <w:tblHeader/>
          <w:tblCellSpacing w:w="15" w:type="dxa"/>
        </w:trPr>
        <w:tc>
          <w:tcPr>
            <w:tcW w:w="0" w:type="auto"/>
            <w:vAlign w:val="center"/>
            <w:hideMark/>
          </w:tcPr>
          <w:p w14:paraId="17F0C2D8" w14:textId="77777777" w:rsidR="0090316C" w:rsidRPr="0090316C" w:rsidRDefault="0090316C" w:rsidP="0090316C">
            <w:pPr>
              <w:jc w:val="center"/>
              <w:rPr>
                <w:b/>
                <w:bCs/>
              </w:rPr>
            </w:pPr>
            <w:r w:rsidRPr="0090316C">
              <w:rPr>
                <w:b/>
                <w:bCs/>
              </w:rPr>
              <w:t>Rank</w:t>
            </w:r>
          </w:p>
        </w:tc>
        <w:tc>
          <w:tcPr>
            <w:tcW w:w="0" w:type="auto"/>
            <w:vAlign w:val="center"/>
            <w:hideMark/>
          </w:tcPr>
          <w:p w14:paraId="0A6FA08E" w14:textId="77777777" w:rsidR="0090316C" w:rsidRPr="0090316C" w:rsidRDefault="0090316C" w:rsidP="0090316C">
            <w:pPr>
              <w:jc w:val="center"/>
              <w:rPr>
                <w:b/>
                <w:bCs/>
              </w:rPr>
            </w:pPr>
            <w:r w:rsidRPr="0090316C">
              <w:rPr>
                <w:b/>
                <w:bCs/>
              </w:rPr>
              <w:t>Level of Evidence</w:t>
            </w:r>
          </w:p>
        </w:tc>
        <w:tc>
          <w:tcPr>
            <w:tcW w:w="0" w:type="auto"/>
            <w:vAlign w:val="center"/>
            <w:hideMark/>
          </w:tcPr>
          <w:p w14:paraId="776F1105" w14:textId="77777777" w:rsidR="0090316C" w:rsidRPr="0090316C" w:rsidRDefault="0090316C" w:rsidP="0090316C">
            <w:pPr>
              <w:jc w:val="center"/>
              <w:rPr>
                <w:b/>
                <w:bCs/>
              </w:rPr>
            </w:pPr>
            <w:r w:rsidRPr="0090316C">
              <w:rPr>
                <w:b/>
                <w:bCs/>
              </w:rPr>
              <w:t>Study Title</w:t>
            </w:r>
          </w:p>
        </w:tc>
        <w:tc>
          <w:tcPr>
            <w:tcW w:w="0" w:type="auto"/>
            <w:vAlign w:val="center"/>
            <w:hideMark/>
          </w:tcPr>
          <w:p w14:paraId="7AECD7D0" w14:textId="77777777" w:rsidR="0090316C" w:rsidRPr="0090316C" w:rsidRDefault="0090316C" w:rsidP="0090316C">
            <w:pPr>
              <w:jc w:val="center"/>
              <w:rPr>
                <w:b/>
                <w:bCs/>
              </w:rPr>
            </w:pPr>
            <w:r w:rsidRPr="0090316C">
              <w:rPr>
                <w:b/>
                <w:bCs/>
              </w:rPr>
              <w:t>Authors</w:t>
            </w:r>
          </w:p>
        </w:tc>
        <w:tc>
          <w:tcPr>
            <w:tcW w:w="0" w:type="auto"/>
            <w:vAlign w:val="center"/>
            <w:hideMark/>
          </w:tcPr>
          <w:p w14:paraId="6B202F16" w14:textId="77777777" w:rsidR="0090316C" w:rsidRPr="0090316C" w:rsidRDefault="0090316C" w:rsidP="0090316C">
            <w:pPr>
              <w:jc w:val="center"/>
              <w:rPr>
                <w:b/>
                <w:bCs/>
              </w:rPr>
            </w:pPr>
            <w:r w:rsidRPr="0090316C">
              <w:rPr>
                <w:b/>
                <w:bCs/>
              </w:rPr>
              <w:t>Journal (Year)</w:t>
            </w:r>
          </w:p>
        </w:tc>
        <w:tc>
          <w:tcPr>
            <w:tcW w:w="0" w:type="auto"/>
            <w:vAlign w:val="center"/>
            <w:hideMark/>
          </w:tcPr>
          <w:p w14:paraId="4CBB47D1" w14:textId="77777777" w:rsidR="0090316C" w:rsidRPr="0090316C" w:rsidRDefault="0090316C" w:rsidP="0090316C">
            <w:pPr>
              <w:jc w:val="center"/>
              <w:rPr>
                <w:b/>
                <w:bCs/>
              </w:rPr>
            </w:pPr>
            <w:r w:rsidRPr="0090316C">
              <w:rPr>
                <w:b/>
                <w:bCs/>
              </w:rPr>
              <w:t>Notes</w:t>
            </w:r>
          </w:p>
        </w:tc>
      </w:tr>
      <w:tr w:rsidR="0090316C" w:rsidRPr="0090316C" w14:paraId="086D6EF3" w14:textId="77777777">
        <w:trPr>
          <w:tblCellSpacing w:w="15" w:type="dxa"/>
        </w:trPr>
        <w:tc>
          <w:tcPr>
            <w:tcW w:w="0" w:type="auto"/>
            <w:vAlign w:val="center"/>
            <w:hideMark/>
          </w:tcPr>
          <w:p w14:paraId="04BA071F"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1</w:t>
            </w:r>
          </w:p>
        </w:tc>
        <w:tc>
          <w:tcPr>
            <w:tcW w:w="0" w:type="auto"/>
            <w:vAlign w:val="center"/>
            <w:hideMark/>
          </w:tcPr>
          <w:p w14:paraId="6FAFD234" w14:textId="77777777" w:rsidR="0090316C" w:rsidRPr="0090316C" w:rsidRDefault="0090316C" w:rsidP="0090316C">
            <w:r w:rsidRPr="0090316C">
              <w:rPr>
                <w:b/>
                <w:bCs/>
              </w:rPr>
              <w:t>Guideline</w:t>
            </w:r>
          </w:p>
        </w:tc>
        <w:tc>
          <w:tcPr>
            <w:tcW w:w="0" w:type="auto"/>
            <w:vAlign w:val="center"/>
            <w:hideMark/>
          </w:tcPr>
          <w:p w14:paraId="471FF998" w14:textId="77777777" w:rsidR="0090316C" w:rsidRPr="0090316C" w:rsidRDefault="0090316C" w:rsidP="0090316C">
            <w:r w:rsidRPr="0090316C">
              <w:rPr>
                <w:i/>
                <w:iCs/>
              </w:rPr>
              <w:t>Testicular Cancer</w:t>
            </w:r>
          </w:p>
        </w:tc>
        <w:tc>
          <w:tcPr>
            <w:tcW w:w="0" w:type="auto"/>
            <w:vAlign w:val="center"/>
            <w:hideMark/>
          </w:tcPr>
          <w:p w14:paraId="30B71ADB" w14:textId="77777777" w:rsidR="0090316C" w:rsidRPr="0090316C" w:rsidRDefault="0090316C" w:rsidP="0090316C">
            <w:r w:rsidRPr="0090316C">
              <w:t>Chavarriaga J, Nappi L, Papachristofilou A, Conduit C, Hamilton RJ</w:t>
            </w:r>
          </w:p>
        </w:tc>
        <w:tc>
          <w:tcPr>
            <w:tcW w:w="0" w:type="auto"/>
            <w:vAlign w:val="center"/>
            <w:hideMark/>
          </w:tcPr>
          <w:p w14:paraId="7B8E06D7" w14:textId="77777777" w:rsidR="0090316C" w:rsidRPr="0090316C" w:rsidRDefault="0090316C" w:rsidP="0090316C">
            <w:r w:rsidRPr="0090316C">
              <w:rPr>
                <w:i/>
                <w:iCs/>
              </w:rPr>
              <w:t>Lancet</w:t>
            </w:r>
            <w:r w:rsidRPr="0090316C">
              <w:t xml:space="preserve"> (2025)</w:t>
            </w:r>
          </w:p>
        </w:tc>
        <w:tc>
          <w:tcPr>
            <w:tcW w:w="0" w:type="auto"/>
            <w:vAlign w:val="center"/>
            <w:hideMark/>
          </w:tcPr>
          <w:p w14:paraId="12A96AA8" w14:textId="77777777" w:rsidR="0090316C" w:rsidRPr="0090316C" w:rsidRDefault="0090316C" w:rsidP="0090316C">
            <w:r w:rsidRPr="0090316C">
              <w:t>Comprehensive guideline summarizing systemic therapy of germ cell tumors; BEP standard, VIP alternative in bleomycin risk.</w:t>
            </w:r>
          </w:p>
        </w:tc>
      </w:tr>
      <w:tr w:rsidR="0090316C" w:rsidRPr="0090316C" w14:paraId="0B79814F" w14:textId="77777777">
        <w:trPr>
          <w:tblCellSpacing w:w="15" w:type="dxa"/>
        </w:trPr>
        <w:tc>
          <w:tcPr>
            <w:tcW w:w="0" w:type="auto"/>
            <w:vAlign w:val="center"/>
            <w:hideMark/>
          </w:tcPr>
          <w:p w14:paraId="6946116E"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1</w:t>
            </w:r>
          </w:p>
        </w:tc>
        <w:tc>
          <w:tcPr>
            <w:tcW w:w="0" w:type="auto"/>
            <w:vAlign w:val="center"/>
            <w:hideMark/>
          </w:tcPr>
          <w:p w14:paraId="401788CB" w14:textId="77777777" w:rsidR="0090316C" w:rsidRPr="0090316C" w:rsidRDefault="0090316C" w:rsidP="0090316C">
            <w:r w:rsidRPr="0090316C">
              <w:rPr>
                <w:b/>
                <w:bCs/>
              </w:rPr>
              <w:t>Guideline</w:t>
            </w:r>
          </w:p>
        </w:tc>
        <w:tc>
          <w:tcPr>
            <w:tcW w:w="0" w:type="auto"/>
            <w:vAlign w:val="center"/>
            <w:hideMark/>
          </w:tcPr>
          <w:p w14:paraId="61E7B9CC" w14:textId="77777777" w:rsidR="0090316C" w:rsidRPr="0090316C" w:rsidRDefault="0090316C" w:rsidP="0090316C">
            <w:r w:rsidRPr="0090316C">
              <w:rPr>
                <w:i/>
                <w:iCs/>
              </w:rPr>
              <w:t>Testicular Germ Cell Tumors: A Review</w:t>
            </w:r>
          </w:p>
        </w:tc>
        <w:tc>
          <w:tcPr>
            <w:tcW w:w="0" w:type="auto"/>
            <w:vAlign w:val="center"/>
            <w:hideMark/>
          </w:tcPr>
          <w:p w14:paraId="11CFB016" w14:textId="77777777" w:rsidR="0090316C" w:rsidRPr="0090316C" w:rsidRDefault="0090316C" w:rsidP="0090316C">
            <w:r w:rsidRPr="0090316C">
              <w:t>Singla N, Bagrodia A, Baraban E, Fankhauser CD, Ged YMA</w:t>
            </w:r>
          </w:p>
        </w:tc>
        <w:tc>
          <w:tcPr>
            <w:tcW w:w="0" w:type="auto"/>
            <w:vAlign w:val="center"/>
            <w:hideMark/>
          </w:tcPr>
          <w:p w14:paraId="67A301D3" w14:textId="77777777" w:rsidR="0090316C" w:rsidRPr="0090316C" w:rsidRDefault="0090316C" w:rsidP="0090316C">
            <w:r w:rsidRPr="0090316C">
              <w:rPr>
                <w:i/>
                <w:iCs/>
              </w:rPr>
              <w:t>JAMA</w:t>
            </w:r>
            <w:r w:rsidRPr="0090316C">
              <w:t xml:space="preserve"> (2025)</w:t>
            </w:r>
          </w:p>
        </w:tc>
        <w:tc>
          <w:tcPr>
            <w:tcW w:w="0" w:type="auto"/>
            <w:vAlign w:val="center"/>
            <w:hideMark/>
          </w:tcPr>
          <w:p w14:paraId="7389E094" w14:textId="77777777" w:rsidR="0090316C" w:rsidRPr="0090316C" w:rsidRDefault="0090316C" w:rsidP="0090316C">
            <w:r w:rsidRPr="0090316C">
              <w:t>Consensus on use of BEP as first-line; VIP in pulmonary risk or contraindication to bleomycin.</w:t>
            </w:r>
          </w:p>
        </w:tc>
      </w:tr>
      <w:tr w:rsidR="0090316C" w:rsidRPr="0090316C" w14:paraId="745F3E48" w14:textId="77777777">
        <w:trPr>
          <w:tblCellSpacing w:w="15" w:type="dxa"/>
        </w:trPr>
        <w:tc>
          <w:tcPr>
            <w:tcW w:w="0" w:type="auto"/>
            <w:vAlign w:val="center"/>
            <w:hideMark/>
          </w:tcPr>
          <w:p w14:paraId="4F626A9F"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1</w:t>
            </w:r>
          </w:p>
        </w:tc>
        <w:tc>
          <w:tcPr>
            <w:tcW w:w="0" w:type="auto"/>
            <w:vAlign w:val="center"/>
            <w:hideMark/>
          </w:tcPr>
          <w:p w14:paraId="0DA13513" w14:textId="77777777" w:rsidR="0090316C" w:rsidRPr="0090316C" w:rsidRDefault="0090316C" w:rsidP="0090316C">
            <w:r w:rsidRPr="0090316C">
              <w:rPr>
                <w:b/>
                <w:bCs/>
              </w:rPr>
              <w:t>Guideline</w:t>
            </w:r>
          </w:p>
        </w:tc>
        <w:tc>
          <w:tcPr>
            <w:tcW w:w="0" w:type="auto"/>
            <w:vAlign w:val="center"/>
            <w:hideMark/>
          </w:tcPr>
          <w:p w14:paraId="7C7DCF2C" w14:textId="77777777" w:rsidR="0090316C" w:rsidRPr="0090316C" w:rsidRDefault="0090316C" w:rsidP="0090316C">
            <w:r w:rsidRPr="0090316C">
              <w:rPr>
                <w:i/>
                <w:iCs/>
              </w:rPr>
              <w:t>Testicular Germ Cell Tumours</w:t>
            </w:r>
          </w:p>
        </w:tc>
        <w:tc>
          <w:tcPr>
            <w:tcW w:w="0" w:type="auto"/>
            <w:vAlign w:val="center"/>
            <w:hideMark/>
          </w:tcPr>
          <w:p w14:paraId="0181D0CF" w14:textId="77777777" w:rsidR="0090316C" w:rsidRPr="0090316C" w:rsidRDefault="0090316C" w:rsidP="0090316C">
            <w:r w:rsidRPr="0090316C">
              <w:t>Rajpert-De Meyts E, McGlynn KA, Okamoto K, Jewett MA, Bokemeyer C</w:t>
            </w:r>
          </w:p>
        </w:tc>
        <w:tc>
          <w:tcPr>
            <w:tcW w:w="0" w:type="auto"/>
            <w:vAlign w:val="center"/>
            <w:hideMark/>
          </w:tcPr>
          <w:p w14:paraId="6C345868" w14:textId="77777777" w:rsidR="0090316C" w:rsidRPr="0090316C" w:rsidRDefault="0090316C" w:rsidP="0090316C">
            <w:r w:rsidRPr="0090316C">
              <w:rPr>
                <w:i/>
                <w:iCs/>
              </w:rPr>
              <w:t>Lancet</w:t>
            </w:r>
            <w:r w:rsidRPr="0090316C">
              <w:t xml:space="preserve"> (2016)</w:t>
            </w:r>
          </w:p>
        </w:tc>
        <w:tc>
          <w:tcPr>
            <w:tcW w:w="0" w:type="auto"/>
            <w:vAlign w:val="center"/>
            <w:hideMark/>
          </w:tcPr>
          <w:p w14:paraId="2F308B5D" w14:textId="77777777" w:rsidR="0090316C" w:rsidRPr="0090316C" w:rsidRDefault="0090316C" w:rsidP="0090316C">
            <w:r w:rsidRPr="0090316C">
              <w:t>Foundational global guideline; BEP remains gold standard.</w:t>
            </w:r>
          </w:p>
        </w:tc>
      </w:tr>
      <w:tr w:rsidR="0090316C" w:rsidRPr="0090316C" w14:paraId="46B74B24" w14:textId="77777777">
        <w:trPr>
          <w:tblCellSpacing w:w="15" w:type="dxa"/>
        </w:trPr>
        <w:tc>
          <w:tcPr>
            <w:tcW w:w="0" w:type="auto"/>
            <w:vAlign w:val="center"/>
            <w:hideMark/>
          </w:tcPr>
          <w:p w14:paraId="04E545A6"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2</w:t>
            </w:r>
          </w:p>
        </w:tc>
        <w:tc>
          <w:tcPr>
            <w:tcW w:w="0" w:type="auto"/>
            <w:vAlign w:val="center"/>
            <w:hideMark/>
          </w:tcPr>
          <w:p w14:paraId="6AAD9D96" w14:textId="77777777" w:rsidR="0090316C" w:rsidRPr="0090316C" w:rsidRDefault="0090316C" w:rsidP="0090316C">
            <w:r w:rsidRPr="0090316C">
              <w:rPr>
                <w:b/>
                <w:bCs/>
              </w:rPr>
              <w:t>Meta-analysis</w:t>
            </w:r>
          </w:p>
        </w:tc>
        <w:tc>
          <w:tcPr>
            <w:tcW w:w="0" w:type="auto"/>
            <w:vAlign w:val="center"/>
            <w:hideMark/>
          </w:tcPr>
          <w:p w14:paraId="21836ABF" w14:textId="77777777" w:rsidR="0090316C" w:rsidRPr="0090316C" w:rsidRDefault="0090316C" w:rsidP="0090316C">
            <w:r w:rsidRPr="0090316C">
              <w:rPr>
                <w:i/>
                <w:iCs/>
              </w:rPr>
              <w:t>(No dedicated recent meta-analysis specific to BEP vs VIP in mediastinal NSGCT)</w:t>
            </w:r>
          </w:p>
        </w:tc>
        <w:tc>
          <w:tcPr>
            <w:tcW w:w="0" w:type="auto"/>
            <w:vAlign w:val="center"/>
            <w:hideMark/>
          </w:tcPr>
          <w:p w14:paraId="49A2E067" w14:textId="77777777" w:rsidR="0090316C" w:rsidRPr="0090316C" w:rsidRDefault="0090316C" w:rsidP="0090316C">
            <w:r w:rsidRPr="0090316C">
              <w:t>—</w:t>
            </w:r>
          </w:p>
        </w:tc>
        <w:tc>
          <w:tcPr>
            <w:tcW w:w="0" w:type="auto"/>
            <w:vAlign w:val="center"/>
            <w:hideMark/>
          </w:tcPr>
          <w:p w14:paraId="0887A00B" w14:textId="77777777" w:rsidR="0090316C" w:rsidRPr="0090316C" w:rsidRDefault="0090316C" w:rsidP="0090316C">
            <w:r w:rsidRPr="0090316C">
              <w:t>—</w:t>
            </w:r>
          </w:p>
        </w:tc>
        <w:tc>
          <w:tcPr>
            <w:tcW w:w="0" w:type="auto"/>
            <w:vAlign w:val="center"/>
            <w:hideMark/>
          </w:tcPr>
          <w:p w14:paraId="56138A8E" w14:textId="77777777" w:rsidR="0090316C" w:rsidRPr="0090316C" w:rsidRDefault="0090316C" w:rsidP="0090316C">
            <w:r w:rsidRPr="0090316C">
              <w:t>Placeholder — systematic meta-analyses lacking; data synthesized from pooled RCTs.</w:t>
            </w:r>
          </w:p>
        </w:tc>
      </w:tr>
      <w:tr w:rsidR="0090316C" w:rsidRPr="0090316C" w14:paraId="0C31DA74" w14:textId="77777777">
        <w:trPr>
          <w:tblCellSpacing w:w="15" w:type="dxa"/>
        </w:trPr>
        <w:tc>
          <w:tcPr>
            <w:tcW w:w="0" w:type="auto"/>
            <w:vAlign w:val="center"/>
            <w:hideMark/>
          </w:tcPr>
          <w:p w14:paraId="00CA90F4" w14:textId="77777777" w:rsidR="0090316C" w:rsidRPr="0090316C" w:rsidRDefault="0090316C" w:rsidP="0090316C">
            <w:r w:rsidRPr="0090316C">
              <w:rPr>
                <w:rFonts w:ascii="Apple Color Emoji" w:hAnsi="Apple Color Emoji" w:cs="Apple Color Emoji"/>
              </w:rPr>
              <w:lastRenderedPageBreak/>
              <w:t>🟨🟢</w:t>
            </w:r>
            <w:r w:rsidRPr="0090316C">
              <w:t xml:space="preserve"> </w:t>
            </w:r>
            <w:r w:rsidRPr="0090316C">
              <w:rPr>
                <w:b/>
                <w:bCs/>
              </w:rPr>
              <w:t>3</w:t>
            </w:r>
          </w:p>
        </w:tc>
        <w:tc>
          <w:tcPr>
            <w:tcW w:w="0" w:type="auto"/>
            <w:vAlign w:val="center"/>
            <w:hideMark/>
          </w:tcPr>
          <w:p w14:paraId="76279131" w14:textId="77777777" w:rsidR="0090316C" w:rsidRPr="0090316C" w:rsidRDefault="0090316C" w:rsidP="0090316C">
            <w:r w:rsidRPr="0090316C">
              <w:rPr>
                <w:b/>
                <w:bCs/>
              </w:rPr>
              <w:t>Phase 3 (P3) Trial</w:t>
            </w:r>
          </w:p>
        </w:tc>
        <w:tc>
          <w:tcPr>
            <w:tcW w:w="0" w:type="auto"/>
            <w:vAlign w:val="center"/>
            <w:hideMark/>
          </w:tcPr>
          <w:p w14:paraId="66F9F99D" w14:textId="77777777" w:rsidR="0090316C" w:rsidRPr="0090316C" w:rsidRDefault="0090316C" w:rsidP="0090316C">
            <w:r w:rsidRPr="0090316C">
              <w:rPr>
                <w:i/>
                <w:iCs/>
              </w:rPr>
              <w:t>Cisplatin, Etoposide and Either Bleomycin or Ifosfamide in the Treatment of Disseminated Germ Cell Tumors: Final Analysis of an Intergroup Trial</w:t>
            </w:r>
          </w:p>
        </w:tc>
        <w:tc>
          <w:tcPr>
            <w:tcW w:w="0" w:type="auto"/>
            <w:vAlign w:val="center"/>
            <w:hideMark/>
          </w:tcPr>
          <w:p w14:paraId="1EE9E829" w14:textId="77777777" w:rsidR="0090316C" w:rsidRPr="0090316C" w:rsidRDefault="0090316C" w:rsidP="0090316C">
            <w:r w:rsidRPr="0090316C">
              <w:t>Hinton S, Catalano PJ, Einhorn LH, et al.</w:t>
            </w:r>
          </w:p>
        </w:tc>
        <w:tc>
          <w:tcPr>
            <w:tcW w:w="0" w:type="auto"/>
            <w:vAlign w:val="center"/>
            <w:hideMark/>
          </w:tcPr>
          <w:p w14:paraId="0E7C247F" w14:textId="77777777" w:rsidR="0090316C" w:rsidRPr="0090316C" w:rsidRDefault="0090316C" w:rsidP="0090316C">
            <w:r w:rsidRPr="0090316C">
              <w:rPr>
                <w:i/>
                <w:iCs/>
              </w:rPr>
              <w:t>Cancer</w:t>
            </w:r>
            <w:r w:rsidRPr="0090316C">
              <w:t xml:space="preserve"> (2003)</w:t>
            </w:r>
          </w:p>
        </w:tc>
        <w:tc>
          <w:tcPr>
            <w:tcW w:w="0" w:type="auto"/>
            <w:vAlign w:val="center"/>
            <w:hideMark/>
          </w:tcPr>
          <w:p w14:paraId="4B90C712" w14:textId="77777777" w:rsidR="0090316C" w:rsidRPr="0090316C" w:rsidRDefault="0090316C" w:rsidP="0090316C">
            <w:r w:rsidRPr="0090316C">
              <w:t>No significant OS or PFS difference between BEP and VIP; VIP with higher hematologic toxicity.</w:t>
            </w:r>
          </w:p>
        </w:tc>
      </w:tr>
      <w:tr w:rsidR="0090316C" w:rsidRPr="0090316C" w14:paraId="7DCCC969" w14:textId="77777777">
        <w:trPr>
          <w:tblCellSpacing w:w="15" w:type="dxa"/>
        </w:trPr>
        <w:tc>
          <w:tcPr>
            <w:tcW w:w="0" w:type="auto"/>
            <w:vAlign w:val="center"/>
            <w:hideMark/>
          </w:tcPr>
          <w:p w14:paraId="6F96509B"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3</w:t>
            </w:r>
          </w:p>
        </w:tc>
        <w:tc>
          <w:tcPr>
            <w:tcW w:w="0" w:type="auto"/>
            <w:vAlign w:val="center"/>
            <w:hideMark/>
          </w:tcPr>
          <w:p w14:paraId="749F3A8C" w14:textId="77777777" w:rsidR="0090316C" w:rsidRPr="0090316C" w:rsidRDefault="0090316C" w:rsidP="0090316C">
            <w:r w:rsidRPr="0090316C">
              <w:rPr>
                <w:b/>
                <w:bCs/>
              </w:rPr>
              <w:t>Phase 3 (P3) Trial</w:t>
            </w:r>
          </w:p>
        </w:tc>
        <w:tc>
          <w:tcPr>
            <w:tcW w:w="0" w:type="auto"/>
            <w:vAlign w:val="center"/>
            <w:hideMark/>
          </w:tcPr>
          <w:p w14:paraId="1B9610D0" w14:textId="77777777" w:rsidR="0090316C" w:rsidRPr="0090316C" w:rsidRDefault="0090316C" w:rsidP="0090316C">
            <w:r w:rsidRPr="0090316C">
              <w:rPr>
                <w:i/>
                <w:iCs/>
              </w:rPr>
              <w:t>Randomized Comparison of Cisplatin and Etoposide and Either Bleomycin or Ifosfamide in Treatment of Advanced Disseminated Germ Cell Tumors</w:t>
            </w:r>
          </w:p>
        </w:tc>
        <w:tc>
          <w:tcPr>
            <w:tcW w:w="0" w:type="auto"/>
            <w:vAlign w:val="center"/>
            <w:hideMark/>
          </w:tcPr>
          <w:p w14:paraId="670FAA17" w14:textId="77777777" w:rsidR="0090316C" w:rsidRPr="0090316C" w:rsidRDefault="0090316C" w:rsidP="0090316C">
            <w:r w:rsidRPr="0090316C">
              <w:t>Nichols CR, Catalano PJ, Crawford ED, et al.</w:t>
            </w:r>
          </w:p>
        </w:tc>
        <w:tc>
          <w:tcPr>
            <w:tcW w:w="0" w:type="auto"/>
            <w:vAlign w:val="center"/>
            <w:hideMark/>
          </w:tcPr>
          <w:p w14:paraId="5EFD2CD7" w14:textId="77777777" w:rsidR="0090316C" w:rsidRPr="0090316C" w:rsidRDefault="0090316C" w:rsidP="0090316C">
            <w:r w:rsidRPr="0090316C">
              <w:rPr>
                <w:i/>
                <w:iCs/>
              </w:rPr>
              <w:t>J Clin Oncol</w:t>
            </w:r>
            <w:r w:rsidRPr="0090316C">
              <w:t xml:space="preserve"> (1998)</w:t>
            </w:r>
          </w:p>
        </w:tc>
        <w:tc>
          <w:tcPr>
            <w:tcW w:w="0" w:type="auto"/>
            <w:vAlign w:val="center"/>
            <w:hideMark/>
          </w:tcPr>
          <w:p w14:paraId="31AE10F1" w14:textId="77777777" w:rsidR="0090316C" w:rsidRPr="0090316C" w:rsidRDefault="0090316C" w:rsidP="0090316C">
            <w:r w:rsidRPr="0090316C">
              <w:t>Classic RCT showing equivalent survival; VIP increases myelosuppression.</w:t>
            </w:r>
          </w:p>
        </w:tc>
      </w:tr>
      <w:tr w:rsidR="0090316C" w:rsidRPr="0090316C" w14:paraId="4651E470" w14:textId="77777777">
        <w:trPr>
          <w:tblCellSpacing w:w="15" w:type="dxa"/>
        </w:trPr>
        <w:tc>
          <w:tcPr>
            <w:tcW w:w="0" w:type="auto"/>
            <w:vAlign w:val="center"/>
            <w:hideMark/>
          </w:tcPr>
          <w:p w14:paraId="3457B582"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3</w:t>
            </w:r>
          </w:p>
        </w:tc>
        <w:tc>
          <w:tcPr>
            <w:tcW w:w="0" w:type="auto"/>
            <w:vAlign w:val="center"/>
            <w:hideMark/>
          </w:tcPr>
          <w:p w14:paraId="23DB1984" w14:textId="77777777" w:rsidR="0090316C" w:rsidRPr="0090316C" w:rsidRDefault="0090316C" w:rsidP="0090316C">
            <w:r w:rsidRPr="0090316C">
              <w:rPr>
                <w:b/>
                <w:bCs/>
              </w:rPr>
              <w:t>Phase 3 (P3) Trial</w:t>
            </w:r>
          </w:p>
        </w:tc>
        <w:tc>
          <w:tcPr>
            <w:tcW w:w="0" w:type="auto"/>
            <w:vAlign w:val="center"/>
            <w:hideMark/>
          </w:tcPr>
          <w:p w14:paraId="276E95E7" w14:textId="77777777" w:rsidR="0090316C" w:rsidRPr="0090316C" w:rsidRDefault="0090316C" w:rsidP="0090316C">
            <w:r w:rsidRPr="0090316C">
              <w:rPr>
                <w:i/>
                <w:iCs/>
              </w:rPr>
              <w:t>Four Cycles of BEP vs Four Cycles of VIP in Patients With Intermediate-Prognosis Metastatic Testicular Non-Seminoma</w:t>
            </w:r>
          </w:p>
        </w:tc>
        <w:tc>
          <w:tcPr>
            <w:tcW w:w="0" w:type="auto"/>
            <w:vAlign w:val="center"/>
            <w:hideMark/>
          </w:tcPr>
          <w:p w14:paraId="58797431" w14:textId="77777777" w:rsidR="0090316C" w:rsidRPr="0090316C" w:rsidRDefault="0090316C" w:rsidP="0090316C">
            <w:r w:rsidRPr="0090316C">
              <w:t>de Wit R, Stoter G, Sleijfer DT, et al. (EORTC)</w:t>
            </w:r>
          </w:p>
        </w:tc>
        <w:tc>
          <w:tcPr>
            <w:tcW w:w="0" w:type="auto"/>
            <w:vAlign w:val="center"/>
            <w:hideMark/>
          </w:tcPr>
          <w:p w14:paraId="466B5B42" w14:textId="77777777" w:rsidR="0090316C" w:rsidRPr="0090316C" w:rsidRDefault="0090316C" w:rsidP="0090316C">
            <w:r w:rsidRPr="0090316C">
              <w:rPr>
                <w:i/>
                <w:iCs/>
              </w:rPr>
              <w:t>Br J Cancer</w:t>
            </w:r>
            <w:r w:rsidRPr="0090316C">
              <w:t xml:space="preserve"> (1998)</w:t>
            </w:r>
          </w:p>
        </w:tc>
        <w:tc>
          <w:tcPr>
            <w:tcW w:w="0" w:type="auto"/>
            <w:vAlign w:val="center"/>
            <w:hideMark/>
          </w:tcPr>
          <w:p w14:paraId="1F98DC8E" w14:textId="77777777" w:rsidR="0090316C" w:rsidRPr="0090316C" w:rsidRDefault="0090316C" w:rsidP="0090316C">
            <w:r w:rsidRPr="0090316C">
              <w:t>Equivalent OS/PFS; BEP preferred for lower hematologic toxicity.</w:t>
            </w:r>
          </w:p>
        </w:tc>
      </w:tr>
      <w:tr w:rsidR="0090316C" w:rsidRPr="0090316C" w14:paraId="39D44D48" w14:textId="77777777">
        <w:trPr>
          <w:tblCellSpacing w:w="15" w:type="dxa"/>
        </w:trPr>
        <w:tc>
          <w:tcPr>
            <w:tcW w:w="0" w:type="auto"/>
            <w:vAlign w:val="center"/>
            <w:hideMark/>
          </w:tcPr>
          <w:p w14:paraId="4EB58703"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4</w:t>
            </w:r>
          </w:p>
        </w:tc>
        <w:tc>
          <w:tcPr>
            <w:tcW w:w="0" w:type="auto"/>
            <w:vAlign w:val="center"/>
            <w:hideMark/>
          </w:tcPr>
          <w:p w14:paraId="25094E44" w14:textId="77777777" w:rsidR="0090316C" w:rsidRPr="0090316C" w:rsidRDefault="0090316C" w:rsidP="0090316C">
            <w:r w:rsidRPr="0090316C">
              <w:rPr>
                <w:b/>
                <w:bCs/>
              </w:rPr>
              <w:t>Phase 2 (P2) Trial</w:t>
            </w:r>
          </w:p>
        </w:tc>
        <w:tc>
          <w:tcPr>
            <w:tcW w:w="0" w:type="auto"/>
            <w:vAlign w:val="center"/>
            <w:hideMark/>
          </w:tcPr>
          <w:p w14:paraId="710C47D0" w14:textId="77777777" w:rsidR="0090316C" w:rsidRPr="0090316C" w:rsidRDefault="0090316C" w:rsidP="0090316C">
            <w:r w:rsidRPr="0090316C">
              <w:rPr>
                <w:i/>
                <w:iCs/>
              </w:rPr>
              <w:t>Intensive Induction-Sequential Chemotherapy With BOP/VIP-B Compared With BEP/EP for Poor-Prognosis Metastatic Nonseminomatous Germ Cell Tumor</w:t>
            </w:r>
          </w:p>
        </w:tc>
        <w:tc>
          <w:tcPr>
            <w:tcW w:w="0" w:type="auto"/>
            <w:vAlign w:val="center"/>
            <w:hideMark/>
          </w:tcPr>
          <w:p w14:paraId="7F2BF0D8" w14:textId="77777777" w:rsidR="0090316C" w:rsidRPr="0090316C" w:rsidRDefault="0090316C" w:rsidP="0090316C">
            <w:r w:rsidRPr="0090316C">
              <w:t>Kaye SB, Mead GM, Fossa S, et al.</w:t>
            </w:r>
          </w:p>
        </w:tc>
        <w:tc>
          <w:tcPr>
            <w:tcW w:w="0" w:type="auto"/>
            <w:vAlign w:val="center"/>
            <w:hideMark/>
          </w:tcPr>
          <w:p w14:paraId="53C37917" w14:textId="77777777" w:rsidR="0090316C" w:rsidRPr="0090316C" w:rsidRDefault="0090316C" w:rsidP="0090316C">
            <w:r w:rsidRPr="0090316C">
              <w:rPr>
                <w:i/>
                <w:iCs/>
              </w:rPr>
              <w:t>J Clin Oncol</w:t>
            </w:r>
            <w:r w:rsidRPr="0090316C">
              <w:t xml:space="preserve"> (1998)</w:t>
            </w:r>
          </w:p>
        </w:tc>
        <w:tc>
          <w:tcPr>
            <w:tcW w:w="0" w:type="auto"/>
            <w:vAlign w:val="center"/>
            <w:hideMark/>
          </w:tcPr>
          <w:p w14:paraId="0D09537B" w14:textId="77777777" w:rsidR="0090316C" w:rsidRPr="0090316C" w:rsidRDefault="0090316C" w:rsidP="0090316C">
            <w:r w:rsidRPr="0090316C">
              <w:t>Sequential VIP/BOP feasible but not superior; increased toxicity profile.</w:t>
            </w:r>
          </w:p>
        </w:tc>
      </w:tr>
      <w:tr w:rsidR="0090316C" w:rsidRPr="0090316C" w14:paraId="60CBFB8A" w14:textId="77777777">
        <w:trPr>
          <w:tblCellSpacing w:w="15" w:type="dxa"/>
        </w:trPr>
        <w:tc>
          <w:tcPr>
            <w:tcW w:w="0" w:type="auto"/>
            <w:vAlign w:val="center"/>
            <w:hideMark/>
          </w:tcPr>
          <w:p w14:paraId="20A59475"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5</w:t>
            </w:r>
          </w:p>
        </w:tc>
        <w:tc>
          <w:tcPr>
            <w:tcW w:w="0" w:type="auto"/>
            <w:vAlign w:val="center"/>
            <w:hideMark/>
          </w:tcPr>
          <w:p w14:paraId="0B3D030E" w14:textId="77777777" w:rsidR="0090316C" w:rsidRPr="0090316C" w:rsidRDefault="0090316C" w:rsidP="0090316C">
            <w:r w:rsidRPr="0090316C">
              <w:rPr>
                <w:b/>
                <w:bCs/>
              </w:rPr>
              <w:t>Phase 1 (P1) Trial</w:t>
            </w:r>
          </w:p>
        </w:tc>
        <w:tc>
          <w:tcPr>
            <w:tcW w:w="0" w:type="auto"/>
            <w:vAlign w:val="center"/>
            <w:hideMark/>
          </w:tcPr>
          <w:p w14:paraId="3EAAEC8E" w14:textId="77777777" w:rsidR="0090316C" w:rsidRPr="0090316C" w:rsidRDefault="0090316C" w:rsidP="0090316C">
            <w:r w:rsidRPr="0090316C">
              <w:rPr>
                <w:i/>
                <w:iCs/>
              </w:rPr>
              <w:t>(No recent Phase 1 studies directly comparing BEP and VIP)</w:t>
            </w:r>
          </w:p>
        </w:tc>
        <w:tc>
          <w:tcPr>
            <w:tcW w:w="0" w:type="auto"/>
            <w:vAlign w:val="center"/>
            <w:hideMark/>
          </w:tcPr>
          <w:p w14:paraId="3E41CD77" w14:textId="77777777" w:rsidR="0090316C" w:rsidRPr="0090316C" w:rsidRDefault="0090316C" w:rsidP="0090316C">
            <w:r w:rsidRPr="0090316C">
              <w:t>—</w:t>
            </w:r>
          </w:p>
        </w:tc>
        <w:tc>
          <w:tcPr>
            <w:tcW w:w="0" w:type="auto"/>
            <w:vAlign w:val="center"/>
            <w:hideMark/>
          </w:tcPr>
          <w:p w14:paraId="7D742BD0" w14:textId="77777777" w:rsidR="0090316C" w:rsidRPr="0090316C" w:rsidRDefault="0090316C" w:rsidP="0090316C">
            <w:r w:rsidRPr="0090316C">
              <w:t>—</w:t>
            </w:r>
          </w:p>
        </w:tc>
        <w:tc>
          <w:tcPr>
            <w:tcW w:w="0" w:type="auto"/>
            <w:vAlign w:val="center"/>
            <w:hideMark/>
          </w:tcPr>
          <w:p w14:paraId="6CC1C5BE" w14:textId="77777777" w:rsidR="0090316C" w:rsidRPr="0090316C" w:rsidRDefault="0090316C" w:rsidP="0090316C">
            <w:r w:rsidRPr="0090316C">
              <w:t>Placeholder — first-line regimens established decades ago; limited new phase 1 data.</w:t>
            </w:r>
          </w:p>
        </w:tc>
      </w:tr>
      <w:tr w:rsidR="0090316C" w:rsidRPr="0090316C" w14:paraId="2BE94564" w14:textId="77777777">
        <w:trPr>
          <w:tblCellSpacing w:w="15" w:type="dxa"/>
        </w:trPr>
        <w:tc>
          <w:tcPr>
            <w:tcW w:w="0" w:type="auto"/>
            <w:vAlign w:val="center"/>
            <w:hideMark/>
          </w:tcPr>
          <w:p w14:paraId="0C7DBE2B"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6</w:t>
            </w:r>
          </w:p>
        </w:tc>
        <w:tc>
          <w:tcPr>
            <w:tcW w:w="0" w:type="auto"/>
            <w:vAlign w:val="center"/>
            <w:hideMark/>
          </w:tcPr>
          <w:p w14:paraId="4EF533B7" w14:textId="77777777" w:rsidR="0090316C" w:rsidRPr="0090316C" w:rsidRDefault="0090316C" w:rsidP="0090316C">
            <w:r w:rsidRPr="0090316C">
              <w:rPr>
                <w:b/>
                <w:bCs/>
              </w:rPr>
              <w:t>Large Cohort Study</w:t>
            </w:r>
          </w:p>
        </w:tc>
        <w:tc>
          <w:tcPr>
            <w:tcW w:w="0" w:type="auto"/>
            <w:vAlign w:val="center"/>
            <w:hideMark/>
          </w:tcPr>
          <w:p w14:paraId="2FCDC0E2" w14:textId="77777777" w:rsidR="0090316C" w:rsidRPr="0090316C" w:rsidRDefault="0090316C" w:rsidP="0090316C">
            <w:r w:rsidRPr="0090316C">
              <w:rPr>
                <w:i/>
                <w:iCs/>
              </w:rPr>
              <w:t>BEP in Intermediate- and Poor-Risk Advanced NSGCT: Standing the Test of Time</w:t>
            </w:r>
          </w:p>
        </w:tc>
        <w:tc>
          <w:tcPr>
            <w:tcW w:w="0" w:type="auto"/>
            <w:vAlign w:val="center"/>
            <w:hideMark/>
          </w:tcPr>
          <w:p w14:paraId="036D69EF" w14:textId="77777777" w:rsidR="0090316C" w:rsidRPr="0090316C" w:rsidRDefault="0090316C" w:rsidP="0090316C">
            <w:r w:rsidRPr="0090316C">
              <w:t>Dhanawat A, Jadhav B, Tiwari A, et al.</w:t>
            </w:r>
          </w:p>
        </w:tc>
        <w:tc>
          <w:tcPr>
            <w:tcW w:w="0" w:type="auto"/>
            <w:vAlign w:val="center"/>
            <w:hideMark/>
          </w:tcPr>
          <w:p w14:paraId="1785A269" w14:textId="77777777" w:rsidR="0090316C" w:rsidRPr="0090316C" w:rsidRDefault="0090316C" w:rsidP="0090316C">
            <w:r w:rsidRPr="0090316C">
              <w:rPr>
                <w:i/>
                <w:iCs/>
              </w:rPr>
              <w:t>J Clin Oncol</w:t>
            </w:r>
            <w:r w:rsidRPr="0090316C">
              <w:t xml:space="preserve"> (2025)</w:t>
            </w:r>
          </w:p>
        </w:tc>
        <w:tc>
          <w:tcPr>
            <w:tcW w:w="0" w:type="auto"/>
            <w:vAlign w:val="center"/>
            <w:hideMark/>
          </w:tcPr>
          <w:p w14:paraId="7CB44C8A" w14:textId="77777777" w:rsidR="0090316C" w:rsidRPr="0090316C" w:rsidRDefault="0090316C" w:rsidP="0090316C">
            <w:r w:rsidRPr="0090316C">
              <w:t>Real-world validation of BEP efficacy; VIP reserved for pulmonary-risk cases.</w:t>
            </w:r>
          </w:p>
        </w:tc>
      </w:tr>
      <w:tr w:rsidR="0090316C" w:rsidRPr="0090316C" w14:paraId="040DFBB2" w14:textId="77777777">
        <w:trPr>
          <w:tblCellSpacing w:w="15" w:type="dxa"/>
        </w:trPr>
        <w:tc>
          <w:tcPr>
            <w:tcW w:w="0" w:type="auto"/>
            <w:vAlign w:val="center"/>
            <w:hideMark/>
          </w:tcPr>
          <w:p w14:paraId="2F17DF87"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7</w:t>
            </w:r>
          </w:p>
        </w:tc>
        <w:tc>
          <w:tcPr>
            <w:tcW w:w="0" w:type="auto"/>
            <w:vAlign w:val="center"/>
            <w:hideMark/>
          </w:tcPr>
          <w:p w14:paraId="41E6FB7C" w14:textId="77777777" w:rsidR="0090316C" w:rsidRPr="0090316C" w:rsidRDefault="0090316C" w:rsidP="0090316C">
            <w:r w:rsidRPr="0090316C">
              <w:rPr>
                <w:b/>
                <w:bCs/>
              </w:rPr>
              <w:t>Cohort Study</w:t>
            </w:r>
          </w:p>
        </w:tc>
        <w:tc>
          <w:tcPr>
            <w:tcW w:w="0" w:type="auto"/>
            <w:vAlign w:val="center"/>
            <w:hideMark/>
          </w:tcPr>
          <w:p w14:paraId="554A9BC9" w14:textId="77777777" w:rsidR="0090316C" w:rsidRPr="0090316C" w:rsidRDefault="0090316C" w:rsidP="0090316C">
            <w:r w:rsidRPr="0090316C">
              <w:rPr>
                <w:i/>
                <w:iCs/>
              </w:rPr>
              <w:t xml:space="preserve">Pulmonary Function in Patients With Germ Cell Cancer Treated With </w:t>
            </w:r>
            <w:r w:rsidRPr="0090316C">
              <w:rPr>
                <w:i/>
                <w:iCs/>
              </w:rPr>
              <w:lastRenderedPageBreak/>
              <w:t>Bleomycin, Etoposide, and Cisplatin</w:t>
            </w:r>
          </w:p>
        </w:tc>
        <w:tc>
          <w:tcPr>
            <w:tcW w:w="0" w:type="auto"/>
            <w:vAlign w:val="center"/>
            <w:hideMark/>
          </w:tcPr>
          <w:p w14:paraId="2A4762C2" w14:textId="77777777" w:rsidR="0090316C" w:rsidRPr="0090316C" w:rsidRDefault="0090316C" w:rsidP="0090316C">
            <w:r w:rsidRPr="0090316C">
              <w:lastRenderedPageBreak/>
              <w:t>Lauritsen J, Kier MG, Bandak M, et al.</w:t>
            </w:r>
          </w:p>
        </w:tc>
        <w:tc>
          <w:tcPr>
            <w:tcW w:w="0" w:type="auto"/>
            <w:vAlign w:val="center"/>
            <w:hideMark/>
          </w:tcPr>
          <w:p w14:paraId="0FA4862B" w14:textId="77777777" w:rsidR="0090316C" w:rsidRPr="0090316C" w:rsidRDefault="0090316C" w:rsidP="0090316C">
            <w:r w:rsidRPr="0090316C">
              <w:rPr>
                <w:i/>
                <w:iCs/>
              </w:rPr>
              <w:t>J Clin Oncol</w:t>
            </w:r>
            <w:r w:rsidRPr="0090316C">
              <w:t xml:space="preserve"> (2016)</w:t>
            </w:r>
          </w:p>
        </w:tc>
        <w:tc>
          <w:tcPr>
            <w:tcW w:w="0" w:type="auto"/>
            <w:vAlign w:val="center"/>
            <w:hideMark/>
          </w:tcPr>
          <w:p w14:paraId="35BBE35B" w14:textId="77777777" w:rsidR="0090316C" w:rsidRPr="0090316C" w:rsidRDefault="0090316C" w:rsidP="0090316C">
            <w:r w:rsidRPr="0090316C">
              <w:t xml:space="preserve">Subclinical declines in pulmonary function common post-BEP; </w:t>
            </w:r>
            <w:r w:rsidRPr="0090316C">
              <w:lastRenderedPageBreak/>
              <w:t>clinically significant in high-risk lungs.</w:t>
            </w:r>
          </w:p>
        </w:tc>
      </w:tr>
      <w:tr w:rsidR="0090316C" w:rsidRPr="0090316C" w14:paraId="32FDD32B" w14:textId="77777777">
        <w:trPr>
          <w:tblCellSpacing w:w="15" w:type="dxa"/>
        </w:trPr>
        <w:tc>
          <w:tcPr>
            <w:tcW w:w="0" w:type="auto"/>
            <w:vAlign w:val="center"/>
            <w:hideMark/>
          </w:tcPr>
          <w:p w14:paraId="277D82C7" w14:textId="77777777" w:rsidR="0090316C" w:rsidRPr="0090316C" w:rsidRDefault="0090316C" w:rsidP="0090316C">
            <w:r w:rsidRPr="0090316C">
              <w:rPr>
                <w:rFonts w:ascii="Apple Color Emoji" w:hAnsi="Apple Color Emoji" w:cs="Apple Color Emoji"/>
              </w:rPr>
              <w:lastRenderedPageBreak/>
              <w:t>🟥</w:t>
            </w:r>
            <w:r w:rsidRPr="0090316C">
              <w:t xml:space="preserve"> </w:t>
            </w:r>
            <w:r w:rsidRPr="0090316C">
              <w:rPr>
                <w:b/>
                <w:bCs/>
              </w:rPr>
              <w:t>7</w:t>
            </w:r>
          </w:p>
        </w:tc>
        <w:tc>
          <w:tcPr>
            <w:tcW w:w="0" w:type="auto"/>
            <w:vAlign w:val="center"/>
            <w:hideMark/>
          </w:tcPr>
          <w:p w14:paraId="150EDF17" w14:textId="77777777" w:rsidR="0090316C" w:rsidRPr="0090316C" w:rsidRDefault="0090316C" w:rsidP="0090316C">
            <w:r w:rsidRPr="0090316C">
              <w:rPr>
                <w:b/>
                <w:bCs/>
              </w:rPr>
              <w:t>Cohort Study</w:t>
            </w:r>
          </w:p>
        </w:tc>
        <w:tc>
          <w:tcPr>
            <w:tcW w:w="0" w:type="auto"/>
            <w:vAlign w:val="center"/>
            <w:hideMark/>
          </w:tcPr>
          <w:p w14:paraId="7691442D" w14:textId="77777777" w:rsidR="0090316C" w:rsidRPr="0090316C" w:rsidRDefault="0090316C" w:rsidP="0090316C">
            <w:r w:rsidRPr="0090316C">
              <w:rPr>
                <w:i/>
                <w:iCs/>
              </w:rPr>
              <w:t>Prognostic Impact of Bleomycin Pulmonary Toxicity on Outcomes of Patients With Germ Cell Tumors</w:t>
            </w:r>
          </w:p>
        </w:tc>
        <w:tc>
          <w:tcPr>
            <w:tcW w:w="0" w:type="auto"/>
            <w:vAlign w:val="center"/>
            <w:hideMark/>
          </w:tcPr>
          <w:p w14:paraId="3DF175D9" w14:textId="77777777" w:rsidR="0090316C" w:rsidRPr="0090316C" w:rsidRDefault="0090316C" w:rsidP="0090316C">
            <w:r w:rsidRPr="0090316C">
              <w:t>Maruyama Y, Sadahira T, Mitsui Y, et al.</w:t>
            </w:r>
          </w:p>
        </w:tc>
        <w:tc>
          <w:tcPr>
            <w:tcW w:w="0" w:type="auto"/>
            <w:vAlign w:val="center"/>
            <w:hideMark/>
          </w:tcPr>
          <w:p w14:paraId="7342D747" w14:textId="77777777" w:rsidR="0090316C" w:rsidRPr="0090316C" w:rsidRDefault="0090316C" w:rsidP="0090316C">
            <w:r w:rsidRPr="0090316C">
              <w:rPr>
                <w:i/>
                <w:iCs/>
              </w:rPr>
              <w:t>Med Oncol</w:t>
            </w:r>
            <w:r w:rsidRPr="0090316C">
              <w:t xml:space="preserve"> (2018)</w:t>
            </w:r>
          </w:p>
        </w:tc>
        <w:tc>
          <w:tcPr>
            <w:tcW w:w="0" w:type="auto"/>
            <w:vAlign w:val="center"/>
            <w:hideMark/>
          </w:tcPr>
          <w:p w14:paraId="6649A9A4" w14:textId="77777777" w:rsidR="0090316C" w:rsidRPr="0090316C" w:rsidRDefault="0090316C" w:rsidP="0090316C">
            <w:r w:rsidRPr="0090316C">
              <w:t>Pulmonary toxicity adversely affects outcomes; identifies risk factors (age, lung disease, smoking).</w:t>
            </w:r>
          </w:p>
        </w:tc>
      </w:tr>
      <w:tr w:rsidR="0090316C" w:rsidRPr="0090316C" w14:paraId="23CE367E" w14:textId="77777777">
        <w:trPr>
          <w:tblCellSpacing w:w="15" w:type="dxa"/>
        </w:trPr>
        <w:tc>
          <w:tcPr>
            <w:tcW w:w="0" w:type="auto"/>
            <w:vAlign w:val="center"/>
            <w:hideMark/>
          </w:tcPr>
          <w:p w14:paraId="4E9AE340" w14:textId="77777777" w:rsidR="0090316C" w:rsidRPr="0090316C" w:rsidRDefault="0090316C" w:rsidP="0090316C">
            <w:r w:rsidRPr="0090316C">
              <w:rPr>
                <w:rFonts w:ascii="Apple Color Emoji" w:hAnsi="Apple Color Emoji" w:cs="Apple Color Emoji"/>
              </w:rPr>
              <w:t>🟫</w:t>
            </w:r>
            <w:r w:rsidRPr="0090316C">
              <w:t xml:space="preserve"> </w:t>
            </w:r>
            <w:r w:rsidRPr="0090316C">
              <w:rPr>
                <w:b/>
                <w:bCs/>
              </w:rPr>
              <w:t>8</w:t>
            </w:r>
          </w:p>
        </w:tc>
        <w:tc>
          <w:tcPr>
            <w:tcW w:w="0" w:type="auto"/>
            <w:vAlign w:val="center"/>
            <w:hideMark/>
          </w:tcPr>
          <w:p w14:paraId="270CE4CB" w14:textId="77777777" w:rsidR="0090316C" w:rsidRPr="0090316C" w:rsidRDefault="0090316C" w:rsidP="0090316C">
            <w:r w:rsidRPr="0090316C">
              <w:rPr>
                <w:b/>
                <w:bCs/>
              </w:rPr>
              <w:t>Animal Model</w:t>
            </w:r>
          </w:p>
        </w:tc>
        <w:tc>
          <w:tcPr>
            <w:tcW w:w="0" w:type="auto"/>
            <w:vAlign w:val="center"/>
            <w:hideMark/>
          </w:tcPr>
          <w:p w14:paraId="34B211B8" w14:textId="77777777" w:rsidR="0090316C" w:rsidRPr="0090316C" w:rsidRDefault="0090316C" w:rsidP="0090316C">
            <w:r w:rsidRPr="0090316C">
              <w:rPr>
                <w:i/>
                <w:iCs/>
              </w:rPr>
              <w:t>(No relevant preclinical comparative studies between BEP and VIP)</w:t>
            </w:r>
          </w:p>
        </w:tc>
        <w:tc>
          <w:tcPr>
            <w:tcW w:w="0" w:type="auto"/>
            <w:vAlign w:val="center"/>
            <w:hideMark/>
          </w:tcPr>
          <w:p w14:paraId="2E5E8EBF" w14:textId="77777777" w:rsidR="0090316C" w:rsidRPr="0090316C" w:rsidRDefault="0090316C" w:rsidP="0090316C">
            <w:r w:rsidRPr="0090316C">
              <w:t>—</w:t>
            </w:r>
          </w:p>
        </w:tc>
        <w:tc>
          <w:tcPr>
            <w:tcW w:w="0" w:type="auto"/>
            <w:vAlign w:val="center"/>
            <w:hideMark/>
          </w:tcPr>
          <w:p w14:paraId="7C96F320" w14:textId="77777777" w:rsidR="0090316C" w:rsidRPr="0090316C" w:rsidRDefault="0090316C" w:rsidP="0090316C">
            <w:r w:rsidRPr="0090316C">
              <w:t>—</w:t>
            </w:r>
          </w:p>
        </w:tc>
        <w:tc>
          <w:tcPr>
            <w:tcW w:w="0" w:type="auto"/>
            <w:vAlign w:val="center"/>
            <w:hideMark/>
          </w:tcPr>
          <w:p w14:paraId="45FA063D" w14:textId="77777777" w:rsidR="0090316C" w:rsidRPr="0090316C" w:rsidRDefault="0090316C" w:rsidP="0090316C">
            <w:r w:rsidRPr="0090316C">
              <w:t>Placeholder — no animal models comparing BEP vs VIP regimens.</w:t>
            </w:r>
          </w:p>
        </w:tc>
      </w:tr>
    </w:tbl>
    <w:p w14:paraId="390D3B91" w14:textId="77777777" w:rsidR="0090316C" w:rsidRPr="0090316C" w:rsidRDefault="00782633" w:rsidP="0090316C">
      <w:r w:rsidRPr="00782633">
        <w:rPr>
          <w:noProof/>
          <w14:ligatures w14:val="standardContextual"/>
        </w:rPr>
        <w:pict w14:anchorId="64E08F2E">
          <v:rect id="_x0000_i1026" alt="" style="width:468pt;height:.05pt;mso-width-percent:0;mso-height-percent:0;mso-width-percent:0;mso-height-percent:0" o:hralign="center" o:hrstd="t" o:hr="t" fillcolor="#a0a0a0" stroked="f"/>
        </w:pict>
      </w:r>
    </w:p>
    <w:p w14:paraId="4BB30191" w14:textId="77777777" w:rsidR="0090316C" w:rsidRPr="0090316C" w:rsidRDefault="0090316C" w:rsidP="0090316C">
      <w:pPr>
        <w:spacing w:before="100" w:beforeAutospacing="1" w:after="100" w:afterAutospacing="1"/>
      </w:pPr>
      <w:r w:rsidRPr="0090316C">
        <w:rPr>
          <w:b/>
          <w:bCs/>
        </w:rPr>
        <w:t>Recommendation Summary (Clinically Applicable):</w:t>
      </w:r>
    </w:p>
    <w:p w14:paraId="2D4FF3FD" w14:textId="77777777" w:rsidR="0090316C" w:rsidRPr="0090316C" w:rsidRDefault="0090316C" w:rsidP="0090316C">
      <w:pPr>
        <w:numPr>
          <w:ilvl w:val="0"/>
          <w:numId w:val="2"/>
        </w:numPr>
        <w:spacing w:before="100" w:beforeAutospacing="1" w:after="100" w:afterAutospacing="1"/>
      </w:pPr>
      <w:r w:rsidRPr="0090316C">
        <w:rPr>
          <w:b/>
          <w:bCs/>
        </w:rPr>
        <w:t>Use BEP</w:t>
      </w:r>
      <w:r w:rsidRPr="0090316C">
        <w:t xml:space="preserve"> for most intermediate/poor-risk NSGCT patients.</w:t>
      </w:r>
    </w:p>
    <w:p w14:paraId="6F50025B" w14:textId="77777777" w:rsidR="0090316C" w:rsidRPr="0090316C" w:rsidRDefault="0090316C" w:rsidP="0090316C">
      <w:pPr>
        <w:numPr>
          <w:ilvl w:val="0"/>
          <w:numId w:val="2"/>
        </w:numPr>
        <w:spacing w:before="100" w:beforeAutospacing="1" w:after="100" w:afterAutospacing="1"/>
      </w:pPr>
      <w:r w:rsidRPr="0090316C">
        <w:rPr>
          <w:b/>
          <w:bCs/>
        </w:rPr>
        <w:t>Substitute VIP</w:t>
      </w:r>
      <w:r w:rsidRPr="0090316C">
        <w:t xml:space="preserve"> when bleomycin is contraindicated (e.g., asthma, prior lung injury, mediastinal primary, smoking history).</w:t>
      </w:r>
    </w:p>
    <w:p w14:paraId="6B7747E7" w14:textId="77777777" w:rsidR="0090316C" w:rsidRPr="0090316C" w:rsidRDefault="0090316C" w:rsidP="0090316C">
      <w:pPr>
        <w:numPr>
          <w:ilvl w:val="0"/>
          <w:numId w:val="2"/>
        </w:numPr>
        <w:spacing w:before="100" w:beforeAutospacing="1" w:after="100" w:afterAutospacing="1"/>
      </w:pPr>
      <w:r w:rsidRPr="0090316C">
        <w:rPr>
          <w:b/>
          <w:bCs/>
        </w:rPr>
        <w:t>Monitor pulmonary function</w:t>
      </w:r>
      <w:r w:rsidRPr="0090316C">
        <w:t xml:space="preserve"> closely if BEP is used in borderline-risk individuals.</w:t>
      </w:r>
    </w:p>
    <w:p w14:paraId="5A0E69DE" w14:textId="77777777" w:rsidR="0090316C" w:rsidRPr="0090316C" w:rsidRDefault="0090316C" w:rsidP="0090316C">
      <w:pPr>
        <w:numPr>
          <w:ilvl w:val="0"/>
          <w:numId w:val="2"/>
        </w:numPr>
        <w:spacing w:before="100" w:beforeAutospacing="1" w:after="100" w:afterAutospacing="1"/>
      </w:pPr>
      <w:r w:rsidRPr="0090316C">
        <w:rPr>
          <w:b/>
          <w:bCs/>
        </w:rPr>
        <w:t>No evidence supports VIP superiority</w:t>
      </w:r>
      <w:r w:rsidRPr="0090316C">
        <w:t>; choice is driven by toxicity profile and pulmonary risk.</w:t>
      </w:r>
    </w:p>
    <w:p w14:paraId="76005AB6" w14:textId="77777777" w:rsidR="0090316C" w:rsidRPr="0090316C" w:rsidRDefault="00782633" w:rsidP="0090316C">
      <w:r w:rsidRPr="00782633">
        <w:rPr>
          <w:noProof/>
          <w14:ligatures w14:val="standardContextual"/>
        </w:rPr>
        <w:pict w14:anchorId="262E4DAE">
          <v:rect id="_x0000_i1025" alt="" style="width:468pt;height:.05pt;mso-width-percent:0;mso-height-percent:0;mso-width-percent:0;mso-height-percent:0" o:hralign="center" o:hrstd="t" o:hr="t" fillcolor="#a0a0a0" stroked="f"/>
        </w:pict>
      </w:r>
    </w:p>
    <w:p w14:paraId="06A4FBFF" w14:textId="77777777" w:rsidR="0090316C" w:rsidRPr="0090316C" w:rsidRDefault="0090316C" w:rsidP="0090316C">
      <w:pPr>
        <w:spacing w:before="100" w:beforeAutospacing="1" w:after="100" w:afterAutospacing="1"/>
      </w:pPr>
      <w:r w:rsidRPr="0090316C">
        <w:t xml:space="preserve">Would you like me to generate a </w:t>
      </w:r>
      <w:r w:rsidRPr="0090316C">
        <w:rPr>
          <w:b/>
          <w:bCs/>
        </w:rPr>
        <w:t>PowerPoint-ready version (color-coded table + summary slide)</w:t>
      </w:r>
      <w:r w:rsidRPr="0090316C">
        <w:t xml:space="preserve"> for this evidence synthesis?</w:t>
      </w:r>
    </w:p>
    <w:p w14:paraId="493EC951" w14:textId="0B27D328" w:rsidR="0090316C" w:rsidRDefault="0090316C">
      <w:pPr>
        <w:spacing w:after="160" w:line="278" w:lineRule="auto"/>
      </w:pPr>
      <w:r>
        <w:br w:type="page"/>
      </w:r>
    </w:p>
    <w:p w14:paraId="153BC8BB" w14:textId="77777777" w:rsidR="0090316C" w:rsidRDefault="0090316C" w:rsidP="0090316C">
      <w:pPr>
        <w:pStyle w:val="NormalWeb"/>
      </w:pPr>
      <w:r>
        <w:lastRenderedPageBreak/>
        <w:t xml:space="preserve">Short answer: BEP and VIP cure </w:t>
      </w:r>
      <w:r>
        <w:rPr>
          <w:rStyle w:val="Strong"/>
          <w:rFonts w:eastAsiaTheme="majorEastAsia"/>
        </w:rPr>
        <w:t>similar proportions</w:t>
      </w:r>
      <w:r>
        <w:t xml:space="preserve"> of advanced GCT overall, but </w:t>
      </w:r>
      <w:r>
        <w:rPr>
          <w:rStyle w:val="Strong"/>
          <w:rFonts w:eastAsiaTheme="majorEastAsia"/>
        </w:rPr>
        <w:t>VIP avoids bleomycin lung injury at the cost of higher myelosuppression/renal-neuro toxicity</w:t>
      </w:r>
      <w:r>
        <w:t xml:space="preserve">. For </w:t>
      </w:r>
      <w:r>
        <w:rPr>
          <w:rStyle w:val="Strong"/>
          <w:rFonts w:eastAsiaTheme="majorEastAsia"/>
        </w:rPr>
        <w:t>primary mediastinal non-seminomatous GCT (PMNSGCT)</w:t>
      </w:r>
      <w:r>
        <w:t xml:space="preserve">—where post-chemo thoracic surgery is common and pulmonary complications are perilous—multiple expert sources and practice guidelines favor </w:t>
      </w:r>
      <w:r>
        <w:rPr>
          <w:rStyle w:val="Strong"/>
          <w:rFonts w:eastAsiaTheme="majorEastAsia"/>
        </w:rPr>
        <w:t>VIP×4</w:t>
      </w:r>
      <w:r>
        <w:t xml:space="preserve"> when bleomycin risk is elevated (e.g., baseline lung disease, anticipated lung surgery). (</w:t>
      </w:r>
      <w:hyperlink r:id="rId67" w:tooltip="Randomized comparison of cisplatin and etoposide and either bleomycin or ifosfamide in treatment of advanced disseminated germ cell tumors: an Eastern Cooperative Oncology Group, Southwest Oncology Group, and Cancer and Leukemia Group B Study - PubMed" w:history="1">
        <w:r>
          <w:rPr>
            <w:rStyle w:val="Hyperlink"/>
            <w:rFonts w:eastAsiaTheme="majorEastAsia"/>
          </w:rPr>
          <w:t>PubMed</w:t>
        </w:r>
      </w:hyperlink>
      <w:r>
        <w:t>)</w:t>
      </w:r>
    </w:p>
    <w:p w14:paraId="319078B7" w14:textId="77777777" w:rsidR="0090316C" w:rsidRDefault="0090316C" w:rsidP="0090316C">
      <w:pPr>
        <w:pStyle w:val="Heading3"/>
      </w:pPr>
      <w:r>
        <w:t>Head-to-head efficacy &amp; toxicity (BEP vs VIP)</w:t>
      </w:r>
    </w:p>
    <w:p w14:paraId="0E73C299" w14:textId="77777777" w:rsidR="0090316C" w:rsidRDefault="0090316C" w:rsidP="0090316C">
      <w:pPr>
        <w:pStyle w:val="NormalWeb"/>
        <w:numPr>
          <w:ilvl w:val="0"/>
          <w:numId w:val="3"/>
        </w:numPr>
      </w:pPr>
      <w:r>
        <w:rPr>
          <w:rStyle w:val="Strong"/>
          <w:rFonts w:eastAsiaTheme="majorEastAsia"/>
        </w:rPr>
        <w:t>Randomized trial (ECOG/SWOG/CALGB, n=304):</w:t>
      </w:r>
      <w:r>
        <w:t xml:space="preserve"> No significant differences in CR, 2-yr failure-free survival, or 2-yr OS (VIP 74% vs BEP 71%). </w:t>
      </w:r>
      <w:r>
        <w:rPr>
          <w:rStyle w:val="Strong"/>
          <w:rFonts w:eastAsiaTheme="majorEastAsia"/>
        </w:rPr>
        <w:t>VIP had more grade ≥3 toxicity</w:t>
      </w:r>
      <w:r>
        <w:t>, especially hematologic and genitourinary; BEP remained standard largely on tolerability. (</w:t>
      </w:r>
      <w:hyperlink r:id="rId68" w:tooltip="Randomized comparison of cisplatin and etoposide and either bleomycin or ifosfamide in treatment of advanced disseminated germ cell tumors: an Eastern Cooperative Oncology Group, Southwest Oncology Group, and Cancer and Leukemia Group B Study - PubMed" w:history="1">
        <w:r>
          <w:rPr>
            <w:rStyle w:val="Hyperlink"/>
            <w:rFonts w:eastAsiaTheme="majorEastAsia"/>
          </w:rPr>
          <w:t>PubMed</w:t>
        </w:r>
      </w:hyperlink>
      <w:r>
        <w:t>)</w:t>
      </w:r>
    </w:p>
    <w:p w14:paraId="09FD3151" w14:textId="77777777" w:rsidR="0090316C" w:rsidRDefault="0090316C" w:rsidP="0090316C">
      <w:pPr>
        <w:pStyle w:val="NormalWeb"/>
        <w:numPr>
          <w:ilvl w:val="0"/>
          <w:numId w:val="3"/>
        </w:numPr>
      </w:pPr>
      <w:r>
        <w:rPr>
          <w:rStyle w:val="Strong"/>
          <w:rFonts w:eastAsiaTheme="majorEastAsia"/>
        </w:rPr>
        <w:t>Pulmonary risk with bleomycin:</w:t>
      </w:r>
      <w:r>
        <w:t xml:space="preserve"> Bleomycin lung injury occurs in ~7–20% with notable mortality; risk increases with cumulative dose, supplemental oxygen during anesthesia, age, renal impairment, and underlying lung issues. (Asthma isn’t a classic risk factor, but any compromised lung reserve raises concern). (</w:t>
      </w:r>
      <w:hyperlink r:id="rId69" w:tooltip="Drug-Induced Interstitial Lung Disease: A Systematic Review" w:history="1">
        <w:r>
          <w:rPr>
            <w:rStyle w:val="Hyperlink"/>
            <w:rFonts w:eastAsiaTheme="majorEastAsia"/>
          </w:rPr>
          <w:t>MDPI</w:t>
        </w:r>
      </w:hyperlink>
      <w:r>
        <w:t>)</w:t>
      </w:r>
    </w:p>
    <w:p w14:paraId="515999B6" w14:textId="77777777" w:rsidR="0090316C" w:rsidRDefault="0090316C" w:rsidP="0090316C">
      <w:pPr>
        <w:pStyle w:val="Heading3"/>
      </w:pPr>
      <w:r>
        <w:t>Why VIP is often preferred in PMNSGCT</w:t>
      </w:r>
    </w:p>
    <w:p w14:paraId="756AB82D" w14:textId="77777777" w:rsidR="0090316C" w:rsidRDefault="0090316C" w:rsidP="0090316C">
      <w:pPr>
        <w:pStyle w:val="NormalWeb"/>
        <w:numPr>
          <w:ilvl w:val="0"/>
          <w:numId w:val="4"/>
        </w:numPr>
      </w:pPr>
      <w:r>
        <w:rPr>
          <w:rStyle w:val="Strong"/>
          <w:rFonts w:eastAsiaTheme="majorEastAsia"/>
        </w:rPr>
        <w:t>Thoracic surgery is common</w:t>
      </w:r>
      <w:r>
        <w:t xml:space="preserve"> after induction chemo; several thoracic/oncology series explicitly caution to </w:t>
      </w:r>
      <w:r>
        <w:rPr>
          <w:rStyle w:val="Strong"/>
          <w:rFonts w:eastAsiaTheme="majorEastAsia"/>
        </w:rPr>
        <w:t>avoid bleomycin</w:t>
      </w:r>
      <w:r>
        <w:t xml:space="preserve"> in PMNSGCT because of higher postoperative pulmonary complications/ARDS risk. (</w:t>
      </w:r>
      <w:hyperlink r:id="rId70" w:tooltip="Outcomes following surgery for primary mediastinal ..." w:history="1">
        <w:r>
          <w:rPr>
            <w:rStyle w:val="Hyperlink"/>
            <w:rFonts w:eastAsiaTheme="majorEastAsia"/>
          </w:rPr>
          <w:t>PubMed</w:t>
        </w:r>
      </w:hyperlink>
      <w:r>
        <w:t>)</w:t>
      </w:r>
    </w:p>
    <w:p w14:paraId="1A28871E" w14:textId="77777777" w:rsidR="0090316C" w:rsidRDefault="0090316C" w:rsidP="0090316C">
      <w:pPr>
        <w:pStyle w:val="NormalWeb"/>
        <w:numPr>
          <w:ilvl w:val="0"/>
          <w:numId w:val="4"/>
        </w:numPr>
      </w:pPr>
      <w:r>
        <w:t xml:space="preserve">Contemporary reviews of PMNSGCT list </w:t>
      </w:r>
      <w:r>
        <w:rPr>
          <w:rStyle w:val="Strong"/>
          <w:rFonts w:eastAsiaTheme="majorEastAsia"/>
        </w:rPr>
        <w:t>BEP×4 or VIP×4</w:t>
      </w:r>
      <w:r>
        <w:t xml:space="preserve"> as first-line options but underscore </w:t>
      </w:r>
      <w:r>
        <w:rPr>
          <w:rStyle w:val="Strong"/>
          <w:rFonts w:eastAsiaTheme="majorEastAsia"/>
        </w:rPr>
        <w:t>bleomycin avoidance</w:t>
      </w:r>
      <w:r>
        <w:t xml:space="preserve"> when lung surgery is anticipated or pulmonary risk is present. (</w:t>
      </w:r>
      <w:hyperlink r:id="rId71" w:tooltip="Mediastinal germ cell tumours: where we are and where we ..." w:history="1">
        <w:r>
          <w:rPr>
            <w:rStyle w:val="Hyperlink"/>
            <w:rFonts w:eastAsiaTheme="majorEastAsia"/>
          </w:rPr>
          <w:t>Mediastinum</w:t>
        </w:r>
      </w:hyperlink>
      <w:r>
        <w:t>)</w:t>
      </w:r>
    </w:p>
    <w:p w14:paraId="1FD44B9D" w14:textId="77777777" w:rsidR="0090316C" w:rsidRDefault="0090316C" w:rsidP="0090316C">
      <w:pPr>
        <w:pStyle w:val="Heading3"/>
      </w:pPr>
      <w:r>
        <w:t>What major guidelines say (relevant bits)</w:t>
      </w:r>
    </w:p>
    <w:p w14:paraId="2E6584FA" w14:textId="77777777" w:rsidR="0090316C" w:rsidRDefault="0090316C" w:rsidP="0090316C">
      <w:pPr>
        <w:pStyle w:val="NormalWeb"/>
        <w:numPr>
          <w:ilvl w:val="0"/>
          <w:numId w:val="5"/>
        </w:numPr>
      </w:pPr>
      <w:r>
        <w:rPr>
          <w:rStyle w:val="Strong"/>
          <w:rFonts w:eastAsiaTheme="majorEastAsia"/>
        </w:rPr>
        <w:t>NCCN (2024–2025 themes, institutional analogs):</w:t>
      </w:r>
      <w:r>
        <w:t xml:space="preserve"> For intermediate/poor-risk nonseminoma, </w:t>
      </w:r>
      <w:r>
        <w:rPr>
          <w:rStyle w:val="Strong"/>
          <w:rFonts w:eastAsiaTheme="majorEastAsia"/>
        </w:rPr>
        <w:t>BEP×4 or VIP×4</w:t>
      </w:r>
      <w:r>
        <w:t xml:space="preserve"> are category-level options; </w:t>
      </w:r>
      <w:r>
        <w:rPr>
          <w:rStyle w:val="Strong"/>
          <w:rFonts w:eastAsiaTheme="majorEastAsia"/>
        </w:rPr>
        <w:t>EP×4</w:t>
      </w:r>
      <w:r>
        <w:t xml:space="preserve"> is used when bleomycin is contraindicated (good-risk). MD Anderson’s 2024 algorithm likewise lists </w:t>
      </w:r>
      <w:r>
        <w:rPr>
          <w:rStyle w:val="Strong"/>
          <w:rFonts w:eastAsiaTheme="majorEastAsia"/>
        </w:rPr>
        <w:t>BEP×4 or VIP×4</w:t>
      </w:r>
      <w:r>
        <w:t xml:space="preserve"> in intermediate/poor-risk disease. (</w:t>
      </w:r>
      <w:hyperlink r:id="rId72" w:tooltip="Testicular Cancer algorithm" w:history="1">
        <w:r>
          <w:rPr>
            <w:rStyle w:val="Hyperlink"/>
            <w:rFonts w:eastAsiaTheme="majorEastAsia"/>
          </w:rPr>
          <w:t>MD Anderson Cancer Center</w:t>
        </w:r>
      </w:hyperlink>
      <w:r>
        <w:t>)</w:t>
      </w:r>
    </w:p>
    <w:p w14:paraId="07AB347B" w14:textId="77777777" w:rsidR="0090316C" w:rsidRDefault="0090316C" w:rsidP="0090316C">
      <w:pPr>
        <w:pStyle w:val="NormalWeb"/>
        <w:numPr>
          <w:ilvl w:val="0"/>
          <w:numId w:val="5"/>
        </w:numPr>
      </w:pPr>
      <w:r>
        <w:rPr>
          <w:rStyle w:val="Strong"/>
          <w:rFonts w:eastAsiaTheme="majorEastAsia"/>
        </w:rPr>
        <w:t>ESMO/SEOM 2022–2024:</w:t>
      </w:r>
      <w:r>
        <w:t xml:space="preserve"> BEP is most recommended overall, but </w:t>
      </w:r>
      <w:r>
        <w:rPr>
          <w:rStyle w:val="Strong"/>
          <w:rFonts w:eastAsiaTheme="majorEastAsia"/>
        </w:rPr>
        <w:t>VIP (or EP)</w:t>
      </w:r>
      <w:r>
        <w:t xml:space="preserve"> may be used </w:t>
      </w:r>
      <w:r>
        <w:rPr>
          <w:rStyle w:val="Strong"/>
          <w:rFonts w:eastAsiaTheme="majorEastAsia"/>
        </w:rPr>
        <w:t>to avoid bleomycin</w:t>
      </w:r>
      <w:r>
        <w:t xml:space="preserve"> in selected patients. (</w:t>
      </w:r>
      <w:hyperlink r:id="rId73" w:tooltip="SEOM-GG clinical guidelines for the management of germ ..." w:history="1">
        <w:r>
          <w:rPr>
            <w:rStyle w:val="Hyperlink"/>
            <w:rFonts w:eastAsiaTheme="majorEastAsia"/>
          </w:rPr>
          <w:t>SpringerLink</w:t>
        </w:r>
      </w:hyperlink>
      <w:r>
        <w:t>)</w:t>
      </w:r>
    </w:p>
    <w:p w14:paraId="4E08F500" w14:textId="77777777" w:rsidR="0090316C" w:rsidRDefault="0090316C" w:rsidP="0090316C">
      <w:pPr>
        <w:pStyle w:val="NormalWeb"/>
        <w:numPr>
          <w:ilvl w:val="0"/>
          <w:numId w:val="5"/>
        </w:numPr>
      </w:pPr>
      <w:r>
        <w:rPr>
          <w:rStyle w:val="Strong"/>
          <w:rFonts w:eastAsiaTheme="majorEastAsia"/>
        </w:rPr>
        <w:t>Expert reviews focused on extragonadal/PMNSGCT:</w:t>
      </w:r>
      <w:r>
        <w:t xml:space="preserve"> Recommend </w:t>
      </w:r>
      <w:r>
        <w:rPr>
          <w:rStyle w:val="Strong"/>
          <w:rFonts w:eastAsiaTheme="majorEastAsia"/>
        </w:rPr>
        <w:t>VIP×4 as standard</w:t>
      </w:r>
      <w:r>
        <w:t xml:space="preserve"> for PMNSGCT specifically to </w:t>
      </w:r>
      <w:r>
        <w:rPr>
          <w:rStyle w:val="Strong"/>
          <w:rFonts w:eastAsiaTheme="majorEastAsia"/>
        </w:rPr>
        <w:t>defer/avoid bleomycin</w:t>
      </w:r>
      <w:r>
        <w:t xml:space="preserve"> before thoracic surgery. (</w:t>
      </w:r>
      <w:hyperlink r:id="rId74" w:tooltip="Managing extragonadal germ cell tumors in male adults" w:history="1">
        <w:r>
          <w:rPr>
            <w:rStyle w:val="Hyperlink"/>
            <w:rFonts w:eastAsiaTheme="majorEastAsia"/>
          </w:rPr>
          <w:t>AME Medical Journal</w:t>
        </w:r>
      </w:hyperlink>
      <w:r>
        <w:t>)</w:t>
      </w:r>
    </w:p>
    <w:p w14:paraId="48ABE22F" w14:textId="77777777" w:rsidR="0090316C" w:rsidRDefault="0090316C" w:rsidP="0090316C">
      <w:pPr>
        <w:pStyle w:val="Heading3"/>
      </w:pPr>
      <w:r>
        <w:t>Practical comparison (for your patient with asthma &amp; mediastinal primary)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3491"/>
        <w:gridCol w:w="4295"/>
      </w:tblGrid>
      <w:tr w:rsidR="0090316C" w14:paraId="11A0EB64" w14:textId="77777777">
        <w:trPr>
          <w:tblHeader/>
          <w:tblCellSpacing w:w="15" w:type="dxa"/>
        </w:trPr>
        <w:tc>
          <w:tcPr>
            <w:tcW w:w="0" w:type="auto"/>
            <w:vAlign w:val="center"/>
            <w:hideMark/>
          </w:tcPr>
          <w:p w14:paraId="0510EF1B" w14:textId="77777777" w:rsidR="0090316C" w:rsidRDefault="0090316C">
            <w:pPr>
              <w:jc w:val="center"/>
              <w:rPr>
                <w:b/>
                <w:bCs/>
              </w:rPr>
            </w:pPr>
            <w:r>
              <w:rPr>
                <w:b/>
                <w:bCs/>
              </w:rPr>
              <w:t>Dimension</w:t>
            </w:r>
          </w:p>
        </w:tc>
        <w:tc>
          <w:tcPr>
            <w:tcW w:w="0" w:type="auto"/>
            <w:vAlign w:val="center"/>
            <w:hideMark/>
          </w:tcPr>
          <w:p w14:paraId="75B1A3F7" w14:textId="77777777" w:rsidR="0090316C" w:rsidRDefault="0090316C">
            <w:pPr>
              <w:jc w:val="center"/>
              <w:rPr>
                <w:b/>
                <w:bCs/>
              </w:rPr>
            </w:pPr>
            <w:r>
              <w:rPr>
                <w:b/>
                <w:bCs/>
              </w:rPr>
              <w:t>BEP×4</w:t>
            </w:r>
          </w:p>
        </w:tc>
        <w:tc>
          <w:tcPr>
            <w:tcW w:w="0" w:type="auto"/>
            <w:vAlign w:val="center"/>
            <w:hideMark/>
          </w:tcPr>
          <w:p w14:paraId="3AEC2DAC" w14:textId="77777777" w:rsidR="0090316C" w:rsidRDefault="0090316C">
            <w:pPr>
              <w:jc w:val="center"/>
              <w:rPr>
                <w:b/>
                <w:bCs/>
              </w:rPr>
            </w:pPr>
            <w:r>
              <w:rPr>
                <w:b/>
                <w:bCs/>
              </w:rPr>
              <w:t>VIP×4</w:t>
            </w:r>
          </w:p>
        </w:tc>
      </w:tr>
      <w:tr w:rsidR="0090316C" w14:paraId="1413C5D4" w14:textId="77777777">
        <w:trPr>
          <w:tblCellSpacing w:w="15" w:type="dxa"/>
        </w:trPr>
        <w:tc>
          <w:tcPr>
            <w:tcW w:w="0" w:type="auto"/>
            <w:vAlign w:val="center"/>
            <w:hideMark/>
          </w:tcPr>
          <w:p w14:paraId="65730EE0" w14:textId="77777777" w:rsidR="0090316C" w:rsidRDefault="0090316C">
            <w:r>
              <w:rPr>
                <w:rStyle w:val="Strong"/>
                <w:rFonts w:eastAsiaTheme="majorEastAsia"/>
              </w:rPr>
              <w:t>Overall survival / cure</w:t>
            </w:r>
          </w:p>
        </w:tc>
        <w:tc>
          <w:tcPr>
            <w:tcW w:w="0" w:type="auto"/>
            <w:vAlign w:val="center"/>
            <w:hideMark/>
          </w:tcPr>
          <w:p w14:paraId="0A0EA662" w14:textId="77777777" w:rsidR="0090316C" w:rsidRDefault="0090316C">
            <w:r>
              <w:t>Equivalent to VIP in RCTs of poor-risk GCT</w:t>
            </w:r>
          </w:p>
        </w:tc>
        <w:tc>
          <w:tcPr>
            <w:tcW w:w="0" w:type="auto"/>
            <w:vAlign w:val="center"/>
            <w:hideMark/>
          </w:tcPr>
          <w:p w14:paraId="6F11AC81" w14:textId="77777777" w:rsidR="0090316C" w:rsidRDefault="0090316C">
            <w:r>
              <w:t>Equivalent to BEP in same trials</w:t>
            </w:r>
          </w:p>
        </w:tc>
      </w:tr>
      <w:tr w:rsidR="0090316C" w14:paraId="614DF381" w14:textId="77777777">
        <w:trPr>
          <w:tblCellSpacing w:w="15" w:type="dxa"/>
        </w:trPr>
        <w:tc>
          <w:tcPr>
            <w:tcW w:w="0" w:type="auto"/>
            <w:vAlign w:val="center"/>
            <w:hideMark/>
          </w:tcPr>
          <w:p w14:paraId="55991E52" w14:textId="77777777" w:rsidR="0090316C" w:rsidRDefault="0090316C">
            <w:r>
              <w:rPr>
                <w:rStyle w:val="Strong"/>
                <w:rFonts w:eastAsiaTheme="majorEastAsia"/>
              </w:rPr>
              <w:lastRenderedPageBreak/>
              <w:t>Pulmonary toxicity</w:t>
            </w:r>
          </w:p>
        </w:tc>
        <w:tc>
          <w:tcPr>
            <w:tcW w:w="0" w:type="auto"/>
            <w:vAlign w:val="center"/>
            <w:hideMark/>
          </w:tcPr>
          <w:p w14:paraId="6E2D147D" w14:textId="77777777" w:rsidR="0090316C" w:rsidRDefault="0090316C">
            <w:r>
              <w:rPr>
                <w:rStyle w:val="Strong"/>
                <w:rFonts w:eastAsiaTheme="majorEastAsia"/>
              </w:rPr>
              <w:t>Yes</w:t>
            </w:r>
            <w:r>
              <w:t xml:space="preserve"> — risk of bleomycin lung injury; perioperative oxygen exposure increases risk</w:t>
            </w:r>
          </w:p>
        </w:tc>
        <w:tc>
          <w:tcPr>
            <w:tcW w:w="0" w:type="auto"/>
            <w:vAlign w:val="center"/>
            <w:hideMark/>
          </w:tcPr>
          <w:p w14:paraId="52780468" w14:textId="77777777" w:rsidR="0090316C" w:rsidRDefault="0090316C">
            <w:r>
              <w:rPr>
                <w:rStyle w:val="Strong"/>
                <w:rFonts w:eastAsiaTheme="majorEastAsia"/>
              </w:rPr>
              <w:t>No bleomycin</w:t>
            </w:r>
            <w:r>
              <w:t xml:space="preserve"> — avoids this risk</w:t>
            </w:r>
          </w:p>
        </w:tc>
      </w:tr>
      <w:tr w:rsidR="0090316C" w14:paraId="101276BD" w14:textId="77777777">
        <w:trPr>
          <w:tblCellSpacing w:w="15" w:type="dxa"/>
        </w:trPr>
        <w:tc>
          <w:tcPr>
            <w:tcW w:w="0" w:type="auto"/>
            <w:vAlign w:val="center"/>
            <w:hideMark/>
          </w:tcPr>
          <w:p w14:paraId="06838105" w14:textId="77777777" w:rsidR="0090316C" w:rsidRDefault="0090316C">
            <w:r>
              <w:rPr>
                <w:rStyle w:val="Strong"/>
                <w:rFonts w:eastAsiaTheme="majorEastAsia"/>
              </w:rPr>
              <w:t>Other toxicity</w:t>
            </w:r>
          </w:p>
        </w:tc>
        <w:tc>
          <w:tcPr>
            <w:tcW w:w="0" w:type="auto"/>
            <w:vAlign w:val="center"/>
            <w:hideMark/>
          </w:tcPr>
          <w:p w14:paraId="7DF95888" w14:textId="77777777" w:rsidR="0090316C" w:rsidRDefault="0090316C">
            <w:r>
              <w:t>Less myelosuppression</w:t>
            </w:r>
          </w:p>
        </w:tc>
        <w:tc>
          <w:tcPr>
            <w:tcW w:w="0" w:type="auto"/>
            <w:vAlign w:val="center"/>
            <w:hideMark/>
          </w:tcPr>
          <w:p w14:paraId="61C650B1" w14:textId="77777777" w:rsidR="0090316C" w:rsidRDefault="0090316C">
            <w:r>
              <w:rPr>
                <w:rStyle w:val="Strong"/>
                <w:rFonts w:eastAsiaTheme="majorEastAsia"/>
              </w:rPr>
              <w:t>More myelosuppression</w:t>
            </w:r>
            <w:r>
              <w:t>, infections, ifosfamide-related nephro/neuro toxicity; growth-factor support routine</w:t>
            </w:r>
          </w:p>
        </w:tc>
      </w:tr>
      <w:tr w:rsidR="0090316C" w14:paraId="684A608F" w14:textId="77777777">
        <w:trPr>
          <w:tblCellSpacing w:w="15" w:type="dxa"/>
        </w:trPr>
        <w:tc>
          <w:tcPr>
            <w:tcW w:w="0" w:type="auto"/>
            <w:vAlign w:val="center"/>
            <w:hideMark/>
          </w:tcPr>
          <w:p w14:paraId="2F61DB5F" w14:textId="77777777" w:rsidR="0090316C" w:rsidRDefault="0090316C">
            <w:r>
              <w:rPr>
                <w:rStyle w:val="Strong"/>
                <w:rFonts w:eastAsiaTheme="majorEastAsia"/>
              </w:rPr>
              <w:t>PMNSGCT context</w:t>
            </w:r>
          </w:p>
        </w:tc>
        <w:tc>
          <w:tcPr>
            <w:tcW w:w="0" w:type="auto"/>
            <w:vAlign w:val="center"/>
            <w:hideMark/>
          </w:tcPr>
          <w:p w14:paraId="58299384" w14:textId="77777777" w:rsidR="0090316C" w:rsidRDefault="0090316C">
            <w:r>
              <w:t xml:space="preserve">Often </w:t>
            </w:r>
            <w:r>
              <w:rPr>
                <w:rStyle w:val="Strong"/>
                <w:rFonts w:eastAsiaTheme="majorEastAsia"/>
              </w:rPr>
              <w:t>avoided</w:t>
            </w:r>
            <w:r>
              <w:t xml:space="preserve"> if lung surgery anticipated</w:t>
            </w:r>
          </w:p>
        </w:tc>
        <w:tc>
          <w:tcPr>
            <w:tcW w:w="0" w:type="auto"/>
            <w:vAlign w:val="center"/>
            <w:hideMark/>
          </w:tcPr>
          <w:p w14:paraId="4E0D1E25" w14:textId="77777777" w:rsidR="0090316C" w:rsidRDefault="0090316C">
            <w:r>
              <w:rPr>
                <w:rStyle w:val="Strong"/>
                <w:rFonts w:eastAsiaTheme="majorEastAsia"/>
              </w:rPr>
              <w:t>Often preferred</w:t>
            </w:r>
            <w:r>
              <w:t xml:space="preserve"> to facilitate safe thoracic surgery</w:t>
            </w:r>
          </w:p>
        </w:tc>
      </w:tr>
    </w:tbl>
    <w:p w14:paraId="0867361A" w14:textId="77777777" w:rsidR="0090316C" w:rsidRDefault="0090316C" w:rsidP="0090316C">
      <w:pPr>
        <w:pStyle w:val="NormalWeb"/>
      </w:pPr>
      <w:r>
        <w:t>Citations: efficacy/toxicity trial (</w:t>
      </w:r>
      <w:hyperlink r:id="rId75" w:tooltip="Randomized comparison of cisplatin and etoposide and either bleomycin or ifosfamide in treatment of advanced disseminated germ cell tumors: an Eastern Cooperative Oncology Group, Southwest Oncology Group, and Cancer and Leukemia Group B Study - PubMed" w:history="1">
        <w:r>
          <w:rPr>
            <w:rStyle w:val="Hyperlink"/>
            <w:rFonts w:eastAsiaTheme="majorEastAsia"/>
          </w:rPr>
          <w:t>PubMed</w:t>
        </w:r>
      </w:hyperlink>
      <w:r>
        <w:t>); pulmonary risk (</w:t>
      </w:r>
      <w:hyperlink r:id="rId76" w:tooltip="Drug-Induced Interstitial Lung Disease: A Systematic Review" w:history="1">
        <w:r>
          <w:rPr>
            <w:rStyle w:val="Hyperlink"/>
            <w:rFonts w:eastAsiaTheme="majorEastAsia"/>
          </w:rPr>
          <w:t>MDPI</w:t>
        </w:r>
      </w:hyperlink>
      <w:r>
        <w:t>); PMNSGCT surgical literature/guidance (</w:t>
      </w:r>
      <w:hyperlink r:id="rId77" w:tooltip="Outcomes following surgery for primary mediastinal ..." w:history="1">
        <w:r>
          <w:rPr>
            <w:rStyle w:val="Hyperlink"/>
            <w:rFonts w:eastAsiaTheme="majorEastAsia"/>
          </w:rPr>
          <w:t>PubMed</w:t>
        </w:r>
      </w:hyperlink>
      <w:r>
        <w:t>); options listed in guidelines/algorithms (</w:t>
      </w:r>
      <w:hyperlink r:id="rId78" w:tooltip="Testicular Cancer algorithm" w:history="1">
        <w:r>
          <w:rPr>
            <w:rStyle w:val="Hyperlink"/>
            <w:rFonts w:eastAsiaTheme="majorEastAsia"/>
          </w:rPr>
          <w:t>MD Anderson Cancer Center</w:t>
        </w:r>
      </w:hyperlink>
      <w:r>
        <w:t>).</w:t>
      </w:r>
    </w:p>
    <w:p w14:paraId="7A93495A" w14:textId="77777777" w:rsidR="0090316C" w:rsidRDefault="0090316C" w:rsidP="0090316C">
      <w:pPr>
        <w:pStyle w:val="Heading3"/>
      </w:pPr>
      <w:r>
        <w:t>Bottom line / recommendation</w:t>
      </w:r>
    </w:p>
    <w:p w14:paraId="7F71ED97" w14:textId="77777777" w:rsidR="0090316C" w:rsidRDefault="0090316C" w:rsidP="0090316C">
      <w:pPr>
        <w:pStyle w:val="NormalWeb"/>
      </w:pPr>
      <w:r>
        <w:t xml:space="preserve">For a </w:t>
      </w:r>
      <w:r>
        <w:rPr>
          <w:rStyle w:val="Strong"/>
          <w:rFonts w:eastAsiaTheme="majorEastAsia"/>
        </w:rPr>
        <w:t>20-year-old man with PMNSGCT and asthma</w:t>
      </w:r>
      <w:r>
        <w:t xml:space="preserve">, first-line </w:t>
      </w:r>
      <w:r>
        <w:rPr>
          <w:rStyle w:val="Strong"/>
          <w:rFonts w:eastAsiaTheme="majorEastAsia"/>
        </w:rPr>
        <w:t>VIP×4</w:t>
      </w:r>
      <w:r>
        <w:t xml:space="preserve"> is a defensible—and commonly chosen—approach to </w:t>
      </w:r>
      <w:r>
        <w:rPr>
          <w:rStyle w:val="Strong"/>
          <w:rFonts w:eastAsiaTheme="majorEastAsia"/>
        </w:rPr>
        <w:t>avoid bleomycin-related lung injury and reduce perioperative pulmonary risk</w:t>
      </w:r>
      <w:r>
        <w:t xml:space="preserve"> before inevitable post-chemo mediastinal resection. This choice trades for </w:t>
      </w:r>
      <w:r>
        <w:rPr>
          <w:rStyle w:val="Strong"/>
          <w:rFonts w:eastAsiaTheme="majorEastAsia"/>
        </w:rPr>
        <w:t>higher hematologic/ifosfamide toxicity</w:t>
      </w:r>
      <w:r>
        <w:t xml:space="preserve">, so plan proactive G-CSF support, nephro/neuro monitoring, and strict dosing in a high-volume center. If bleomycin must be avoided entirely (e.g., PFT concerns), </w:t>
      </w:r>
      <w:r>
        <w:rPr>
          <w:rStyle w:val="Strong"/>
          <w:rFonts w:eastAsiaTheme="majorEastAsia"/>
        </w:rPr>
        <w:t>EP×4</w:t>
      </w:r>
      <w:r>
        <w:t xml:space="preserve"> is acceptable in good-risk settings, but PMNSGCT is typically </w:t>
      </w:r>
      <w:r>
        <w:rPr>
          <w:rStyle w:val="Strong"/>
          <w:rFonts w:eastAsiaTheme="majorEastAsia"/>
        </w:rPr>
        <w:t>poor-risk</w:t>
      </w:r>
      <w:r>
        <w:t xml:space="preserve"> and managed with triplet therapy (VIP×4). (</w:t>
      </w:r>
      <w:hyperlink r:id="rId79" w:tooltip="Managing extragonadal germ cell tumors in male adults" w:history="1">
        <w:r>
          <w:rPr>
            <w:rStyle w:val="Hyperlink"/>
            <w:rFonts w:eastAsiaTheme="majorEastAsia"/>
          </w:rPr>
          <w:t>AME Medical Journal</w:t>
        </w:r>
      </w:hyperlink>
      <w:r>
        <w:t>)</w:t>
      </w:r>
    </w:p>
    <w:p w14:paraId="50B4A946" w14:textId="77777777" w:rsidR="0090316C" w:rsidRDefault="0090316C" w:rsidP="0090316C">
      <w:pPr>
        <w:pStyle w:val="Heading3"/>
      </w:pPr>
      <w:r>
        <w:t>Extra notes you may want to use in the plan</w:t>
      </w:r>
    </w:p>
    <w:p w14:paraId="3DCEC02A" w14:textId="77777777" w:rsidR="0090316C" w:rsidRDefault="0090316C" w:rsidP="0090316C">
      <w:pPr>
        <w:pStyle w:val="NormalWeb"/>
        <w:numPr>
          <w:ilvl w:val="0"/>
          <w:numId w:val="6"/>
        </w:numPr>
      </w:pPr>
      <w:r>
        <w:t xml:space="preserve">Obtain </w:t>
      </w:r>
      <w:r>
        <w:rPr>
          <w:rStyle w:val="Strong"/>
          <w:rFonts w:eastAsiaTheme="majorEastAsia"/>
        </w:rPr>
        <w:t>baseline and pre-op PFTs/DLCO</w:t>
      </w:r>
      <w:r>
        <w:t xml:space="preserve"> and coordinate with anesthesia to </w:t>
      </w:r>
      <w:r>
        <w:rPr>
          <w:rStyle w:val="Strong"/>
          <w:rFonts w:eastAsiaTheme="majorEastAsia"/>
        </w:rPr>
        <w:t>minimize FiO₂</w:t>
      </w:r>
      <w:r>
        <w:t xml:space="preserve"> during/after surgery if the patient ever receives bleomycin. (</w:t>
      </w:r>
      <w:hyperlink r:id="rId80" w:tooltip="A population-based study of pulmonary monitoring and toxicity ..." w:history="1">
        <w:r>
          <w:rPr>
            <w:rStyle w:val="Hyperlink"/>
            <w:rFonts w:eastAsiaTheme="majorEastAsia"/>
          </w:rPr>
          <w:t>PMC</w:t>
        </w:r>
      </w:hyperlink>
      <w:r>
        <w:t>)</w:t>
      </w:r>
    </w:p>
    <w:p w14:paraId="11DC5257" w14:textId="67F6804A" w:rsidR="0090316C" w:rsidRPr="007E6E66" w:rsidRDefault="0090316C" w:rsidP="0090316C">
      <w:pPr>
        <w:pStyle w:val="NormalWeb"/>
        <w:numPr>
          <w:ilvl w:val="0"/>
          <w:numId w:val="6"/>
        </w:numPr>
      </w:pPr>
      <w:r>
        <w:t xml:space="preserve">Remember </w:t>
      </w:r>
      <w:r>
        <w:rPr>
          <w:rStyle w:val="Strong"/>
          <w:rFonts w:eastAsiaTheme="majorEastAsia"/>
        </w:rPr>
        <w:t>PMNSGCT prognosis is poorer</w:t>
      </w:r>
      <w:r>
        <w:t xml:space="preserve"> than gonadal NSGCT (5-yr OS ~40–50%) </w:t>
      </w:r>
      <w:r>
        <w:rPr>
          <w:rFonts w:ascii="Cambria Math" w:hAnsi="Cambria Math" w:cs="Cambria Math"/>
        </w:rPr>
        <w:t>⇒</w:t>
      </w:r>
      <w:r>
        <w:t xml:space="preserve"> </w:t>
      </w:r>
      <w:r>
        <w:rPr>
          <w:rStyle w:val="Strong"/>
          <w:rFonts w:eastAsiaTheme="majorEastAsia"/>
        </w:rPr>
        <w:t>multidisciplinary</w:t>
      </w:r>
      <w:r>
        <w:t xml:space="preserve"> management and timely </w:t>
      </w:r>
      <w:r>
        <w:rPr>
          <w:rStyle w:val="Strong"/>
          <w:rFonts w:eastAsiaTheme="majorEastAsia"/>
        </w:rPr>
        <w:t>complete resection</w:t>
      </w:r>
      <w:r>
        <w:t xml:space="preserve"> of residual disease are critical for cure. (</w:t>
      </w:r>
      <w:hyperlink r:id="rId81" w:tooltip="Mediastinal germ cell tumours: where we are and where we ..." w:history="1">
        <w:r>
          <w:rPr>
            <w:rStyle w:val="Hyperlink"/>
            <w:rFonts w:eastAsiaTheme="majorEastAsia"/>
          </w:rPr>
          <w:t>Mediastinum</w:t>
        </w:r>
      </w:hyperlink>
      <w:r>
        <w:t>)</w:t>
      </w:r>
    </w:p>
    <w:p w14:paraId="25898FA6" w14:textId="77777777" w:rsidR="007E6715" w:rsidRDefault="007E6715"/>
    <w:sectPr w:rsidR="007E6715" w:rsidSect="0098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482"/>
    <w:multiLevelType w:val="multilevel"/>
    <w:tmpl w:val="F858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7E7B"/>
    <w:multiLevelType w:val="multilevel"/>
    <w:tmpl w:val="160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2203"/>
    <w:multiLevelType w:val="multilevel"/>
    <w:tmpl w:val="190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3645E"/>
    <w:multiLevelType w:val="multilevel"/>
    <w:tmpl w:val="827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0205D"/>
    <w:multiLevelType w:val="multilevel"/>
    <w:tmpl w:val="92D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6080"/>
    <w:multiLevelType w:val="multilevel"/>
    <w:tmpl w:val="C3C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05700">
    <w:abstractNumId w:val="0"/>
  </w:num>
  <w:num w:numId="2" w16cid:durableId="1971283602">
    <w:abstractNumId w:val="4"/>
  </w:num>
  <w:num w:numId="3" w16cid:durableId="1253928220">
    <w:abstractNumId w:val="1"/>
  </w:num>
  <w:num w:numId="4" w16cid:durableId="1626228706">
    <w:abstractNumId w:val="2"/>
  </w:num>
  <w:num w:numId="5" w16cid:durableId="198015494">
    <w:abstractNumId w:val="5"/>
  </w:num>
  <w:num w:numId="6" w16cid:durableId="1932470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6C"/>
    <w:rsid w:val="004606FF"/>
    <w:rsid w:val="00602C25"/>
    <w:rsid w:val="00782633"/>
    <w:rsid w:val="007E6715"/>
    <w:rsid w:val="008355BC"/>
    <w:rsid w:val="008F3B2D"/>
    <w:rsid w:val="0090316C"/>
    <w:rsid w:val="00985FE9"/>
    <w:rsid w:val="009A3FBE"/>
    <w:rsid w:val="00DA1091"/>
    <w:rsid w:val="00EE0110"/>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F294"/>
  <w15:chartTrackingRefBased/>
  <w15:docId w15:val="{F9AB40DF-ACD5-664C-AB5B-C0950B74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6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3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1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6C"/>
    <w:rPr>
      <w:rFonts w:eastAsiaTheme="majorEastAsia" w:cstheme="majorBidi"/>
      <w:color w:val="272727" w:themeColor="text1" w:themeTint="D8"/>
    </w:rPr>
  </w:style>
  <w:style w:type="paragraph" w:styleId="Title">
    <w:name w:val="Title"/>
    <w:basedOn w:val="Normal"/>
    <w:next w:val="Normal"/>
    <w:link w:val="TitleChar"/>
    <w:uiPriority w:val="10"/>
    <w:qFormat/>
    <w:rsid w:val="009031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6C"/>
    <w:pPr>
      <w:spacing w:before="160"/>
      <w:jc w:val="center"/>
    </w:pPr>
    <w:rPr>
      <w:i/>
      <w:iCs/>
      <w:color w:val="404040" w:themeColor="text1" w:themeTint="BF"/>
    </w:rPr>
  </w:style>
  <w:style w:type="character" w:customStyle="1" w:styleId="QuoteChar">
    <w:name w:val="Quote Char"/>
    <w:basedOn w:val="DefaultParagraphFont"/>
    <w:link w:val="Quote"/>
    <w:uiPriority w:val="29"/>
    <w:rsid w:val="0090316C"/>
    <w:rPr>
      <w:i/>
      <w:iCs/>
      <w:color w:val="404040" w:themeColor="text1" w:themeTint="BF"/>
    </w:rPr>
  </w:style>
  <w:style w:type="paragraph" w:styleId="ListParagraph">
    <w:name w:val="List Paragraph"/>
    <w:basedOn w:val="Normal"/>
    <w:uiPriority w:val="34"/>
    <w:qFormat/>
    <w:rsid w:val="0090316C"/>
    <w:pPr>
      <w:ind w:left="720"/>
      <w:contextualSpacing/>
    </w:pPr>
  </w:style>
  <w:style w:type="character" w:styleId="IntenseEmphasis">
    <w:name w:val="Intense Emphasis"/>
    <w:basedOn w:val="DefaultParagraphFont"/>
    <w:uiPriority w:val="21"/>
    <w:qFormat/>
    <w:rsid w:val="0090316C"/>
    <w:rPr>
      <w:i/>
      <w:iCs/>
      <w:color w:val="0F4761" w:themeColor="accent1" w:themeShade="BF"/>
    </w:rPr>
  </w:style>
  <w:style w:type="paragraph" w:styleId="IntenseQuote">
    <w:name w:val="Intense Quote"/>
    <w:basedOn w:val="Normal"/>
    <w:next w:val="Normal"/>
    <w:link w:val="IntenseQuoteChar"/>
    <w:uiPriority w:val="30"/>
    <w:qFormat/>
    <w:rsid w:val="00903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16C"/>
    <w:rPr>
      <w:i/>
      <w:iCs/>
      <w:color w:val="0F4761" w:themeColor="accent1" w:themeShade="BF"/>
    </w:rPr>
  </w:style>
  <w:style w:type="character" w:styleId="IntenseReference">
    <w:name w:val="Intense Reference"/>
    <w:basedOn w:val="DefaultParagraphFont"/>
    <w:uiPriority w:val="32"/>
    <w:qFormat/>
    <w:rsid w:val="0090316C"/>
    <w:rPr>
      <w:b/>
      <w:bCs/>
      <w:smallCaps/>
      <w:color w:val="0F4761" w:themeColor="accent1" w:themeShade="BF"/>
      <w:spacing w:val="5"/>
    </w:rPr>
  </w:style>
  <w:style w:type="character" w:styleId="Hyperlink">
    <w:name w:val="Hyperlink"/>
    <w:basedOn w:val="DefaultParagraphFont"/>
    <w:uiPriority w:val="99"/>
    <w:semiHidden/>
    <w:unhideWhenUsed/>
    <w:rsid w:val="0090316C"/>
    <w:rPr>
      <w:color w:val="0000FF"/>
      <w:u w:val="single"/>
    </w:rPr>
  </w:style>
  <w:style w:type="character" w:styleId="Strong">
    <w:name w:val="Strong"/>
    <w:basedOn w:val="DefaultParagraphFont"/>
    <w:uiPriority w:val="22"/>
    <w:qFormat/>
    <w:rsid w:val="0090316C"/>
    <w:rPr>
      <w:b/>
      <w:bCs/>
    </w:rPr>
  </w:style>
  <w:style w:type="paragraph" w:styleId="NormalWeb">
    <w:name w:val="Normal (Web)"/>
    <w:basedOn w:val="Normal"/>
    <w:uiPriority w:val="99"/>
    <w:unhideWhenUsed/>
    <w:rsid w:val="0090316C"/>
    <w:pPr>
      <w:spacing w:before="100" w:beforeAutospacing="1" w:after="100" w:afterAutospacing="1"/>
    </w:pPr>
  </w:style>
  <w:style w:type="character" w:styleId="Emphasis">
    <w:name w:val="Emphasis"/>
    <w:basedOn w:val="DefaultParagraphFont"/>
    <w:uiPriority w:val="20"/>
    <w:qFormat/>
    <w:rsid w:val="00903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12673712" TargetMode="External"/><Relationship Id="rId21" Type="http://schemas.openxmlformats.org/officeDocument/2006/relationships/hyperlink" Target="https://meetings.asco.org/abstracts-presentations/246526" TargetMode="External"/><Relationship Id="rId42" Type="http://schemas.openxmlformats.org/officeDocument/2006/relationships/hyperlink" Target="https://pubmed.ncbi.nlm.nih.gov/29700638" TargetMode="External"/><Relationship Id="rId47" Type="http://schemas.openxmlformats.org/officeDocument/2006/relationships/hyperlink" Target="https://pubmed.ncbi.nlm.nih.gov/40451233" TargetMode="External"/><Relationship Id="rId63" Type="http://schemas.openxmlformats.org/officeDocument/2006/relationships/hyperlink" Target="https://pubmed.ncbi.nlm.nih.gov/9469359" TargetMode="External"/><Relationship Id="rId68" Type="http://schemas.openxmlformats.org/officeDocument/2006/relationships/hyperlink" Target="https://pubmed.ncbi.nlm.nih.gov/9552027/" TargetMode="External"/><Relationship Id="rId16" Type="http://schemas.openxmlformats.org/officeDocument/2006/relationships/hyperlink" Target="https://jamanetwork.com/journals/jama/fullarticle/10.1001/jama.2024.27122?utm_source=openevidence&amp;utm_medium=referral" TargetMode="External"/><Relationship Id="rId11" Type="http://schemas.openxmlformats.org/officeDocument/2006/relationships/hyperlink" Target="https://meetings.asco.org/abstracts-presentations/246526" TargetMode="External"/><Relationship Id="rId32" Type="http://schemas.openxmlformats.org/officeDocument/2006/relationships/hyperlink" Target="https://jamanetwork.com/journals/jama/fullarticle/10.1001/jama.2024.27122?utm_source=openevidence&amp;utm_medium=referral" TargetMode="External"/><Relationship Id="rId37" Type="http://schemas.openxmlformats.org/officeDocument/2006/relationships/hyperlink" Target="https://pubmed.ncbi.nlm.nih.gov/12673712" TargetMode="External"/><Relationship Id="rId53" Type="http://schemas.openxmlformats.org/officeDocument/2006/relationships/hyperlink" Target="https://pubmed.ncbi.nlm.nih.gov/40451233" TargetMode="External"/><Relationship Id="rId58" Type="http://schemas.openxmlformats.org/officeDocument/2006/relationships/hyperlink" Target="https://pubmed.ncbi.nlm.nih.gov/26651223" TargetMode="External"/><Relationship Id="rId74" Type="http://schemas.openxmlformats.org/officeDocument/2006/relationships/hyperlink" Target="https://amj.amegroups.org/article/view/5412/html?utm_source=chatgpt.com" TargetMode="External"/><Relationship Id="rId79" Type="http://schemas.openxmlformats.org/officeDocument/2006/relationships/hyperlink" Target="https://amj.amegroups.org/article/view/5412/html?utm_source=chatgpt.com" TargetMode="External"/><Relationship Id="rId5" Type="http://schemas.openxmlformats.org/officeDocument/2006/relationships/hyperlink" Target="https://pubmed.ncbi.nlm.nih.gov/40451233" TargetMode="External"/><Relationship Id="rId61" Type="http://schemas.openxmlformats.org/officeDocument/2006/relationships/hyperlink" Target="https://pubmed.ncbi.nlm.nih.gov/9552027" TargetMode="External"/><Relationship Id="rId82" Type="http://schemas.openxmlformats.org/officeDocument/2006/relationships/fontTable" Target="fontTable.xml"/><Relationship Id="rId19" Type="http://schemas.openxmlformats.org/officeDocument/2006/relationships/hyperlink" Target="https://jamanetwork.com/journals/jama/fullarticle/10.1001/jama.2024.27122?utm_source=openevidence&amp;utm_medium=referral" TargetMode="External"/><Relationship Id="rId14" Type="http://schemas.openxmlformats.org/officeDocument/2006/relationships/hyperlink" Target="https://pubmed.ncbi.nlm.nih.gov/9743309" TargetMode="External"/><Relationship Id="rId22" Type="http://schemas.openxmlformats.org/officeDocument/2006/relationships/hyperlink" Target="https://pubmed.ncbi.nlm.nih.gov/12673712" TargetMode="External"/><Relationship Id="rId27" Type="http://schemas.openxmlformats.org/officeDocument/2006/relationships/hyperlink" Target="https://pubmed.ncbi.nlm.nih.gov/9552027" TargetMode="External"/><Relationship Id="rId30" Type="http://schemas.openxmlformats.org/officeDocument/2006/relationships/hyperlink" Target="https://pubmed.ncbi.nlm.nih.gov/12673712" TargetMode="External"/><Relationship Id="rId35" Type="http://schemas.openxmlformats.org/officeDocument/2006/relationships/hyperlink" Target="https://pubmed.ncbi.nlm.nih.gov/29700638" TargetMode="External"/><Relationship Id="rId43" Type="http://schemas.openxmlformats.org/officeDocument/2006/relationships/hyperlink" Target="https://pubmed.ncbi.nlm.nih.gov/28327896" TargetMode="External"/><Relationship Id="rId48" Type="http://schemas.openxmlformats.org/officeDocument/2006/relationships/hyperlink" Target="https://jamanetwork.com/journals/jama/fullarticle/10.1001/jama.2024.27122?utm_source=openevidence&amp;utm_medium=referral" TargetMode="External"/><Relationship Id="rId56" Type="http://schemas.openxmlformats.org/officeDocument/2006/relationships/hyperlink" Target="https://pubmed.ncbi.nlm.nih.gov/40451233" TargetMode="External"/><Relationship Id="rId64" Type="http://schemas.openxmlformats.org/officeDocument/2006/relationships/hyperlink" Target="https://pubmed.ncbi.nlm.nih.gov/26903578" TargetMode="External"/><Relationship Id="rId69" Type="http://schemas.openxmlformats.org/officeDocument/2006/relationships/hyperlink" Target="https://www.mdpi.com/2077-0383/7/10/356?utm_source=chatgpt.com" TargetMode="External"/><Relationship Id="rId77" Type="http://schemas.openxmlformats.org/officeDocument/2006/relationships/hyperlink" Target="https://pubmed.ncbi.nlm.nih.gov/32446546/?utm_source=chatgpt.com" TargetMode="External"/><Relationship Id="rId8" Type="http://schemas.openxmlformats.org/officeDocument/2006/relationships/hyperlink" Target="https://pubmed.ncbi.nlm.nih.gov/40451233" TargetMode="External"/><Relationship Id="rId51" Type="http://schemas.openxmlformats.org/officeDocument/2006/relationships/hyperlink" Target="https://pubmed.ncbi.nlm.nih.gov/9552027" TargetMode="External"/><Relationship Id="rId72" Type="http://schemas.openxmlformats.org/officeDocument/2006/relationships/hyperlink" Target="https://www.mdanderson.org/documents/for-physicians/algorithms/cancer-treatment/ca-treatment-testicular-web-algorithm.pdf" TargetMode="External"/><Relationship Id="rId80" Type="http://schemas.openxmlformats.org/officeDocument/2006/relationships/hyperlink" Target="https://pmc.ncbi.nlm.nih.gov/articles/PMC7755436/?utm_source=chatgpt.com" TargetMode="External"/><Relationship Id="rId3" Type="http://schemas.openxmlformats.org/officeDocument/2006/relationships/settings" Target="settings.xml"/><Relationship Id="rId12" Type="http://schemas.openxmlformats.org/officeDocument/2006/relationships/hyperlink" Target="https://pubmed.ncbi.nlm.nih.gov/12673712" TargetMode="External"/><Relationship Id="rId17" Type="http://schemas.openxmlformats.org/officeDocument/2006/relationships/hyperlink" Target="https://pubmed.ncbi.nlm.nih.gov/26651223" TargetMode="External"/><Relationship Id="rId25" Type="http://schemas.openxmlformats.org/officeDocument/2006/relationships/hyperlink" Target="https://pubmed.ncbi.nlm.nih.gov/9469359" TargetMode="External"/><Relationship Id="rId33" Type="http://schemas.openxmlformats.org/officeDocument/2006/relationships/hyperlink" Target="https://meetings.asco.org/abstracts-presentations/246526" TargetMode="External"/><Relationship Id="rId38" Type="http://schemas.openxmlformats.org/officeDocument/2006/relationships/hyperlink" Target="https://pubmed.ncbi.nlm.nih.gov/9552027" TargetMode="External"/><Relationship Id="rId46" Type="http://schemas.openxmlformats.org/officeDocument/2006/relationships/hyperlink" Target="https://pubmed.ncbi.nlm.nih.gov/26651223" TargetMode="External"/><Relationship Id="rId59" Type="http://schemas.openxmlformats.org/officeDocument/2006/relationships/hyperlink" Target="https://meetings.asco.org/abstracts-presentations/246526" TargetMode="External"/><Relationship Id="rId67" Type="http://schemas.openxmlformats.org/officeDocument/2006/relationships/hyperlink" Target="https://pubmed.ncbi.nlm.nih.gov/9552027/" TargetMode="External"/><Relationship Id="rId20" Type="http://schemas.openxmlformats.org/officeDocument/2006/relationships/hyperlink" Target="https://pubmed.ncbi.nlm.nih.gov/26651223" TargetMode="External"/><Relationship Id="rId41" Type="http://schemas.openxmlformats.org/officeDocument/2006/relationships/hyperlink" Target="https://pubmed.ncbi.nlm.nih.gov/26903578" TargetMode="External"/><Relationship Id="rId54" Type="http://schemas.openxmlformats.org/officeDocument/2006/relationships/hyperlink" Target="https://jamanetwork.com/journals/jama/fullarticle/10.1001/jama.2024.27122?utm_source=openevidence&amp;utm_medium=referral" TargetMode="External"/><Relationship Id="rId62" Type="http://schemas.openxmlformats.org/officeDocument/2006/relationships/hyperlink" Target="https://pubmed.ncbi.nlm.nih.gov/9743309" TargetMode="External"/><Relationship Id="rId70" Type="http://schemas.openxmlformats.org/officeDocument/2006/relationships/hyperlink" Target="https://pubmed.ncbi.nlm.nih.gov/32446546/?utm_source=chatgpt.com" TargetMode="External"/><Relationship Id="rId75" Type="http://schemas.openxmlformats.org/officeDocument/2006/relationships/hyperlink" Target="https://pubmed.ncbi.nlm.nih.gov/9552027/"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amanetwork.com/journals/jama/fullarticle/10.1001/jama.2024.27122?utm_source=openevidence&amp;utm_medium=referral" TargetMode="External"/><Relationship Id="rId15" Type="http://schemas.openxmlformats.org/officeDocument/2006/relationships/hyperlink" Target="https://pubmed.ncbi.nlm.nih.gov/40451233" TargetMode="External"/><Relationship Id="rId23" Type="http://schemas.openxmlformats.org/officeDocument/2006/relationships/hyperlink" Target="https://pubmed.ncbi.nlm.nih.gov/9552027" TargetMode="External"/><Relationship Id="rId28" Type="http://schemas.openxmlformats.org/officeDocument/2006/relationships/hyperlink" Target="https://pubmed.ncbi.nlm.nih.gov/9743309" TargetMode="External"/><Relationship Id="rId36" Type="http://schemas.openxmlformats.org/officeDocument/2006/relationships/hyperlink" Target="https://pubmed.ncbi.nlm.nih.gov/28327896" TargetMode="External"/><Relationship Id="rId49" Type="http://schemas.openxmlformats.org/officeDocument/2006/relationships/hyperlink" Target="https://meetings.asco.org/abstracts-presentations/246526" TargetMode="External"/><Relationship Id="rId57" Type="http://schemas.openxmlformats.org/officeDocument/2006/relationships/hyperlink" Target="https://jamanetwork.com/journals/jama/fullarticle/10.1001/jama.2024.27122?utm_source=openevidence&amp;utm_medium=referral" TargetMode="External"/><Relationship Id="rId10" Type="http://schemas.openxmlformats.org/officeDocument/2006/relationships/hyperlink" Target="https://pubmed.ncbi.nlm.nih.gov/26651223" TargetMode="External"/><Relationship Id="rId31" Type="http://schemas.openxmlformats.org/officeDocument/2006/relationships/hyperlink" Target="https://pubmed.ncbi.nlm.nih.gov/9743309" TargetMode="External"/><Relationship Id="rId44" Type="http://schemas.openxmlformats.org/officeDocument/2006/relationships/hyperlink" Target="https://pubmed.ncbi.nlm.nih.gov/40451233" TargetMode="External"/><Relationship Id="rId52" Type="http://schemas.openxmlformats.org/officeDocument/2006/relationships/hyperlink" Target="https://pubmed.ncbi.nlm.nih.gov/9743309" TargetMode="External"/><Relationship Id="rId60" Type="http://schemas.openxmlformats.org/officeDocument/2006/relationships/hyperlink" Target="https://pubmed.ncbi.nlm.nih.gov/12673712" TargetMode="External"/><Relationship Id="rId65" Type="http://schemas.openxmlformats.org/officeDocument/2006/relationships/hyperlink" Target="https://pubmed.ncbi.nlm.nih.gov/29700638" TargetMode="External"/><Relationship Id="rId73" Type="http://schemas.openxmlformats.org/officeDocument/2006/relationships/hyperlink" Target="https://link.springer.com/article/10.1007/s12094-024-03532-2?utm_source=chatgpt.com" TargetMode="External"/><Relationship Id="rId78" Type="http://schemas.openxmlformats.org/officeDocument/2006/relationships/hyperlink" Target="https://www.mdanderson.org/documents/for-physicians/algorithms/cancer-treatment/ca-treatment-testicular-web-algorithm.pdf" TargetMode="External"/><Relationship Id="rId81" Type="http://schemas.openxmlformats.org/officeDocument/2006/relationships/hyperlink" Target="https://med.amegroups.org/article/view/6661/html?utm_source=chatgpt.com" TargetMode="External"/><Relationship Id="rId4" Type="http://schemas.openxmlformats.org/officeDocument/2006/relationships/webSettings" Target="webSettings.xml"/><Relationship Id="rId9" Type="http://schemas.openxmlformats.org/officeDocument/2006/relationships/hyperlink" Target="https://jamanetwork.com/journals/jama/fullarticle/10.1001/jama.2024.27122?utm_source=openevidence&amp;utm_medium=referral" TargetMode="External"/><Relationship Id="rId13" Type="http://schemas.openxmlformats.org/officeDocument/2006/relationships/hyperlink" Target="https://pubmed.ncbi.nlm.nih.gov/9552027" TargetMode="External"/><Relationship Id="rId18" Type="http://schemas.openxmlformats.org/officeDocument/2006/relationships/hyperlink" Target="https://pubmed.ncbi.nlm.nih.gov/40451233" TargetMode="External"/><Relationship Id="rId39" Type="http://schemas.openxmlformats.org/officeDocument/2006/relationships/hyperlink" Target="https://pubmed.ncbi.nlm.nih.gov/9743309" TargetMode="External"/><Relationship Id="rId34" Type="http://schemas.openxmlformats.org/officeDocument/2006/relationships/hyperlink" Target="https://pubmed.ncbi.nlm.nih.gov/26903578" TargetMode="External"/><Relationship Id="rId50" Type="http://schemas.openxmlformats.org/officeDocument/2006/relationships/hyperlink" Target="https://pubmed.ncbi.nlm.nih.gov/12673712" TargetMode="External"/><Relationship Id="rId55" Type="http://schemas.openxmlformats.org/officeDocument/2006/relationships/hyperlink" Target="https://pubmed.ncbi.nlm.nih.gov/26651223" TargetMode="External"/><Relationship Id="rId76" Type="http://schemas.openxmlformats.org/officeDocument/2006/relationships/hyperlink" Target="https://www.mdpi.com/2077-0383/7/10/356?utm_source=chatgpt.com" TargetMode="External"/><Relationship Id="rId7" Type="http://schemas.openxmlformats.org/officeDocument/2006/relationships/hyperlink" Target="https://pubmed.ncbi.nlm.nih.gov/26651223" TargetMode="External"/><Relationship Id="rId71" Type="http://schemas.openxmlformats.org/officeDocument/2006/relationships/hyperlink" Target="https://med.amegroups.org/article/view/6661/html?utm_source=chatgpt.com" TargetMode="External"/><Relationship Id="rId2" Type="http://schemas.openxmlformats.org/officeDocument/2006/relationships/styles" Target="styles.xml"/><Relationship Id="rId29" Type="http://schemas.openxmlformats.org/officeDocument/2006/relationships/hyperlink" Target="https://meetings.asco.org/abstracts-presentations/246526" TargetMode="External"/><Relationship Id="rId24" Type="http://schemas.openxmlformats.org/officeDocument/2006/relationships/hyperlink" Target="https://pubmed.ncbi.nlm.nih.gov/9743309" TargetMode="External"/><Relationship Id="rId40" Type="http://schemas.openxmlformats.org/officeDocument/2006/relationships/hyperlink" Target="https://pubmed.ncbi.nlm.nih.gov/9469359" TargetMode="External"/><Relationship Id="rId45" Type="http://schemas.openxmlformats.org/officeDocument/2006/relationships/hyperlink" Target="https://jamanetwork.com/journals/jama/fullarticle/10.1001/jama.2024.27122?utm_source=openevidence&amp;utm_medium=referral" TargetMode="External"/><Relationship Id="rId66" Type="http://schemas.openxmlformats.org/officeDocument/2006/relationships/hyperlink" Target="https://pubmed.ncbi.nlm.nih.gov/28327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3457</Words>
  <Characters>19706</Characters>
  <Application>Microsoft Office Word</Application>
  <DocSecurity>0</DocSecurity>
  <Lines>164</Lines>
  <Paragraphs>46</Paragraphs>
  <ScaleCrop>false</ScaleCrop>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2</cp:revision>
  <dcterms:created xsi:type="dcterms:W3CDTF">2026-03-04T02:50:00Z</dcterms:created>
  <dcterms:modified xsi:type="dcterms:W3CDTF">2026-03-04T02:50:00Z</dcterms:modified>
</cp:coreProperties>
</file>