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7DD1" w14:textId="2FB12129" w:rsidR="0006233B" w:rsidRPr="00DB397D" w:rsidRDefault="0006233B" w:rsidP="000623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40FF"/>
          <w:kern w:val="0"/>
          <w14:ligatures w14:val="none"/>
        </w:rPr>
      </w:pPr>
      <w:r w:rsidRPr="00DB397D">
        <w:rPr>
          <w:rFonts w:ascii="Times New Roman" w:eastAsia="Times New Roman" w:hAnsi="Times New Roman" w:cs="Times New Roman"/>
          <w:b/>
          <w:bCs/>
          <w:noProof/>
          <w:color w:val="FF40FF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1CF6C" wp14:editId="589787EC">
                <wp:simplePos x="0" y="0"/>
                <wp:positionH relativeFrom="column">
                  <wp:posOffset>-481781</wp:posOffset>
                </wp:positionH>
                <wp:positionV relativeFrom="paragraph">
                  <wp:posOffset>469265</wp:posOffset>
                </wp:positionV>
                <wp:extent cx="323850" cy="8180070"/>
                <wp:effectExtent l="0" t="0" r="19050" b="11430"/>
                <wp:wrapNone/>
                <wp:docPr id="14357444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40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5927C" id="Rectangle 2" o:spid="_x0000_s1026" style="position:absolute;margin-left:-37.95pt;margin-top:36.95pt;width:25.5pt;height:64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" fillcolor="#ff40ff" strokecolor="#030e13 [484]" strokeweight="1pt"/>
            </w:pict>
          </mc:Fallback>
        </mc:AlternateContent>
      </w:r>
      <w:r w:rsidRPr="00DB397D">
        <w:rPr>
          <w:rFonts w:ascii="Times New Roman" w:eastAsia="Times New Roman" w:hAnsi="Times New Roman" w:cs="Times New Roman"/>
          <w:b/>
          <w:bCs/>
          <w:color w:val="FF40FF"/>
          <w:kern w:val="0"/>
          <w:sz w:val="40"/>
          <w:szCs w:val="40"/>
          <w:u w:val="single"/>
          <w14:ligatures w14:val="none"/>
        </w:rPr>
        <w:t>PINK REPORT</w:t>
      </w:r>
    </w:p>
    <w:p w14:paraId="47F1BA66" w14:textId="063B657D" w:rsidR="00684A0B" w:rsidRPr="00684A0B" w:rsidRDefault="00684A0B" w:rsidP="00684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A0B">
        <w:rPr>
          <w:rFonts w:ascii="Times New Roman" w:eastAsia="Times New Roman" w:hAnsi="Times New Roman" w:cs="Times New Roman"/>
          <w:kern w:val="0"/>
          <w14:ligatures w14:val="none"/>
        </w:rPr>
        <w:t xml:space="preserve">This table summarizes the available evidence on </w:t>
      </w:r>
      <w:r w:rsidRPr="00684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gabapentin for overall survival (OS) in glioblastoma</w:t>
      </w:r>
      <w:r w:rsidRPr="00684A0B">
        <w:rPr>
          <w:rFonts w:ascii="Times New Roman" w:eastAsia="Times New Roman" w:hAnsi="Times New Roman" w:cs="Times New Roman"/>
          <w:kern w:val="0"/>
          <w14:ligatures w14:val="none"/>
        </w:rPr>
        <w:t xml:space="preserve">, organized from highest to lowest level of rigor. Current standards-of-care guidelines </w:t>
      </w:r>
      <w:r w:rsidRPr="00684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recommend gabapentin for OS benefit</w:t>
      </w:r>
      <w:r w:rsidRPr="00684A0B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684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observational human data</w:t>
      </w:r>
      <w:r w:rsidRPr="00684A0B">
        <w:rPr>
          <w:rFonts w:ascii="Times New Roman" w:eastAsia="Times New Roman" w:hAnsi="Times New Roman" w:cs="Times New Roman"/>
          <w:kern w:val="0"/>
          <w14:ligatures w14:val="none"/>
        </w:rPr>
        <w:t xml:space="preserve"> suggest an association with improved survival that remains </w:t>
      </w:r>
      <w:r w:rsidRPr="00684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investigational</w:t>
      </w:r>
      <w:r w:rsidRPr="00684A0B">
        <w:rPr>
          <w:rFonts w:ascii="Times New Roman" w:eastAsia="Times New Roman" w:hAnsi="Times New Roman" w:cs="Times New Roman"/>
          <w:kern w:val="0"/>
          <w14:ligatures w14:val="none"/>
        </w:rPr>
        <w:t xml:space="preserve"> (NCCN; Weller; Bernstock; Mehari).</w:t>
      </w:r>
    </w:p>
    <w:p w14:paraId="1F88A3BD" w14:textId="77777777" w:rsidR="00684A0B" w:rsidRPr="00684A0B" w:rsidRDefault="00684A0B" w:rsidP="00684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(guided by the evidence):</w:t>
      </w:r>
      <w:r w:rsidRPr="00684A0B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684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gabapentin only for standard symptom-based indications</w:t>
      </w:r>
      <w:r w:rsidRPr="00684A0B">
        <w:rPr>
          <w:rFonts w:ascii="Times New Roman" w:eastAsia="Times New Roman" w:hAnsi="Times New Roman" w:cs="Times New Roman"/>
          <w:kern w:val="0"/>
          <w14:ligatures w14:val="none"/>
        </w:rPr>
        <w:t xml:space="preserve"> (e.g., neuropathic pain, seizures if needed), </w:t>
      </w:r>
      <w:r w:rsidRPr="00684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84A0B">
        <w:rPr>
          <w:rFonts w:ascii="Times New Roman" w:eastAsia="Times New Roman" w:hAnsi="Times New Roman" w:cs="Times New Roman"/>
          <w:kern w:val="0"/>
          <w14:ligatures w14:val="none"/>
        </w:rPr>
        <w:t xml:space="preserve"> with the primary goal of improving OS at this time, because the OS signal is supported only by </w:t>
      </w:r>
      <w:r w:rsidRPr="00684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retrospective/observational</w:t>
      </w:r>
      <w:r w:rsidRPr="00684A0B">
        <w:rPr>
          <w:rFonts w:ascii="Times New Roman" w:eastAsia="Times New Roman" w:hAnsi="Times New Roman" w:cs="Times New Roman"/>
          <w:kern w:val="0"/>
          <w14:ligatures w14:val="none"/>
        </w:rPr>
        <w:t xml:space="preserve"> data and </w:t>
      </w:r>
      <w:r w:rsidRPr="00684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randomized efficacy results</w:t>
      </w:r>
      <w:r w:rsidRPr="00684A0B">
        <w:rPr>
          <w:rFonts w:ascii="Times New Roman" w:eastAsia="Times New Roman" w:hAnsi="Times New Roman" w:cs="Times New Roman"/>
          <w:kern w:val="0"/>
          <w14:ligatures w14:val="none"/>
        </w:rPr>
        <w:t xml:space="preserve"> are yet available (NCCN; Bernstock; Mehari; </w:t>
      </w:r>
      <w:proofErr w:type="spellStart"/>
      <w:r w:rsidRPr="00684A0B">
        <w:rPr>
          <w:rFonts w:ascii="Times New Roman" w:eastAsia="Times New Roman" w:hAnsi="Times New Roman" w:cs="Times New Roman"/>
          <w:kern w:val="0"/>
          <w14:ligatures w14:val="none"/>
        </w:rPr>
        <w:t>Mastall</w:t>
      </w:r>
      <w:proofErr w:type="spellEnd"/>
      <w:r w:rsidRPr="00684A0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7FE447A" w14:textId="77777777" w:rsidR="00684A0B" w:rsidRPr="00684A0B" w:rsidRDefault="00684A0B" w:rsidP="00684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4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supporting summary ordered by strength of evidence: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095"/>
        <w:gridCol w:w="1790"/>
        <w:gridCol w:w="1628"/>
        <w:gridCol w:w="1735"/>
        <w:gridCol w:w="2475"/>
      </w:tblGrid>
      <w:tr w:rsidR="00684A0B" w:rsidRPr="00684A0B" w14:paraId="5D6F9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5ECB6" w14:textId="77777777" w:rsidR="00684A0B" w:rsidRPr="00684A0B" w:rsidRDefault="00684A0B" w:rsidP="00684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2A6EDA4" w14:textId="77777777" w:rsidR="00684A0B" w:rsidRPr="00684A0B" w:rsidRDefault="00684A0B" w:rsidP="00684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 of Evidence</w:t>
            </w:r>
          </w:p>
        </w:tc>
        <w:tc>
          <w:tcPr>
            <w:tcW w:w="0" w:type="auto"/>
            <w:vAlign w:val="center"/>
            <w:hideMark/>
          </w:tcPr>
          <w:p w14:paraId="78F77927" w14:textId="77777777" w:rsidR="00684A0B" w:rsidRPr="00684A0B" w:rsidRDefault="00684A0B" w:rsidP="00684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Title</w:t>
            </w:r>
          </w:p>
        </w:tc>
        <w:tc>
          <w:tcPr>
            <w:tcW w:w="0" w:type="auto"/>
            <w:vAlign w:val="center"/>
            <w:hideMark/>
          </w:tcPr>
          <w:p w14:paraId="48EFBF6F" w14:textId="77777777" w:rsidR="00684A0B" w:rsidRPr="00684A0B" w:rsidRDefault="00684A0B" w:rsidP="00684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308FDF50" w14:textId="77777777" w:rsidR="00684A0B" w:rsidRPr="00684A0B" w:rsidRDefault="00684A0B" w:rsidP="00684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Journal (Year)</w:t>
            </w:r>
          </w:p>
        </w:tc>
        <w:tc>
          <w:tcPr>
            <w:tcW w:w="0" w:type="auto"/>
            <w:vAlign w:val="center"/>
            <w:hideMark/>
          </w:tcPr>
          <w:p w14:paraId="1A76DFAC" w14:textId="77777777" w:rsidR="00684A0B" w:rsidRPr="00684A0B" w:rsidRDefault="00684A0B" w:rsidP="00684A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684A0B" w:rsidRPr="00684A0B" w14:paraId="68E4D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07D4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🟩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1514BA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Guideline</w:t>
            </w:r>
          </w:p>
        </w:tc>
        <w:tc>
          <w:tcPr>
            <w:tcW w:w="0" w:type="auto"/>
            <w:vAlign w:val="center"/>
            <w:hideMark/>
          </w:tcPr>
          <w:p w14:paraId="63C8ECB3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Central Nervous System Cancers</w:t>
            </w:r>
          </w:p>
        </w:tc>
        <w:tc>
          <w:tcPr>
            <w:tcW w:w="0" w:type="auto"/>
            <w:vAlign w:val="center"/>
            <w:hideMark/>
          </w:tcPr>
          <w:p w14:paraId="2E2D73A8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Comprehensive Cancer Network (NCCN)</w:t>
            </w:r>
          </w:p>
        </w:tc>
        <w:tc>
          <w:tcPr>
            <w:tcW w:w="0" w:type="auto"/>
            <w:vAlign w:val="center"/>
            <w:hideMark/>
          </w:tcPr>
          <w:p w14:paraId="20BACBB3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NCCN Guidelines (Updated 2025)</w:t>
            </w:r>
          </w:p>
        </w:tc>
        <w:tc>
          <w:tcPr>
            <w:tcW w:w="0" w:type="auto"/>
            <w:vAlign w:val="center"/>
            <w:hideMark/>
          </w:tcPr>
          <w:p w14:paraId="3925596F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Does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include gabapentin as an anti-tumor/OS-improving therapy for glioblastoma; lists it as an option among non–enzyme-inducing AEDs (primarily for seizure-related indications). </w:t>
            </w: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(NCCN)</w:t>
            </w:r>
          </w:p>
        </w:tc>
      </w:tr>
      <w:tr w:rsidR="00684A0B" w:rsidRPr="00684A0B" w14:paraId="6A80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6314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D2B50E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0" w:type="auto"/>
            <w:vAlign w:val="center"/>
            <w:hideMark/>
          </w:tcPr>
          <w:p w14:paraId="3278BC2B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D78E8B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844AEE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3B5D88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(No eligible meta-analysis identified in provided references.)</w:t>
            </w:r>
          </w:p>
        </w:tc>
      </w:tr>
      <w:tr w:rsidR="00684A0B" w:rsidRPr="00684A0B" w14:paraId="201BC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5333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🟨🟢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DB9B40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 (P3) Trial</w:t>
            </w:r>
          </w:p>
        </w:tc>
        <w:tc>
          <w:tcPr>
            <w:tcW w:w="0" w:type="auto"/>
            <w:vAlign w:val="center"/>
            <w:hideMark/>
          </w:tcPr>
          <w:p w14:paraId="57DFCA47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5FF270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E49B10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1D8FA1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(No P3 trial evidence identified in provided references.)</w:t>
            </w:r>
          </w:p>
        </w:tc>
      </w:tr>
      <w:tr w:rsidR="00684A0B" w:rsidRPr="00684A0B" w14:paraId="34674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3993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B8A681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2 (P2) Trial</w:t>
            </w:r>
          </w:p>
        </w:tc>
        <w:tc>
          <w:tcPr>
            <w:tcW w:w="0" w:type="auto"/>
            <w:vAlign w:val="center"/>
            <w:hideMark/>
          </w:tcPr>
          <w:p w14:paraId="39D85E22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A00BD4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F296CF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907864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(No completed P2 efficacy trial evidence identified in provided references.)</w:t>
            </w:r>
          </w:p>
        </w:tc>
      </w:tr>
      <w:tr w:rsidR="00684A0B" w:rsidRPr="00684A0B" w14:paraId="57E43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F5D0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🟧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BB36CE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1 (P1) Trial</w:t>
            </w:r>
          </w:p>
        </w:tc>
        <w:tc>
          <w:tcPr>
            <w:tcW w:w="0" w:type="auto"/>
            <w:vAlign w:val="center"/>
            <w:hideMark/>
          </w:tcPr>
          <w:p w14:paraId="74325B9E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A Phase </w:t>
            </w:r>
            <w:proofErr w:type="spellStart"/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Ib</w:t>
            </w:r>
            <w:proofErr w:type="spellEnd"/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/II Randomized, Open-Label Drug Repurposing Trial of </w:t>
            </w: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lastRenderedPageBreak/>
              <w:t>Glutamate Signaling Inhibitors… (GLUGLIO) Trial Protocol</w:t>
            </w:r>
          </w:p>
        </w:tc>
        <w:tc>
          <w:tcPr>
            <w:tcW w:w="0" w:type="auto"/>
            <w:vAlign w:val="center"/>
            <w:hideMark/>
          </w:tcPr>
          <w:p w14:paraId="4AF1B3FC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Mastall</w:t>
            </w:r>
            <w:proofErr w:type="spellEnd"/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3592A07E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BMC Cancer (2024)</w:t>
            </w:r>
          </w:p>
        </w:tc>
        <w:tc>
          <w:tcPr>
            <w:tcW w:w="0" w:type="auto"/>
            <w:vAlign w:val="center"/>
            <w:hideMark/>
          </w:tcPr>
          <w:p w14:paraId="5523C25C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Trial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protocol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(Phase </w:t>
            </w:r>
            <w:proofErr w:type="spellStart"/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</w:t>
            </w:r>
            <w:proofErr w:type="spellEnd"/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/II) evaluating glutamate-signaling inhibitors (including gabapentin in the 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rationale/repurposing context);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results pending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so no prospective OS benefit established. </w:t>
            </w: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</w:t>
            </w:r>
            <w:proofErr w:type="spellStart"/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Mastall</w:t>
            </w:r>
            <w:proofErr w:type="spellEnd"/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)</w:t>
            </w:r>
          </w:p>
        </w:tc>
      </w:tr>
      <w:tr w:rsidR="00684A0B" w:rsidRPr="00684A0B" w14:paraId="052ED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7EFD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🟧🔴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649956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Large Cohort Study</w:t>
            </w:r>
          </w:p>
        </w:tc>
        <w:tc>
          <w:tcPr>
            <w:tcW w:w="0" w:type="auto"/>
            <w:vAlign w:val="center"/>
            <w:hideMark/>
          </w:tcPr>
          <w:p w14:paraId="505B4185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Gabapentinoids</w:t>
            </w:r>
            <w:proofErr w:type="spellEnd"/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Confer Survival Benefit in Human Glioblastoma</w:t>
            </w:r>
          </w:p>
        </w:tc>
        <w:tc>
          <w:tcPr>
            <w:tcW w:w="0" w:type="auto"/>
            <w:vAlign w:val="center"/>
            <w:hideMark/>
          </w:tcPr>
          <w:p w14:paraId="57ED7DE1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Bernstock et al.</w:t>
            </w:r>
          </w:p>
        </w:tc>
        <w:tc>
          <w:tcPr>
            <w:tcW w:w="0" w:type="auto"/>
            <w:vAlign w:val="center"/>
            <w:hideMark/>
          </w:tcPr>
          <w:p w14:paraId="4D031686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Nature Communications (2025)</w:t>
            </w:r>
          </w:p>
        </w:tc>
        <w:tc>
          <w:tcPr>
            <w:tcW w:w="0" w:type="auto"/>
            <w:vAlign w:val="center"/>
            <w:hideMark/>
          </w:tcPr>
          <w:p w14:paraId="0A840134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Observational study (reported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n≈1,072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associating gabapentin exposure with improved survival and reduced serum TSP-1;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association ≠ causation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not yet practice-changing. </w:t>
            </w: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(Bernstock)</w:t>
            </w:r>
          </w:p>
        </w:tc>
      </w:tr>
      <w:tr w:rsidR="00684A0B" w:rsidRPr="00684A0B" w14:paraId="73F7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9C1F" w14:textId="24C8C849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6E3A29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0" w:type="auto"/>
            <w:vAlign w:val="center"/>
            <w:hideMark/>
          </w:tcPr>
          <w:p w14:paraId="3ABA1C20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Can targeting TSP-1 with gabapentin enhance survival in glioblastoma? A 20-year retrospective cohort study</w:t>
            </w:r>
          </w:p>
        </w:tc>
        <w:tc>
          <w:tcPr>
            <w:tcW w:w="0" w:type="auto"/>
            <w:vAlign w:val="center"/>
            <w:hideMark/>
          </w:tcPr>
          <w:p w14:paraId="10D5BA50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Mehari et al.</w:t>
            </w:r>
          </w:p>
        </w:tc>
        <w:tc>
          <w:tcPr>
            <w:tcW w:w="0" w:type="auto"/>
            <w:vAlign w:val="center"/>
            <w:hideMark/>
          </w:tcPr>
          <w:p w14:paraId="72595BDC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 Clin Oncol (ASCO abstract) (2024)</w:t>
            </w:r>
          </w:p>
        </w:tc>
        <w:tc>
          <w:tcPr>
            <w:tcW w:w="0" w:type="auto"/>
            <w:vAlign w:val="center"/>
            <w:hideMark/>
          </w:tcPr>
          <w:p w14:paraId="69260E17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Retrospective association: OS difference reported; median daily dose reported around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600 mg/day (IQR 300–900)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abstract-level evidence; confounding possible; limited generalizability to frail ECOG 3 patients. </w:t>
            </w: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(Mehari)</w:t>
            </w:r>
          </w:p>
        </w:tc>
      </w:tr>
      <w:tr w:rsidR="00684A0B" w:rsidRPr="00684A0B" w14:paraId="5F789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3CD4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🟫</w:t>
            </w:r>
            <w:r w:rsidRPr="00684A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958216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Animal Model</w:t>
            </w:r>
          </w:p>
        </w:tc>
        <w:tc>
          <w:tcPr>
            <w:tcW w:w="0" w:type="auto"/>
            <w:vAlign w:val="center"/>
            <w:hideMark/>
          </w:tcPr>
          <w:p w14:paraId="21AC3D37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B53BCC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C3F2A1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3FC515" w14:textId="77777777" w:rsidR="00684A0B" w:rsidRPr="00684A0B" w:rsidRDefault="00684A0B" w:rsidP="00684A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4A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(No animal-model evidence identified in provided references.)</w:t>
            </w:r>
          </w:p>
        </w:tc>
      </w:tr>
    </w:tbl>
    <w:p w14:paraId="372986F8" w14:textId="45B86087" w:rsidR="007E6715" w:rsidRDefault="0006233B">
      <w:r w:rsidRPr="00DB397D">
        <w:rPr>
          <w:rFonts w:ascii="Times New Roman" w:eastAsia="Times New Roman" w:hAnsi="Times New Roman" w:cs="Times New Roman"/>
          <w:b/>
          <w:bCs/>
          <w:noProof/>
          <w:color w:val="FF40FF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6F3037" wp14:editId="79E919A1">
                <wp:simplePos x="0" y="0"/>
                <wp:positionH relativeFrom="column">
                  <wp:posOffset>-560705</wp:posOffset>
                </wp:positionH>
                <wp:positionV relativeFrom="paragraph">
                  <wp:posOffset>-5613667</wp:posOffset>
                </wp:positionV>
                <wp:extent cx="323850" cy="8180070"/>
                <wp:effectExtent l="0" t="0" r="19050" b="11430"/>
                <wp:wrapNone/>
                <wp:docPr id="14859606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40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D838D" id="Rectangle 2" o:spid="_x0000_s1026" style="position:absolute;margin-left:-44.15pt;margin-top:-442pt;width:25.5pt;height:64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" fillcolor="#ff40ff" strokecolor="#030e13 [484]" strokeweight="1pt"/>
            </w:pict>
          </mc:Fallback>
        </mc:AlternateContent>
      </w:r>
    </w:p>
    <w:sectPr w:rsidR="007E6715" w:rsidSect="00985FE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04248" w14:textId="77777777" w:rsidR="002809A5" w:rsidRDefault="002809A5" w:rsidP="0006233B">
      <w:pPr>
        <w:spacing w:after="0" w:line="240" w:lineRule="auto"/>
      </w:pPr>
      <w:r>
        <w:separator/>
      </w:r>
    </w:p>
  </w:endnote>
  <w:endnote w:type="continuationSeparator" w:id="0">
    <w:p w14:paraId="30C29920" w14:textId="77777777" w:rsidR="002809A5" w:rsidRDefault="002809A5" w:rsidP="00062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072B" w14:textId="155C0BA2" w:rsidR="0006233B" w:rsidRPr="0006233B" w:rsidRDefault="0006233B" w:rsidP="0006233B">
    <w:pPr>
      <w:pStyle w:val="Header"/>
      <w:rPr>
        <w:color w:val="FF40FF"/>
      </w:rPr>
    </w:pPr>
    <w:r w:rsidRPr="00DB397D">
      <w:rPr>
        <w:color w:val="FF40FF"/>
      </w:rPr>
      <w:t>PINK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2350B" w14:textId="77777777" w:rsidR="002809A5" w:rsidRDefault="002809A5" w:rsidP="0006233B">
      <w:pPr>
        <w:spacing w:after="0" w:line="240" w:lineRule="auto"/>
      </w:pPr>
      <w:r>
        <w:separator/>
      </w:r>
    </w:p>
  </w:footnote>
  <w:footnote w:type="continuationSeparator" w:id="0">
    <w:p w14:paraId="22339A1D" w14:textId="77777777" w:rsidR="002809A5" w:rsidRDefault="002809A5" w:rsidP="00062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26F5" w14:textId="604EACC0" w:rsidR="0006233B" w:rsidRPr="0006233B" w:rsidRDefault="0006233B">
    <w:pPr>
      <w:pStyle w:val="Header"/>
      <w:rPr>
        <w:color w:val="FF40FF"/>
      </w:rPr>
    </w:pPr>
    <w:r w:rsidRPr="00DB397D">
      <w:rPr>
        <w:color w:val="FF40FF"/>
      </w:rPr>
      <w:t>PINK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0B"/>
    <w:rsid w:val="0006233B"/>
    <w:rsid w:val="002809A5"/>
    <w:rsid w:val="00602C25"/>
    <w:rsid w:val="00684A0B"/>
    <w:rsid w:val="007E6715"/>
    <w:rsid w:val="008355BC"/>
    <w:rsid w:val="008F3B2D"/>
    <w:rsid w:val="00985FE9"/>
    <w:rsid w:val="00DA1091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89B71"/>
  <w15:chartTrackingRefBased/>
  <w15:docId w15:val="{E4DE05C0-0B29-0746-B612-EBA68C025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A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4A0B"/>
    <w:rPr>
      <w:b/>
      <w:bCs/>
    </w:rPr>
  </w:style>
  <w:style w:type="character" w:styleId="Emphasis">
    <w:name w:val="Emphasis"/>
    <w:basedOn w:val="DefaultParagraphFont"/>
    <w:uiPriority w:val="20"/>
    <w:qFormat/>
    <w:rsid w:val="00684A0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62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33B"/>
  </w:style>
  <w:style w:type="paragraph" w:styleId="Footer">
    <w:name w:val="footer"/>
    <w:basedOn w:val="Normal"/>
    <w:link w:val="FooterChar"/>
    <w:uiPriority w:val="99"/>
    <w:unhideWhenUsed/>
    <w:rsid w:val="00062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2026-03-03T23:03:00Z</dcterms:created>
  <dcterms:modified xsi:type="dcterms:W3CDTF">2026-03-04T06:06:00Z</dcterms:modified>
</cp:coreProperties>
</file>