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78D84" w14:textId="688AB3A1" w:rsidR="00633970" w:rsidRPr="007A6478" w:rsidRDefault="00633970" w:rsidP="00633970">
      <w:pPr>
        <w:pStyle w:val="Header"/>
        <w:jc w:val="center"/>
        <w:rPr>
          <w:color w:val="FFFF00"/>
          <w:sz w:val="40"/>
          <w:szCs w:val="40"/>
        </w:rPr>
      </w:pPr>
      <w:r w:rsidRPr="000D32C6">
        <w:rPr>
          <w:rFonts w:ascii="Times New Roman" w:eastAsia="Times New Roman" w:hAnsi="Times New Roman" w:cs="Times New Roman"/>
          <w:b/>
          <w:bCs/>
          <w:noProof/>
          <w:color w:val="EE0000"/>
          <w:kern w:val="0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7C799D" wp14:editId="29937B01">
                <wp:simplePos x="0" y="0"/>
                <wp:positionH relativeFrom="column">
                  <wp:posOffset>-540775</wp:posOffset>
                </wp:positionH>
                <wp:positionV relativeFrom="paragraph">
                  <wp:posOffset>309880</wp:posOffset>
                </wp:positionV>
                <wp:extent cx="324464" cy="8180295"/>
                <wp:effectExtent l="0" t="0" r="19050" b="11430"/>
                <wp:wrapNone/>
                <wp:docPr id="91819397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464" cy="818029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4373A9" id="Rectangle 2" o:spid="_x0000_s1026" style="position:absolute;margin-left:-42.6pt;margin-top:24.4pt;width:25.55pt;height:644.1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" fillcolor="yellow" strokecolor="#030e13 [484]" strokeweight="1pt"/>
            </w:pict>
          </mc:Fallback>
        </mc:AlternateContent>
      </w:r>
      <w:r w:rsidRPr="007A6478">
        <w:rPr>
          <w:color w:val="FFFF00"/>
          <w:sz w:val="40"/>
          <w:szCs w:val="40"/>
          <w:highlight w:val="black"/>
        </w:rPr>
        <w:t>YELLOW REPORT</w:t>
      </w:r>
    </w:p>
    <w:p w14:paraId="207D4B05" w14:textId="121C7394" w:rsidR="00B2662E" w:rsidRPr="00B2662E" w:rsidRDefault="00B2662E" w:rsidP="00B26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62E">
        <w:rPr>
          <w:rFonts w:ascii="Times New Roman" w:eastAsia="Times New Roman" w:hAnsi="Times New Roman" w:cs="Times New Roman"/>
          <w:kern w:val="0"/>
          <w14:ligatures w14:val="none"/>
        </w:rPr>
        <w:t xml:space="preserve">Gabapentin should be reserved for </w:t>
      </w:r>
      <w:r w:rsidRPr="00B266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symptom control</w:t>
      </w:r>
      <w:r w:rsidRPr="00B2662E">
        <w:rPr>
          <w:rFonts w:ascii="Times New Roman" w:eastAsia="Times New Roman" w:hAnsi="Times New Roman" w:cs="Times New Roman"/>
          <w:kern w:val="0"/>
          <w14:ligatures w14:val="none"/>
        </w:rPr>
        <w:t xml:space="preserve"> (pain, neuropathic symptoms, or seizure prophylaxis) [1] in this patient, not for overall survival. There is </w:t>
      </w:r>
      <w:r w:rsidRPr="00B266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high-quality evidence</w:t>
      </w:r>
      <w:r w:rsidRPr="00B2662E">
        <w:rPr>
          <w:rFonts w:ascii="Times New Roman" w:eastAsia="Times New Roman" w:hAnsi="Times New Roman" w:cs="Times New Roman"/>
          <w:kern w:val="0"/>
          <w14:ligatures w14:val="none"/>
        </w:rPr>
        <w:t xml:space="preserve"> that gabapentin improves survival in glioblastoma, and any potential survival benefit is unproven and outweighed by risks in this frail, ECOG 3 patient with recent falls and cognitive impairment [2]. If gabapentin is used, start at </w:t>
      </w:r>
      <w:r w:rsidRPr="00B266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100 mg three times daily</w:t>
      </w:r>
      <w:r w:rsidRPr="00B2662E">
        <w:rPr>
          <w:rFonts w:ascii="Times New Roman" w:eastAsia="Times New Roman" w:hAnsi="Times New Roman" w:cs="Times New Roman"/>
          <w:kern w:val="0"/>
          <w14:ligatures w14:val="none"/>
        </w:rPr>
        <w:t xml:space="preserve"> and titrate slowly to 300 mg three times daily, monitoring closely for sedation, confusion, and fall risk; </w:t>
      </w:r>
      <w:r w:rsidRPr="00B266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avoid high doses</w:t>
      </w:r>
      <w:r w:rsidRPr="00B2662E">
        <w:rPr>
          <w:rFonts w:ascii="Times New Roman" w:eastAsia="Times New Roman" w:hAnsi="Times New Roman" w:cs="Times New Roman"/>
          <w:kern w:val="0"/>
          <w14:ligatures w14:val="none"/>
        </w:rPr>
        <w:t xml:space="preserve"> and discontinue if intolerable. Given his ECOG 3 status, recent fall, and cognitive impairment, </w:t>
      </w:r>
      <w:r w:rsidRPr="00B266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prioritize fall-prevention and nonpharmacologic strategies</w:t>
      </w:r>
      <w:r w:rsidRPr="00B2662E">
        <w:rPr>
          <w:rFonts w:ascii="Times New Roman" w:eastAsia="Times New Roman" w:hAnsi="Times New Roman" w:cs="Times New Roman"/>
          <w:kern w:val="0"/>
          <w14:ligatures w14:val="none"/>
        </w:rPr>
        <w:t xml:space="preserve"> [3] for symptoms, and avoid gabapentin for survival benefit.</w:t>
      </w:r>
    </w:p>
    <w:p w14:paraId="01B3B452" w14:textId="77777777" w:rsidR="00B2662E" w:rsidRPr="00B2662E" w:rsidRDefault="00C2769A" w:rsidP="00B266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F3BBCB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619556D" w14:textId="77777777" w:rsidR="00B2662E" w:rsidRPr="00B2662E" w:rsidRDefault="00B2662E" w:rsidP="00B266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66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Evidence for gabapentin in glioblastoma</w:t>
      </w:r>
    </w:p>
    <w:p w14:paraId="74EF13CF" w14:textId="77777777" w:rsidR="00B2662E" w:rsidRPr="00B2662E" w:rsidRDefault="00B2662E" w:rsidP="00B266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6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Survival benefit</w:t>
      </w:r>
      <w:r w:rsidRPr="00B2662E">
        <w:rPr>
          <w:rFonts w:ascii="Times New Roman" w:eastAsia="Times New Roman" w:hAnsi="Times New Roman" w:cs="Times New Roman"/>
          <w:kern w:val="0"/>
          <w14:ligatures w14:val="none"/>
        </w:rPr>
        <w:t>: A 2025 retrospective cohort study reported improved survival with postoperative gabapentin, but this is not conclusive evidence of a survival benefit; interpretation should be limited by the retrospective, observational design with potential for residual confounding and immortal time bias, and randomized confirmation is awaited [2].</w:t>
      </w:r>
    </w:p>
    <w:p w14:paraId="12D7DB8C" w14:textId="77777777" w:rsidR="00B2662E" w:rsidRPr="00B2662E" w:rsidRDefault="00B2662E" w:rsidP="00B266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6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Mechanism</w:t>
      </w:r>
      <w:r w:rsidRPr="00B2662E">
        <w:rPr>
          <w:rFonts w:ascii="Times New Roman" w:eastAsia="Times New Roman" w:hAnsi="Times New Roman" w:cs="Times New Roman"/>
          <w:kern w:val="0"/>
          <w14:ligatures w14:val="none"/>
        </w:rPr>
        <w:t>: Gabapentin may modulate neuron-tumor interactions via α2δ-1, but this is speculative and not supported by prospective clinical data [2].</w:t>
      </w:r>
    </w:p>
    <w:p w14:paraId="7E0E3A2F" w14:textId="77777777" w:rsidR="00B2662E" w:rsidRPr="00B2662E" w:rsidRDefault="00B2662E" w:rsidP="00B266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6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Guidelines</w:t>
      </w:r>
      <w:r w:rsidRPr="00B2662E">
        <w:rPr>
          <w:rFonts w:ascii="Times New Roman" w:eastAsia="Times New Roman" w:hAnsi="Times New Roman" w:cs="Times New Roman"/>
          <w:kern w:val="0"/>
          <w14:ligatures w14:val="none"/>
        </w:rPr>
        <w:t>: No major neuro-oncology guidelines recommend gabapentin for survival benefit in glioblastoma.</w:t>
      </w:r>
    </w:p>
    <w:p w14:paraId="02DB235A" w14:textId="77777777" w:rsidR="00B2662E" w:rsidRPr="00B2662E" w:rsidRDefault="00C2769A" w:rsidP="00B266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3C54C8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BE7D3FE" w14:textId="77777777" w:rsidR="00B2662E" w:rsidRPr="00B2662E" w:rsidRDefault="00B2662E" w:rsidP="00B266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66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Clinical considerations for this patient</w:t>
      </w:r>
    </w:p>
    <w:p w14:paraId="77BC75C3" w14:textId="77777777" w:rsidR="00B2662E" w:rsidRPr="00B2662E" w:rsidRDefault="00B2662E" w:rsidP="00B26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62E">
        <w:rPr>
          <w:rFonts w:ascii="Times New Roman" w:eastAsia="Times New Roman" w:hAnsi="Times New Roman" w:cs="Times New Roman"/>
          <w:kern w:val="0"/>
          <w14:ligatures w14:val="none"/>
        </w:rPr>
        <w:t xml:space="preserve">Given his frailty and comorbidities, </w:t>
      </w:r>
      <w:r w:rsidRPr="00B266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considerations</w:t>
      </w:r>
      <w:r w:rsidRPr="00B2662E">
        <w:rPr>
          <w:rFonts w:ascii="Times New Roman" w:eastAsia="Times New Roman" w:hAnsi="Times New Roman" w:cs="Times New Roman"/>
          <w:kern w:val="0"/>
          <w14:ligatures w14:val="none"/>
        </w:rPr>
        <w:t xml:space="preserve"> include:</w:t>
      </w:r>
    </w:p>
    <w:p w14:paraId="13FEBD6B" w14:textId="77777777" w:rsidR="00B2662E" w:rsidRPr="00B2662E" w:rsidRDefault="00B2662E" w:rsidP="00B266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6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 status</w:t>
      </w:r>
      <w:r w:rsidRPr="00B2662E">
        <w:rPr>
          <w:rFonts w:ascii="Times New Roman" w:eastAsia="Times New Roman" w:hAnsi="Times New Roman" w:cs="Times New Roman"/>
          <w:kern w:val="0"/>
          <w14:ligatures w14:val="none"/>
        </w:rPr>
        <w:t>: ECOG 3 indicates severe limitations; high fall risk and cognitive impairment make sedation and confusion especially hazardous.</w:t>
      </w:r>
    </w:p>
    <w:p w14:paraId="2EB563DA" w14:textId="77777777" w:rsidR="00B2662E" w:rsidRPr="00B2662E" w:rsidRDefault="00B2662E" w:rsidP="00B266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6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Fall risk</w:t>
      </w:r>
      <w:r w:rsidRPr="00B2662E">
        <w:rPr>
          <w:rFonts w:ascii="Times New Roman" w:eastAsia="Times New Roman" w:hAnsi="Times New Roman" w:cs="Times New Roman"/>
          <w:kern w:val="0"/>
          <w14:ligatures w14:val="none"/>
        </w:rPr>
        <w:t>: Recent falls and a shuffling gait heighten the risk of gabapentin-related injuries.</w:t>
      </w:r>
    </w:p>
    <w:p w14:paraId="7FC45B96" w14:textId="77777777" w:rsidR="00B2662E" w:rsidRPr="00B2662E" w:rsidRDefault="00B2662E" w:rsidP="00B266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6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Cognitive impairment</w:t>
      </w:r>
      <w:r w:rsidRPr="00B2662E">
        <w:rPr>
          <w:rFonts w:ascii="Times New Roman" w:eastAsia="Times New Roman" w:hAnsi="Times New Roman" w:cs="Times New Roman"/>
          <w:kern w:val="0"/>
          <w14:ligatures w14:val="none"/>
        </w:rPr>
        <w:t>: Gabapentin can worsen confusion and memory deficits, especially in older adults.</w:t>
      </w:r>
    </w:p>
    <w:p w14:paraId="2AFA8EF1" w14:textId="77777777" w:rsidR="00B2662E" w:rsidRPr="00B2662E" w:rsidRDefault="00C2769A" w:rsidP="00B266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A05F79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94A7A5B" w14:textId="77777777" w:rsidR="00B2662E" w:rsidRPr="00B2662E" w:rsidRDefault="00B2662E" w:rsidP="00B266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66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Recommended dosing and monitoring</w:t>
      </w:r>
    </w:p>
    <w:p w14:paraId="6944E7D9" w14:textId="77777777" w:rsidR="00B2662E" w:rsidRPr="00B2662E" w:rsidRDefault="00B2662E" w:rsidP="00B26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62E">
        <w:rPr>
          <w:rFonts w:ascii="Times New Roman" w:eastAsia="Times New Roman" w:hAnsi="Times New Roman" w:cs="Times New Roman"/>
          <w:kern w:val="0"/>
          <w14:ligatures w14:val="none"/>
        </w:rPr>
        <w:t xml:space="preserve">If gabapentin is used for symptom control, </w:t>
      </w:r>
      <w:r w:rsidRPr="00B266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 low and titrate slowly</w:t>
      </w:r>
      <w:r w:rsidRPr="00B2662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6787"/>
      </w:tblGrid>
      <w:tr w:rsidR="00B2662E" w:rsidRPr="00B2662E" w14:paraId="3FFF49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7F542A" w14:textId="77777777" w:rsidR="00B2662E" w:rsidRPr="00B2662E" w:rsidRDefault="00B2662E" w:rsidP="00B266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2662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Parameter</w:t>
            </w:r>
          </w:p>
        </w:tc>
        <w:tc>
          <w:tcPr>
            <w:tcW w:w="0" w:type="auto"/>
            <w:vAlign w:val="center"/>
            <w:hideMark/>
          </w:tcPr>
          <w:p w14:paraId="16CC8B0E" w14:textId="77777777" w:rsidR="00B2662E" w:rsidRPr="00B2662E" w:rsidRDefault="00B2662E" w:rsidP="00B266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2662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Recommendation</w:t>
            </w:r>
          </w:p>
        </w:tc>
      </w:tr>
      <w:tr w:rsidR="00B2662E" w:rsidRPr="00B2662E" w14:paraId="3B2210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7E859" w14:textId="77777777" w:rsidR="00B2662E" w:rsidRPr="00B2662E" w:rsidRDefault="00B2662E" w:rsidP="00B26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66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Initial dose</w:t>
            </w:r>
          </w:p>
        </w:tc>
        <w:tc>
          <w:tcPr>
            <w:tcW w:w="0" w:type="auto"/>
            <w:vAlign w:val="center"/>
            <w:hideMark/>
          </w:tcPr>
          <w:p w14:paraId="0D596FC8" w14:textId="77777777" w:rsidR="00B2662E" w:rsidRPr="00B2662E" w:rsidRDefault="00B2662E" w:rsidP="00B26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66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 mg three times daily</w:t>
            </w:r>
          </w:p>
        </w:tc>
      </w:tr>
      <w:tr w:rsidR="00B2662E" w:rsidRPr="00B2662E" w14:paraId="5ADAE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20FAB" w14:textId="77777777" w:rsidR="00B2662E" w:rsidRPr="00B2662E" w:rsidRDefault="00B2662E" w:rsidP="00B26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66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Titration</w:t>
            </w:r>
          </w:p>
        </w:tc>
        <w:tc>
          <w:tcPr>
            <w:tcW w:w="0" w:type="auto"/>
            <w:vAlign w:val="center"/>
            <w:hideMark/>
          </w:tcPr>
          <w:p w14:paraId="29AFDDC0" w14:textId="77777777" w:rsidR="00B2662E" w:rsidRPr="00B2662E" w:rsidRDefault="00B2662E" w:rsidP="00B26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66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Increase by 100 mg three times daily every 3–7 days as tolerated</w:t>
            </w:r>
          </w:p>
        </w:tc>
      </w:tr>
      <w:tr w:rsidR="00B2662E" w:rsidRPr="00B2662E" w14:paraId="5980F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B4038" w14:textId="77777777" w:rsidR="00B2662E" w:rsidRPr="00B2662E" w:rsidRDefault="00B2662E" w:rsidP="00B26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66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Target dose</w:t>
            </w:r>
          </w:p>
        </w:tc>
        <w:tc>
          <w:tcPr>
            <w:tcW w:w="0" w:type="auto"/>
            <w:vAlign w:val="center"/>
            <w:hideMark/>
          </w:tcPr>
          <w:p w14:paraId="50FB733E" w14:textId="77777777" w:rsidR="00B2662E" w:rsidRPr="00B2662E" w:rsidRDefault="00B2662E" w:rsidP="00B26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66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300 mg three times daily (max 900 mg/day)</w:t>
            </w:r>
          </w:p>
        </w:tc>
      </w:tr>
      <w:tr w:rsidR="00B2662E" w:rsidRPr="00B2662E" w14:paraId="6B106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BEEBD" w14:textId="77777777" w:rsidR="00B2662E" w:rsidRPr="00B2662E" w:rsidRDefault="00B2662E" w:rsidP="00B26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66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38E2ACEA" w14:textId="77777777" w:rsidR="00B2662E" w:rsidRPr="00B2662E" w:rsidRDefault="00B2662E" w:rsidP="00B26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66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Sedation, confusion, gait instability, falls, and medication interactions</w:t>
            </w:r>
          </w:p>
        </w:tc>
      </w:tr>
      <w:tr w:rsidR="00B2662E" w:rsidRPr="00B2662E" w14:paraId="6A116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A222C" w14:textId="77777777" w:rsidR="00B2662E" w:rsidRPr="00B2662E" w:rsidRDefault="00B2662E" w:rsidP="00B26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66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Discontinuation</w:t>
            </w:r>
          </w:p>
        </w:tc>
        <w:tc>
          <w:tcPr>
            <w:tcW w:w="0" w:type="auto"/>
            <w:vAlign w:val="center"/>
            <w:hideMark/>
          </w:tcPr>
          <w:p w14:paraId="3B7DF449" w14:textId="77777777" w:rsidR="00B2662E" w:rsidRPr="00B2662E" w:rsidRDefault="00B2662E" w:rsidP="00B26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66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Stop if intolerable or no benefit after 2–4 weeks</w:t>
            </w:r>
          </w:p>
        </w:tc>
      </w:tr>
    </w:tbl>
    <w:p w14:paraId="390B995F" w14:textId="5CC4DD3F" w:rsidR="00B2662E" w:rsidRPr="00B2662E" w:rsidRDefault="00633970" w:rsidP="00B266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2C6">
        <w:rPr>
          <w:rFonts w:ascii="Times New Roman" w:eastAsia="Times New Roman" w:hAnsi="Times New Roman" w:cs="Times New Roman"/>
          <w:b/>
          <w:bCs/>
          <w:noProof/>
          <w:color w:val="EE0000"/>
          <w:kern w:val="0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00B980" wp14:editId="5B13446F">
                <wp:simplePos x="0" y="0"/>
                <wp:positionH relativeFrom="column">
                  <wp:posOffset>-599440</wp:posOffset>
                </wp:positionH>
                <wp:positionV relativeFrom="paragraph">
                  <wp:posOffset>-1673942</wp:posOffset>
                </wp:positionV>
                <wp:extent cx="324464" cy="8180295"/>
                <wp:effectExtent l="0" t="0" r="19050" b="11430"/>
                <wp:wrapNone/>
                <wp:docPr id="20016946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464" cy="818029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118DC2" id="Rectangle 2" o:spid="_x0000_s1026" style="position:absolute;margin-left:-47.2pt;margin-top:-131.8pt;width:25.55pt;height:644.1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" fillcolor="yellow" strokecolor="#030e13 [484]" strokeweight="1pt"/>
            </w:pict>
          </mc:Fallback>
        </mc:AlternateContent>
      </w:r>
      <w:r w:rsidR="00C2769A">
        <w:rPr>
          <w:rFonts w:ascii="Times New Roman" w:eastAsia="Times New Roman" w:hAnsi="Times New Roman" w:cs="Times New Roman"/>
          <w:noProof/>
          <w:kern w:val="0"/>
        </w:rPr>
        <w:pict w14:anchorId="0BD1E0E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D07A61C" w14:textId="0C131CB6" w:rsidR="00B2662E" w:rsidRPr="00B2662E" w:rsidRDefault="00B2662E" w:rsidP="00B266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66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Risks and benefits assessment</w:t>
      </w:r>
    </w:p>
    <w:p w14:paraId="797C366B" w14:textId="15728FE1" w:rsidR="00B2662E" w:rsidRPr="00B2662E" w:rsidRDefault="00B2662E" w:rsidP="00B266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6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Benefits</w:t>
      </w:r>
      <w:r w:rsidRPr="00B2662E">
        <w:rPr>
          <w:rFonts w:ascii="Times New Roman" w:eastAsia="Times New Roman" w:hAnsi="Times New Roman" w:cs="Times New Roman"/>
          <w:kern w:val="0"/>
          <w14:ligatures w14:val="none"/>
        </w:rPr>
        <w:t>: Potential modest symptomatic relief (e.g. neuropathic pain).</w:t>
      </w:r>
    </w:p>
    <w:p w14:paraId="2D409431" w14:textId="77777777" w:rsidR="00B2662E" w:rsidRPr="00B2662E" w:rsidRDefault="00B2662E" w:rsidP="00B266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6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Risks</w:t>
      </w:r>
      <w:r w:rsidRPr="00B2662E">
        <w:rPr>
          <w:rFonts w:ascii="Times New Roman" w:eastAsia="Times New Roman" w:hAnsi="Times New Roman" w:cs="Times New Roman"/>
          <w:kern w:val="0"/>
          <w14:ligatures w14:val="none"/>
        </w:rPr>
        <w:t>: Sedation, confusion, falls, and medication interactions are significant in this patient.</w:t>
      </w:r>
    </w:p>
    <w:p w14:paraId="2181F63E" w14:textId="77777777" w:rsidR="00B2662E" w:rsidRPr="00B2662E" w:rsidRDefault="00B2662E" w:rsidP="00B266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6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Balance</w:t>
      </w:r>
      <w:r w:rsidRPr="00B2662E">
        <w:rPr>
          <w:rFonts w:ascii="Times New Roman" w:eastAsia="Times New Roman" w:hAnsi="Times New Roman" w:cs="Times New Roman"/>
          <w:kern w:val="0"/>
          <w14:ligatures w14:val="none"/>
        </w:rPr>
        <w:t>: Risks likely outweigh unproven survival benefits; use only if symptoms are refractory and monitored closely.</w:t>
      </w:r>
    </w:p>
    <w:p w14:paraId="11D06538" w14:textId="72EBD29E" w:rsidR="00B2662E" w:rsidRPr="00B2662E" w:rsidRDefault="00C2769A" w:rsidP="00B266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DA72B9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2C7CDC5" w14:textId="4233EAD6" w:rsidR="00B2662E" w:rsidRPr="00B2662E" w:rsidRDefault="00B2662E" w:rsidP="00B266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66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Alternative strategies</w:t>
      </w:r>
    </w:p>
    <w:p w14:paraId="462DA96D" w14:textId="77777777" w:rsidR="00B2662E" w:rsidRPr="00B2662E" w:rsidRDefault="00B2662E" w:rsidP="00B26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62E">
        <w:rPr>
          <w:rFonts w:ascii="Times New Roman" w:eastAsia="Times New Roman" w:hAnsi="Times New Roman" w:cs="Times New Roman"/>
          <w:kern w:val="0"/>
          <w14:ligatures w14:val="none"/>
        </w:rPr>
        <w:t xml:space="preserve">Prioritize </w:t>
      </w:r>
      <w:r w:rsidRPr="00B266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nonpharmacologic and symptom-focused care</w:t>
      </w:r>
      <w:r w:rsidRPr="00B2662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0C9908B" w14:textId="77777777" w:rsidR="00B2662E" w:rsidRPr="00B2662E" w:rsidRDefault="00B2662E" w:rsidP="00B266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6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Fall prevention</w:t>
      </w:r>
      <w:r w:rsidRPr="00B2662E">
        <w:rPr>
          <w:rFonts w:ascii="Times New Roman" w:eastAsia="Times New Roman" w:hAnsi="Times New Roman" w:cs="Times New Roman"/>
          <w:kern w:val="0"/>
          <w14:ligatures w14:val="none"/>
        </w:rPr>
        <w:t>: Physical therapy, home safety, and caregiver support.</w:t>
      </w:r>
    </w:p>
    <w:p w14:paraId="2FBAFC17" w14:textId="77777777" w:rsidR="00B2662E" w:rsidRPr="00B2662E" w:rsidRDefault="00B2662E" w:rsidP="00B266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6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Symptom management</w:t>
      </w:r>
      <w:r w:rsidRPr="00B2662E">
        <w:rPr>
          <w:rFonts w:ascii="Times New Roman" w:eastAsia="Times New Roman" w:hAnsi="Times New Roman" w:cs="Times New Roman"/>
          <w:kern w:val="0"/>
          <w14:ligatures w14:val="none"/>
        </w:rPr>
        <w:t>: Tailored analgesia, seizure prophylaxis if indicated, and supportive care [1].</w:t>
      </w:r>
    </w:p>
    <w:p w14:paraId="3365BECB" w14:textId="77777777" w:rsidR="00B2662E" w:rsidRPr="00B2662E" w:rsidRDefault="00B2662E" w:rsidP="00B266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6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Shared decision-making</w:t>
      </w:r>
      <w:r w:rsidRPr="00B2662E">
        <w:rPr>
          <w:rFonts w:ascii="Times New Roman" w:eastAsia="Times New Roman" w:hAnsi="Times New Roman" w:cs="Times New Roman"/>
          <w:kern w:val="0"/>
          <w14:ligatures w14:val="none"/>
        </w:rPr>
        <w:t>: Align treatment with patient values and goals of care.</w:t>
      </w:r>
    </w:p>
    <w:p w14:paraId="615553AD" w14:textId="77777777" w:rsidR="00B2662E" w:rsidRPr="00B2662E" w:rsidRDefault="00B2662E" w:rsidP="00B26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6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Sources</w:t>
      </w:r>
      <w:r w:rsidRPr="00B2662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177FD33" w14:textId="77777777" w:rsidR="00B2662E" w:rsidRPr="00B2662E" w:rsidRDefault="00B2662E" w:rsidP="00B266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7" w:anchor="1126veS4" w:tgtFrame="_blank" w:history="1">
        <w:r w:rsidRPr="00B2662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SNO and EANO practice guideline update: anticonvulsant prophylaxis in patients with newly diagnosed brain tumors</w:t>
        </w:r>
      </w:hyperlink>
      <w:r w:rsidRPr="00B2662E">
        <w:rPr>
          <w:rFonts w:ascii="Times New Roman" w:eastAsia="Times New Roman" w:hAnsi="Times New Roman" w:cs="Times New Roman"/>
          <w:kern w:val="0"/>
          <w14:ligatures w14:val="none"/>
        </w:rPr>
        <w:t>. Neuro-Oncology, 2021</w:t>
      </w:r>
    </w:p>
    <w:p w14:paraId="13394FD8" w14:textId="77777777" w:rsidR="00B2662E" w:rsidRPr="00B2662E" w:rsidRDefault="00B2662E" w:rsidP="00B266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8" w:anchor="113LQYSN" w:tgtFrame="_blank" w:history="1">
        <w:r w:rsidRPr="00B2662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Gabapentinoids confer survival benefit in human glioblastoma</w:t>
        </w:r>
      </w:hyperlink>
      <w:r w:rsidRPr="00B2662E">
        <w:rPr>
          <w:rFonts w:ascii="Times New Roman" w:eastAsia="Times New Roman" w:hAnsi="Times New Roman" w:cs="Times New Roman"/>
          <w:kern w:val="0"/>
          <w14:ligatures w14:val="none"/>
        </w:rPr>
        <w:t>. Nature Communications, 2025</w:t>
      </w:r>
    </w:p>
    <w:p w14:paraId="18B8BB6E" w14:textId="77777777" w:rsidR="00B2662E" w:rsidRPr="00B2662E" w:rsidRDefault="00B2662E" w:rsidP="00B266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9" w:anchor="114Zho92" w:tgtFrame="_blank" w:history="1">
        <w:r w:rsidRPr="00B2662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European association for neuro-oncology (EANO) guidelines for palliative care in adults with glioma</w:t>
        </w:r>
      </w:hyperlink>
      <w:r w:rsidRPr="00B2662E">
        <w:rPr>
          <w:rFonts w:ascii="Times New Roman" w:eastAsia="Times New Roman" w:hAnsi="Times New Roman" w:cs="Times New Roman"/>
          <w:kern w:val="0"/>
          <w14:ligatures w14:val="none"/>
        </w:rPr>
        <w:t>. The Lancet: Oncology, 2017</w:t>
      </w:r>
    </w:p>
    <w:p w14:paraId="7AB4A9D0" w14:textId="77777777" w:rsidR="007E6715" w:rsidRDefault="007E6715"/>
    <w:sectPr w:rsidR="007E6715" w:rsidSect="00985FE9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2A0EE" w14:textId="77777777" w:rsidR="00C2769A" w:rsidRDefault="00C2769A" w:rsidP="00633970">
      <w:pPr>
        <w:spacing w:after="0" w:line="240" w:lineRule="auto"/>
      </w:pPr>
      <w:r>
        <w:separator/>
      </w:r>
    </w:p>
  </w:endnote>
  <w:endnote w:type="continuationSeparator" w:id="0">
    <w:p w14:paraId="089345BF" w14:textId="77777777" w:rsidR="00C2769A" w:rsidRDefault="00C2769A" w:rsidP="006339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8B533" w14:textId="2503F08C" w:rsidR="00633970" w:rsidRPr="00633970" w:rsidRDefault="00633970" w:rsidP="00633970">
    <w:pPr>
      <w:pStyle w:val="Header"/>
      <w:rPr>
        <w:color w:val="FFFF00"/>
      </w:rPr>
    </w:pPr>
    <w:r w:rsidRPr="007A6478">
      <w:rPr>
        <w:color w:val="FFFF00"/>
        <w:highlight w:val="black"/>
      </w:rPr>
      <w:t>YELLOW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853482" w14:textId="77777777" w:rsidR="00C2769A" w:rsidRDefault="00C2769A" w:rsidP="00633970">
      <w:pPr>
        <w:spacing w:after="0" w:line="240" w:lineRule="auto"/>
      </w:pPr>
      <w:r>
        <w:separator/>
      </w:r>
    </w:p>
  </w:footnote>
  <w:footnote w:type="continuationSeparator" w:id="0">
    <w:p w14:paraId="106612DA" w14:textId="77777777" w:rsidR="00C2769A" w:rsidRDefault="00C2769A" w:rsidP="006339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463BE" w14:textId="28497873" w:rsidR="00633970" w:rsidRPr="00633970" w:rsidRDefault="00633970">
    <w:pPr>
      <w:pStyle w:val="Header"/>
      <w:rPr>
        <w:color w:val="FFFF00"/>
      </w:rPr>
    </w:pPr>
    <w:r w:rsidRPr="007A6478">
      <w:rPr>
        <w:color w:val="FFFF00"/>
        <w:highlight w:val="black"/>
      </w:rPr>
      <w:t>YELLOW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35115"/>
    <w:multiLevelType w:val="multilevel"/>
    <w:tmpl w:val="B8C25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D2DA3"/>
    <w:multiLevelType w:val="multilevel"/>
    <w:tmpl w:val="F2EE3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10E0F"/>
    <w:multiLevelType w:val="multilevel"/>
    <w:tmpl w:val="FADC4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6E7612"/>
    <w:multiLevelType w:val="multilevel"/>
    <w:tmpl w:val="C9B2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DA7A51"/>
    <w:multiLevelType w:val="multilevel"/>
    <w:tmpl w:val="A0543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9405045">
    <w:abstractNumId w:val="3"/>
  </w:num>
  <w:num w:numId="2" w16cid:durableId="126360025">
    <w:abstractNumId w:val="0"/>
  </w:num>
  <w:num w:numId="3" w16cid:durableId="1183011525">
    <w:abstractNumId w:val="4"/>
  </w:num>
  <w:num w:numId="4" w16cid:durableId="566184454">
    <w:abstractNumId w:val="1"/>
  </w:num>
  <w:num w:numId="5" w16cid:durableId="18842436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62E"/>
    <w:rsid w:val="00602C25"/>
    <w:rsid w:val="00633970"/>
    <w:rsid w:val="00693A07"/>
    <w:rsid w:val="007E6715"/>
    <w:rsid w:val="008355BC"/>
    <w:rsid w:val="008F3B2D"/>
    <w:rsid w:val="00985FE9"/>
    <w:rsid w:val="00B2662E"/>
    <w:rsid w:val="00C2769A"/>
    <w:rsid w:val="00DA1091"/>
    <w:rsid w:val="00EE0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587F2"/>
  <w15:chartTrackingRefBased/>
  <w15:docId w15:val="{55581D6A-0D57-5D4B-BC26-56222E04C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6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66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6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6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6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6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6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6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6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6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66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6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6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6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6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6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6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6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6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6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6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6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6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6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6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6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6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6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62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266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2662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2662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6339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3970"/>
  </w:style>
  <w:style w:type="paragraph" w:styleId="Footer">
    <w:name w:val="footer"/>
    <w:basedOn w:val="Normal"/>
    <w:link w:val="FooterChar"/>
    <w:uiPriority w:val="99"/>
    <w:unhideWhenUsed/>
    <w:rsid w:val="006339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39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ubmed.ncbi.nlm.nih.gov/40374596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pubmed.ncbi.nlm.nih.gov/34174071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pubmed.ncbi.nlm.nih.gov/28593859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539</Words>
  <Characters>3075</Characters>
  <Application>Microsoft Office Word</Application>
  <DocSecurity>0</DocSecurity>
  <Lines>25</Lines>
  <Paragraphs>7</Paragraphs>
  <ScaleCrop>false</ScaleCrop>
  <Company/>
  <LinksUpToDate>false</LinksUpToDate>
  <CharactersWithSpaces>3607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Bunning</dc:creator>
  <cp:keywords/>
  <dc:description/>
  <cp:lastModifiedBy>Bryan Bunning</cp:lastModifiedBy>
  <cp:revision>2</cp:revision>
  <dcterms:created xsi:type="dcterms:W3CDTF">2026-03-03T22:48:00Z</dcterms:created>
  <dcterms:modified xsi:type="dcterms:W3CDTF">2026-03-04T06:08:00Z</dcterms:modified>
</cp:coreProperties>
</file>