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1E02" w14:textId="77777777" w:rsidR="00D738E0" w:rsidRPr="00CC6534" w:rsidRDefault="00D738E0" w:rsidP="00D738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kern w:val="0"/>
          <w:sz w:val="40"/>
          <w:szCs w:val="4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E25E5" wp14:editId="3DB07CB6">
                <wp:simplePos x="0" y="0"/>
                <wp:positionH relativeFrom="column">
                  <wp:posOffset>-648540</wp:posOffset>
                </wp:positionH>
                <wp:positionV relativeFrom="paragraph">
                  <wp:posOffset>441960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0AF96" id="Rectangle 2" o:spid="_x0000_s1026" style="position:absolute;margin-left:-51.05pt;margin-top:34.8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" fillcolor="#0070c0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D26A3" wp14:editId="2BB010DC">
                <wp:simplePos x="0" y="0"/>
                <wp:positionH relativeFrom="column">
                  <wp:posOffset>6327038</wp:posOffset>
                </wp:positionH>
                <wp:positionV relativeFrom="paragraph">
                  <wp:posOffset>446405</wp:posOffset>
                </wp:positionV>
                <wp:extent cx="323850" cy="8180070"/>
                <wp:effectExtent l="0" t="0" r="19050" b="11430"/>
                <wp:wrapNone/>
                <wp:docPr id="10845942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FBF19" id="Rectangle 2" o:spid="_x0000_s1026" style="position:absolute;margin-left:498.2pt;margin-top:35.15pt;width:25.5pt;height:644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" fillcolor="#0070c0" strokecolor="#030e13 [484]" strokeweight="1pt"/>
            </w:pict>
          </mc:Fallback>
        </mc:AlternateContent>
      </w:r>
      <w:r w:rsidRPr="00CC6534">
        <w:rPr>
          <w:rFonts w:ascii="Times New Roman" w:eastAsia="Times New Roman" w:hAnsi="Times New Roman" w:cs="Times New Roman"/>
          <w:b/>
          <w:bCs/>
          <w:color w:val="0070C0"/>
          <w:kern w:val="0"/>
          <w:sz w:val="40"/>
          <w:szCs w:val="40"/>
          <w:u w:val="single"/>
          <w14:ligatures w14:val="none"/>
        </w:rPr>
        <w:t>BLUE REPORT</w:t>
      </w:r>
    </w:p>
    <w:p w14:paraId="08E6B0C2" w14:textId="122AA33B" w:rsidR="00C82A23" w:rsidRPr="00C82A23" w:rsidRDefault="00C82A23" w:rsidP="00C82A2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maintenance therapy is optional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following complete response to rituximab monotherapy in splenic marginal zone lymphoma. According to the National Comprehensive Cancer Network (NCCN) guidelines, rituximab maintenance at 375 mg/m² every 8-12 weeks for up to 2 years is listed as </w:t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first-line extended therapy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following complete response (CR) or partial response (PR) for patients treated with single-agent rituximab.</w:t>
      </w:r>
      <w:hyperlink r:id="rId7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The evidence supporting rituximab maintenance in marginal zone lymphoma is limited and somewhat controversial. A NEJM review notes that "the need for maintenance treatment with rituximab in patients with MZLs is controversial, with no evidence of a survival benefit." While some studies have shown improved progression-free survival with maintenance therapy, no overall survival benefit has been demonstrated.</w:t>
      </w:r>
      <w:hyperlink r:id="rId8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considerations for your patient: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for maintenance therapy: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A phase II study of R-CVP followed by rituximab maintenance in advanced MZL showed a 3-year PFS of 81% and 3-year OS of 90%, with maintenance therapy being well-tolerated.</w:t>
      </w:r>
      <w:hyperlink r:id="rId9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One retrospective series in splenic MZL reported that maintenance rituximab improved CR rates (from 42% to 71%) and 7-year PFS (75% vs 39%, p&lt;0.0004), though no OS difference was observed.</w:t>
      </w:r>
      <w:hyperlink r:id="rId10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[4]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A phase III trial (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MabCute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) evaluating extended maintenance beyond 2 years in relapsed/refractory indolent NHL found insufficient evidence to support prolonged maintenance beyond the standard 2-year period.</w:t>
      </w:r>
      <w:hyperlink r:id="rId11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Arguments against routine maintenance: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No demonstrated overall survival benefit in MZL specifically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Your patient achieved a complete metabolic response, which is associated with favorable outcomes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She is 82 years old with comorbidities (spina bifida, asthma), making treatment-related toxicity a consideration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- Active surveillance is an acceptable alternative per NCCN guidelines</w:t>
      </w:r>
      <w:hyperlink r:id="rId12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 approaches: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1. </w:t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surveillance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with clinical follow-up every 3-6 months for 5 years, then annually, with imaging as clinically indicated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738E0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FA874F" wp14:editId="2975DB78">
                <wp:simplePos x="0" y="0"/>
                <wp:positionH relativeFrom="column">
                  <wp:posOffset>-511278</wp:posOffset>
                </wp:positionH>
                <wp:positionV relativeFrom="paragraph">
                  <wp:posOffset>65979</wp:posOffset>
                </wp:positionV>
                <wp:extent cx="324464" cy="8180295"/>
                <wp:effectExtent l="0" t="0" r="19050" b="11430"/>
                <wp:wrapNone/>
                <wp:docPr id="265556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1CB46" id="Rectangle 2" o:spid="_x0000_s1026" style="position:absolute;margin-left:-40.25pt;margin-top:5.2pt;width:25.55pt;height:644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" fillcolor="#0070c0" strokecolor="#030e13 [484]" strokeweight="1pt"/>
            </w:pict>
          </mc:Fallback>
        </mc:AlternateConten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C82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rituximab maintenance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(375 mg/m² every 8-12 weeks for up to 2 years) if you and the patient value potentially prolonged PFS despite lack of OS benefit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Given her age, complete response, and the lack of survival benefit from maintenance therapy, active surveillance is a very reasonable approach. However, if she and her family place high value on potentially extending the time to progression, maintenance therapy remains an option.</w:t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2A23">
        <w:rPr>
          <w:rFonts w:ascii="Times New Roman" w:eastAsia="Times New Roman" w:hAnsi="Times New Roman" w:cs="Times New Roman"/>
          <w:kern w:val="0"/>
          <w14:ligatures w14:val="none"/>
        </w:rPr>
        <w:br/>
        <w:t>Would you like me to explore the specific surveillance imaging recommendations and monitoring parameters for patients with splenic marginal zone lymphoma in complete remission?</w:t>
      </w:r>
    </w:p>
    <w:p w14:paraId="1517B20F" w14:textId="77777777" w:rsidR="00C82A23" w:rsidRPr="00C82A23" w:rsidRDefault="00C82A23" w:rsidP="00C8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2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4916AA0A" w14:textId="77777777" w:rsidR="00C82A23" w:rsidRPr="00C82A23" w:rsidRDefault="00C82A23" w:rsidP="00C8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B-Cell Lymphomas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t>. National Comprehensive Cancer Network. Updated 2025-12-22.</w:t>
      </w:r>
    </w:p>
    <w:p w14:paraId="05860B24" w14:textId="77777777" w:rsidR="00C82A23" w:rsidRPr="00C82A23" w:rsidRDefault="00C82A23" w:rsidP="00C8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Marginal-Zone Lymphomas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t>. Rossi D, Bertoni F, Zucca E. The New England Journal of Medicine. 2022;386(6):568-581. doi:10.1056/NEJMra2102568.</w:t>
      </w:r>
    </w:p>
    <w:p w14:paraId="02661ED3" w14:textId="77777777" w:rsidR="00C82A23" w:rsidRPr="00C82A23" w:rsidRDefault="00C82A23" w:rsidP="00C8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Phase II Study of R-CVP Followed by Rituximab Maintenance Therapy for Patients </w:t>
        </w:r>
        <w:proofErr w:type="gramStart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With</w:t>
        </w:r>
        <w:proofErr w:type="gramEnd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Advanced Marginal Zone Lymphoma: Consortium for Improving Survival of Lymphoma (CISL) Study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t>. Oh SY, Kim WS, Kim JS, et al. Cancer Communications (London, England). 2019;39(1):58. doi:10.1186/s40880-019-0403-7.</w:t>
      </w:r>
    </w:p>
    <w:p w14:paraId="22B947B7" w14:textId="77777777" w:rsidR="00C82A23" w:rsidRPr="00C82A23" w:rsidRDefault="00C82A23" w:rsidP="00C8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Should Rituximab Replace Splenectomy in the Management of Splenic Marginal Zone Lymphoma?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Kalpadakis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C,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Pangalis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GA, Angelopoulou MK,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Sachanas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S,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Vassilakopoulos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 TP. Best Practice &amp; Research. Clinical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Haematology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. 2018;31(1):65-72. </w:t>
      </w:r>
      <w:proofErr w:type="gram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doi:10.1016/j.beha</w:t>
      </w:r>
      <w:proofErr w:type="gram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.2017.10.011.</w:t>
      </w:r>
    </w:p>
    <w:p w14:paraId="390100C3" w14:textId="77777777" w:rsidR="00C82A23" w:rsidRPr="00C82A23" w:rsidRDefault="00C82A23" w:rsidP="00C8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Efficacy and Safety Assessment of Prolonged Maintenance </w:t>
        </w:r>
        <w:proofErr w:type="gramStart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With</w:t>
        </w:r>
        <w:proofErr w:type="gramEnd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Subcutaneous Rituximab in Patients </w:t>
        </w:r>
        <w:proofErr w:type="gramStart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With</w:t>
        </w:r>
        <w:proofErr w:type="gramEnd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Relapsed or Refractory Indolent Non-Hodgkin Lymphoma: Results of the Phase III </w:t>
        </w:r>
        <w:proofErr w:type="spellStart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MabCute</w:t>
        </w:r>
        <w:proofErr w:type="spellEnd"/>
        <w:r w:rsidRPr="00C82A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Study</w:t>
        </w:r>
      </w:hyperlink>
      <w:r w:rsidRPr="00C82A23">
        <w:rPr>
          <w:rFonts w:ascii="Times New Roman" w:eastAsia="Times New Roman" w:hAnsi="Times New Roman" w:cs="Times New Roman"/>
          <w:kern w:val="0"/>
          <w14:ligatures w14:val="none"/>
        </w:rPr>
        <w:t xml:space="preserve">. Rule S, Barreto WG, Briones J, et al. </w:t>
      </w:r>
      <w:proofErr w:type="spellStart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Haematologica</w:t>
      </w:r>
      <w:proofErr w:type="spellEnd"/>
      <w:r w:rsidRPr="00C82A23">
        <w:rPr>
          <w:rFonts w:ascii="Times New Roman" w:eastAsia="Times New Roman" w:hAnsi="Times New Roman" w:cs="Times New Roman"/>
          <w:kern w:val="0"/>
          <w14:ligatures w14:val="none"/>
        </w:rPr>
        <w:t>. 2022;107(2):500-509. doi:10.3324/haematol.2020.274803.</w:t>
      </w:r>
    </w:p>
    <w:p w14:paraId="414304A6" w14:textId="77777777" w:rsidR="007E6715" w:rsidRDefault="007E6715"/>
    <w:sectPr w:rsidR="007E6715" w:rsidSect="00985FE9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13EF" w14:textId="77777777" w:rsidR="003B75FE" w:rsidRDefault="003B75FE" w:rsidP="00D738E0">
      <w:pPr>
        <w:spacing w:after="0" w:line="240" w:lineRule="auto"/>
      </w:pPr>
      <w:r>
        <w:separator/>
      </w:r>
    </w:p>
  </w:endnote>
  <w:endnote w:type="continuationSeparator" w:id="0">
    <w:p w14:paraId="34E2C4C6" w14:textId="77777777" w:rsidR="003B75FE" w:rsidRDefault="003B75FE" w:rsidP="00D73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317A" w14:textId="1E6065B6" w:rsidR="00D738E0" w:rsidRPr="00D738E0" w:rsidRDefault="00D738E0" w:rsidP="00D738E0">
    <w:pPr>
      <w:pStyle w:val="Header"/>
      <w:rPr>
        <w:color w:val="0070C0"/>
      </w:rPr>
    </w:pPr>
    <w:r w:rsidRPr="00CC6534">
      <w:rPr>
        <w:color w:val="0070C0"/>
      </w:rPr>
      <w:t>BLUE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06C0" w14:textId="77777777" w:rsidR="003B75FE" w:rsidRDefault="003B75FE" w:rsidP="00D738E0">
      <w:pPr>
        <w:spacing w:after="0" w:line="240" w:lineRule="auto"/>
      </w:pPr>
      <w:r>
        <w:separator/>
      </w:r>
    </w:p>
  </w:footnote>
  <w:footnote w:type="continuationSeparator" w:id="0">
    <w:p w14:paraId="0A7D596D" w14:textId="77777777" w:rsidR="003B75FE" w:rsidRDefault="003B75FE" w:rsidP="00D73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CC44" w14:textId="1E4B885A" w:rsidR="00D738E0" w:rsidRPr="00D738E0" w:rsidRDefault="00D738E0">
    <w:pPr>
      <w:pStyle w:val="Header"/>
      <w:rPr>
        <w:color w:val="0070C0"/>
      </w:rPr>
    </w:pPr>
    <w:r w:rsidRPr="00CC6534">
      <w:rPr>
        <w:color w:val="0070C0"/>
      </w:rPr>
      <w:t>BLUE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BDE"/>
    <w:multiLevelType w:val="multilevel"/>
    <w:tmpl w:val="3B7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9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23"/>
    <w:rsid w:val="003B75FE"/>
    <w:rsid w:val="00602C25"/>
    <w:rsid w:val="007E6715"/>
    <w:rsid w:val="008355BC"/>
    <w:rsid w:val="008F3B2D"/>
    <w:rsid w:val="00985FE9"/>
    <w:rsid w:val="00C82A23"/>
    <w:rsid w:val="00D738E0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32C4"/>
  <w15:chartTrackingRefBased/>
  <w15:docId w15:val="{6EC4E44D-98B2-184F-B1A3-2A9AB706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A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2A2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8E0"/>
  </w:style>
  <w:style w:type="paragraph" w:styleId="Footer">
    <w:name w:val="footer"/>
    <w:basedOn w:val="Normal"/>
    <w:link w:val="FooterChar"/>
    <w:uiPriority w:val="99"/>
    <w:unhideWhenUsed/>
    <w:rsid w:val="00D73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jm.org/doi/full/10.1056/NEJMra2102568" TargetMode="External"/><Relationship Id="rId13" Type="http://schemas.openxmlformats.org/officeDocument/2006/relationships/hyperlink" Target="https://www.nccn.org/professionals/physician_gls/pdf/b-cell.pdf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ccn.org/professionals/physician_gls/pdf/b-cell.pdf" TargetMode="External"/><Relationship Id="rId12" Type="http://schemas.openxmlformats.org/officeDocument/2006/relationships/hyperlink" Target="https://www.nccn.org/professionals/physician_gls/pdf/b-cell.pdf" TargetMode="External"/><Relationship Id="rId17" Type="http://schemas.openxmlformats.org/officeDocument/2006/relationships/hyperlink" Target="https://pubmed.ncbi.nlm.nih.gov/341344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2945266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3413446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31619290" TargetMode="External"/><Relationship Id="rId10" Type="http://schemas.openxmlformats.org/officeDocument/2006/relationships/hyperlink" Target="https://pubmed.ncbi.nlm.nih.gov/29452668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1619290" TargetMode="External"/><Relationship Id="rId14" Type="http://schemas.openxmlformats.org/officeDocument/2006/relationships/hyperlink" Target="https://www.nejm.org/doi/full/10.1056/NEJMra21025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2026-03-03T23:55:00Z</dcterms:created>
  <dcterms:modified xsi:type="dcterms:W3CDTF">2026-03-04T06:09:00Z</dcterms:modified>
</cp:coreProperties>
</file>