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1BC3F" w14:textId="58F1AC5B" w:rsidR="00845983" w:rsidRPr="00DB397D" w:rsidRDefault="00845983" w:rsidP="0084598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40FF"/>
          <w:kern w:val="0"/>
          <w14:ligatures w14:val="none"/>
        </w:rPr>
      </w:pPr>
      <w:r w:rsidRPr="00DB397D">
        <w:rPr>
          <w:rFonts w:ascii="Times New Roman" w:eastAsia="Times New Roman" w:hAnsi="Times New Roman" w:cs="Times New Roman"/>
          <w:b/>
          <w:bCs/>
          <w:noProof/>
          <w:color w:val="FF40FF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E176AA" wp14:editId="0FC100BA">
                <wp:simplePos x="0" y="0"/>
                <wp:positionH relativeFrom="column">
                  <wp:posOffset>-432619</wp:posOffset>
                </wp:positionH>
                <wp:positionV relativeFrom="paragraph">
                  <wp:posOffset>469265</wp:posOffset>
                </wp:positionV>
                <wp:extent cx="323850" cy="8180070"/>
                <wp:effectExtent l="0" t="0" r="19050" b="11430"/>
                <wp:wrapNone/>
                <wp:docPr id="14357444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8180070"/>
                        </a:xfrm>
                        <a:prstGeom prst="rect">
                          <a:avLst/>
                        </a:prstGeom>
                        <a:solidFill>
                          <a:srgbClr val="FF40F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41B11" id="Rectangle 2" o:spid="_x0000_s1026" style="position:absolute;margin-left:-34.05pt;margin-top:36.95pt;width:25.5pt;height:64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" fillcolor="#ff40ff" strokecolor="#030e13 [484]" strokeweight="1pt"/>
            </w:pict>
          </mc:Fallback>
        </mc:AlternateContent>
      </w:r>
      <w:r w:rsidRPr="00DB397D">
        <w:rPr>
          <w:rFonts w:ascii="Times New Roman" w:eastAsia="Times New Roman" w:hAnsi="Times New Roman" w:cs="Times New Roman"/>
          <w:b/>
          <w:bCs/>
          <w:color w:val="FF40FF"/>
          <w:kern w:val="0"/>
          <w:sz w:val="40"/>
          <w:szCs w:val="40"/>
          <w:u w:val="single"/>
          <w14:ligatures w14:val="none"/>
        </w:rPr>
        <w:t>PINK REPORT</w:t>
      </w:r>
    </w:p>
    <w:p w14:paraId="3502CC4B" w14:textId="52671DDE" w:rsidR="00F02D40" w:rsidRPr="00F02D40" w:rsidRDefault="00F02D40" w:rsidP="00F0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D40">
        <w:rPr>
          <w:rFonts w:ascii="Times New Roman" w:eastAsia="Times New Roman" w:hAnsi="Times New Roman" w:cs="Times New Roman"/>
          <w:kern w:val="0"/>
          <w14:ligatures w14:val="none"/>
        </w:rPr>
        <w:t xml:space="preserve">Given NCCN lists rituximab maintenance as </w:t>
      </w:r>
      <w:r w:rsidRPr="00F02D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</w:t>
      </w:r>
      <w:r w:rsidRPr="00F02D40">
        <w:rPr>
          <w:rFonts w:ascii="Times New Roman" w:eastAsia="Times New Roman" w:hAnsi="Times New Roman" w:cs="Times New Roman"/>
          <w:kern w:val="0"/>
          <w14:ligatures w14:val="none"/>
        </w:rPr>
        <w:t xml:space="preserve"> after response to single-agent rituximab, and the best available evidence suggests </w:t>
      </w:r>
      <w:r w:rsidRPr="00F02D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PFS may improve without a demonstrated OS benefit</w:t>
      </w:r>
      <w:r w:rsidRPr="00F02D40">
        <w:rPr>
          <w:rFonts w:ascii="Times New Roman" w:eastAsia="Times New Roman" w:hAnsi="Times New Roman" w:cs="Times New Roman"/>
          <w:kern w:val="0"/>
          <w14:ligatures w14:val="none"/>
        </w:rPr>
        <w:t xml:space="preserve">, it is </w:t>
      </w:r>
      <w:r w:rsidRPr="00F02D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appropriate to stop rituximab after CR and proceed with active surveillance</w:t>
      </w:r>
      <w:r w:rsidRPr="00F02D40">
        <w:rPr>
          <w:rFonts w:ascii="Times New Roman" w:eastAsia="Times New Roman" w:hAnsi="Times New Roman" w:cs="Times New Roman"/>
          <w:kern w:val="0"/>
          <w14:ligatures w14:val="none"/>
        </w:rPr>
        <w:t xml:space="preserve"> in this 82-year-old with comorbidities—while acknowledging maintenance remains reasonable if the patient prioritizes longer time-to-progression despite uncertain survival benefit. </w:t>
      </w:r>
      <w:r w:rsidRPr="00F02D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(NCCN; Rossi)</w:t>
      </w:r>
    </w:p>
    <w:p w14:paraId="4764224D" w14:textId="77777777" w:rsidR="00F02D40" w:rsidRPr="00F02D40" w:rsidRDefault="00F02D40" w:rsidP="00F0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D40">
        <w:rPr>
          <w:rFonts w:ascii="Times New Roman" w:eastAsia="Times New Roman" w:hAnsi="Times New Roman" w:cs="Times New Roman"/>
          <w:kern w:val="0"/>
          <w14:ligatures w14:val="none"/>
        </w:rPr>
        <w:t xml:space="preserve">This table summarizes available evidence on </w:t>
      </w:r>
      <w:r w:rsidRPr="00F02D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rituximab maintenance after response to rituximab-based therapy in marginal zone lymphoma (including splenic MZL)</w:t>
      </w:r>
      <w:r w:rsidRPr="00F02D40">
        <w:rPr>
          <w:rFonts w:ascii="Times New Roman" w:eastAsia="Times New Roman" w:hAnsi="Times New Roman" w:cs="Times New Roman"/>
          <w:kern w:val="0"/>
          <w14:ligatures w14:val="none"/>
        </w:rPr>
        <w:t xml:space="preserve">, organized from highest to lowest level of rigor; guideline and synthesized evidence are highlighted in green, while observational data appear in red. </w:t>
      </w:r>
      <w:r w:rsidRPr="00F02D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(NCCN; Rossi; Oh; </w:t>
      </w:r>
      <w:proofErr w:type="spellStart"/>
      <w:r w:rsidRPr="00F02D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Kalpadakis</w:t>
      </w:r>
      <w:proofErr w:type="spellEnd"/>
      <w:r w:rsidRPr="00F02D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; Rule)</w:t>
      </w:r>
    </w:p>
    <w:p w14:paraId="6784C1A2" w14:textId="77777777" w:rsidR="00F02D40" w:rsidRPr="00F02D40" w:rsidRDefault="00F02D40" w:rsidP="00F02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2D4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 supporting summary ordered by strength of evidence: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057"/>
        <w:gridCol w:w="2026"/>
        <w:gridCol w:w="1641"/>
        <w:gridCol w:w="1801"/>
        <w:gridCol w:w="2200"/>
      </w:tblGrid>
      <w:tr w:rsidR="00F02D40" w:rsidRPr="00F02D40" w14:paraId="7A8670EE" w14:textId="77777777" w:rsidTr="00845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53FA3" w14:textId="77777777" w:rsidR="00F02D40" w:rsidRPr="00F02D40" w:rsidRDefault="00F02D40" w:rsidP="00F02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595" w:type="dxa"/>
            <w:vAlign w:val="center"/>
            <w:hideMark/>
          </w:tcPr>
          <w:p w14:paraId="43673D9C" w14:textId="77777777" w:rsidR="00F02D40" w:rsidRPr="00F02D40" w:rsidRDefault="00F02D40" w:rsidP="00F02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 of Evidence</w:t>
            </w:r>
          </w:p>
        </w:tc>
        <w:tc>
          <w:tcPr>
            <w:tcW w:w="2428" w:type="dxa"/>
            <w:vAlign w:val="center"/>
            <w:hideMark/>
          </w:tcPr>
          <w:p w14:paraId="6AB36B00" w14:textId="77777777" w:rsidR="00F02D40" w:rsidRPr="00F02D40" w:rsidRDefault="00F02D40" w:rsidP="00F02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Study Title</w:t>
            </w:r>
          </w:p>
        </w:tc>
        <w:tc>
          <w:tcPr>
            <w:tcW w:w="0" w:type="auto"/>
            <w:vAlign w:val="center"/>
            <w:hideMark/>
          </w:tcPr>
          <w:p w14:paraId="001CDD55" w14:textId="77777777" w:rsidR="00F02D40" w:rsidRPr="00F02D40" w:rsidRDefault="00F02D40" w:rsidP="00F02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14:paraId="6E63C2CB" w14:textId="77777777" w:rsidR="00F02D40" w:rsidRPr="00F02D40" w:rsidRDefault="00F02D40" w:rsidP="00F02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Journal (Year)</w:t>
            </w:r>
          </w:p>
        </w:tc>
        <w:tc>
          <w:tcPr>
            <w:tcW w:w="0" w:type="auto"/>
            <w:vAlign w:val="center"/>
            <w:hideMark/>
          </w:tcPr>
          <w:p w14:paraId="0434D971" w14:textId="77777777" w:rsidR="00F02D40" w:rsidRPr="00F02D40" w:rsidRDefault="00F02D40" w:rsidP="00F02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F02D40" w:rsidRPr="00F02D40" w14:paraId="693D9D23" w14:textId="77777777" w:rsidTr="00845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75319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🟩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595" w:type="dxa"/>
            <w:vAlign w:val="center"/>
            <w:hideMark/>
          </w:tcPr>
          <w:p w14:paraId="382BAA7E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Guideline</w:t>
            </w:r>
          </w:p>
        </w:tc>
        <w:tc>
          <w:tcPr>
            <w:tcW w:w="2428" w:type="dxa"/>
            <w:vAlign w:val="center"/>
            <w:hideMark/>
          </w:tcPr>
          <w:p w14:paraId="7E387764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B-Cell Lymphomas</w:t>
            </w:r>
          </w:p>
        </w:tc>
        <w:tc>
          <w:tcPr>
            <w:tcW w:w="0" w:type="auto"/>
            <w:vAlign w:val="center"/>
            <w:hideMark/>
          </w:tcPr>
          <w:p w14:paraId="57492C71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 Comprehensive Cancer Network (NCCN)</w:t>
            </w:r>
          </w:p>
        </w:tc>
        <w:tc>
          <w:tcPr>
            <w:tcW w:w="0" w:type="auto"/>
            <w:vAlign w:val="center"/>
            <w:hideMark/>
          </w:tcPr>
          <w:p w14:paraId="2D3AC14B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NCCN Guidelines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(Updated 2025-12-22)</w:t>
            </w:r>
          </w:p>
        </w:tc>
        <w:tc>
          <w:tcPr>
            <w:tcW w:w="0" w:type="auto"/>
            <w:vAlign w:val="center"/>
            <w:hideMark/>
          </w:tcPr>
          <w:p w14:paraId="421636B5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Lists </w:t>
            </w: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rituximab maintenance 375 mg/m² q8–12 weeks for up to 2 years as “optional”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extended therapy after CR/PR to single-agent rituximab; </w:t>
            </w: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active surveillance is acceptable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F02D40" w:rsidRPr="00F02D40" w14:paraId="5AEE588D" w14:textId="77777777" w:rsidTr="00845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22A51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595" w:type="dxa"/>
            <w:vAlign w:val="center"/>
            <w:hideMark/>
          </w:tcPr>
          <w:p w14:paraId="62DE6720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 Trial Meta-analysis</w:t>
            </w:r>
          </w:p>
        </w:tc>
        <w:tc>
          <w:tcPr>
            <w:tcW w:w="2428" w:type="dxa"/>
            <w:vAlign w:val="center"/>
            <w:hideMark/>
          </w:tcPr>
          <w:p w14:paraId="092720A7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Marginal-Zone Lymphomas</w:t>
            </w:r>
          </w:p>
        </w:tc>
        <w:tc>
          <w:tcPr>
            <w:tcW w:w="0" w:type="auto"/>
            <w:vAlign w:val="center"/>
            <w:hideMark/>
          </w:tcPr>
          <w:p w14:paraId="3D1C5AF8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Rossi D, Bertoni F, Zucca E</w:t>
            </w:r>
          </w:p>
        </w:tc>
        <w:tc>
          <w:tcPr>
            <w:tcW w:w="0" w:type="auto"/>
            <w:vAlign w:val="center"/>
            <w:hideMark/>
          </w:tcPr>
          <w:p w14:paraId="03DAADB2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NEJM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(2022)</w:t>
            </w:r>
          </w:p>
        </w:tc>
        <w:tc>
          <w:tcPr>
            <w:tcW w:w="0" w:type="auto"/>
            <w:vAlign w:val="center"/>
            <w:hideMark/>
          </w:tcPr>
          <w:p w14:paraId="774631B8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Narrative expert review (not a formal meta-analysis)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notes maintenance rituximab in MZL is </w:t>
            </w: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controversial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</w:t>
            </w: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clear survival benefit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demonstrated.</w:t>
            </w:r>
          </w:p>
        </w:tc>
      </w:tr>
      <w:tr w:rsidR="00F02D40" w:rsidRPr="00F02D40" w14:paraId="7A16F63B" w14:textId="77777777" w:rsidTr="00845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80B0B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🟨🟢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595" w:type="dxa"/>
            <w:vAlign w:val="center"/>
            <w:hideMark/>
          </w:tcPr>
          <w:p w14:paraId="095C551B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3 (P3) Trial</w:t>
            </w:r>
          </w:p>
        </w:tc>
        <w:tc>
          <w:tcPr>
            <w:tcW w:w="2428" w:type="dxa"/>
            <w:vAlign w:val="center"/>
            <w:hideMark/>
          </w:tcPr>
          <w:p w14:paraId="36399173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02D40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MabCute</w:t>
            </w:r>
            <w:proofErr w:type="spellEnd"/>
            <w:r w:rsidRPr="00F02D40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: Prolonged Maintenance </w:t>
            </w:r>
            <w:proofErr w:type="gramStart"/>
            <w:r w:rsidRPr="00F02D40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With</w:t>
            </w:r>
            <w:proofErr w:type="gramEnd"/>
            <w:r w:rsidRPr="00F02D40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Subcutaneous Rituximab in Relapsed/Refractory Indolent NHL</w:t>
            </w:r>
          </w:p>
        </w:tc>
        <w:tc>
          <w:tcPr>
            <w:tcW w:w="0" w:type="auto"/>
            <w:vAlign w:val="center"/>
            <w:hideMark/>
          </w:tcPr>
          <w:p w14:paraId="598DBBCC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 S, Barreto WG, Briones J, et al.</w:t>
            </w:r>
          </w:p>
        </w:tc>
        <w:tc>
          <w:tcPr>
            <w:tcW w:w="0" w:type="auto"/>
            <w:vAlign w:val="center"/>
            <w:hideMark/>
          </w:tcPr>
          <w:p w14:paraId="2D6A64D7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Haematologica</w:t>
            </w:r>
            <w:proofErr w:type="spellEnd"/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(2022)</w:t>
            </w:r>
          </w:p>
        </w:tc>
        <w:tc>
          <w:tcPr>
            <w:tcW w:w="0" w:type="auto"/>
            <w:vAlign w:val="center"/>
            <w:hideMark/>
          </w:tcPr>
          <w:p w14:paraId="65AB5CE0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 relapsed/refractory indolent NHL, </w:t>
            </w: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extended maintenance beyond standard duration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did </w:t>
            </w: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provide sufficient evidence to support </w:t>
            </w: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prolongation past ~2 years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(Not 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MZL-specific; informs “don’t extend indefinitely.”)</w:t>
            </w:r>
          </w:p>
        </w:tc>
      </w:tr>
      <w:tr w:rsidR="00F02D40" w:rsidRPr="00F02D40" w14:paraId="38137428" w14:textId="77777777" w:rsidTr="00845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351C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lastRenderedPageBreak/>
              <w:t>🟨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595" w:type="dxa"/>
            <w:vAlign w:val="center"/>
            <w:hideMark/>
          </w:tcPr>
          <w:p w14:paraId="098F60CC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2 (P2) Trial</w:t>
            </w:r>
          </w:p>
        </w:tc>
        <w:tc>
          <w:tcPr>
            <w:tcW w:w="2428" w:type="dxa"/>
            <w:vAlign w:val="center"/>
            <w:hideMark/>
          </w:tcPr>
          <w:p w14:paraId="5C811B9E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R-CVP Followed by Rituximab Maintenance for Advanced MZL (CISL Study)</w:t>
            </w:r>
          </w:p>
        </w:tc>
        <w:tc>
          <w:tcPr>
            <w:tcW w:w="0" w:type="auto"/>
            <w:vAlign w:val="center"/>
            <w:hideMark/>
          </w:tcPr>
          <w:p w14:paraId="600D6E5D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Oh SY, Kim WS, Kim JS, et al.</w:t>
            </w:r>
          </w:p>
        </w:tc>
        <w:tc>
          <w:tcPr>
            <w:tcW w:w="0" w:type="auto"/>
            <w:vAlign w:val="center"/>
            <w:hideMark/>
          </w:tcPr>
          <w:p w14:paraId="7E4FCA30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Cancer Communications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(2019)</w:t>
            </w:r>
          </w:p>
        </w:tc>
        <w:tc>
          <w:tcPr>
            <w:tcW w:w="0" w:type="auto"/>
            <w:vAlign w:val="center"/>
            <w:hideMark/>
          </w:tcPr>
          <w:p w14:paraId="560C7C90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Single-arm P2: reported favorable </w:t>
            </w: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3-year PFS/OS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maintenance and tolerability; regimen was </w:t>
            </w: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R-CVP induction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so applicability to </w:t>
            </w: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rituximab-only induction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indirect.</w:t>
            </w:r>
          </w:p>
        </w:tc>
      </w:tr>
      <w:tr w:rsidR="00F02D40" w:rsidRPr="00F02D40" w14:paraId="53D531C2" w14:textId="77777777" w:rsidTr="00845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C062F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🟧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595" w:type="dxa"/>
            <w:vAlign w:val="center"/>
            <w:hideMark/>
          </w:tcPr>
          <w:p w14:paraId="2E66293E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1 (P1) Trial</w:t>
            </w:r>
          </w:p>
        </w:tc>
        <w:tc>
          <w:tcPr>
            <w:tcW w:w="2428" w:type="dxa"/>
            <w:vAlign w:val="center"/>
            <w:hideMark/>
          </w:tcPr>
          <w:p w14:paraId="20490625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7D6C05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A5C698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C099B3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02D40" w:rsidRPr="00F02D40" w14:paraId="0356A4A7" w14:textId="77777777" w:rsidTr="00845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AF20" w14:textId="7EFA8493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🟧🔴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595" w:type="dxa"/>
            <w:vAlign w:val="center"/>
            <w:hideMark/>
          </w:tcPr>
          <w:p w14:paraId="77653BAF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Large Cohort Study</w:t>
            </w:r>
          </w:p>
        </w:tc>
        <w:tc>
          <w:tcPr>
            <w:tcW w:w="2428" w:type="dxa"/>
            <w:vAlign w:val="center"/>
            <w:hideMark/>
          </w:tcPr>
          <w:p w14:paraId="01AF9958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9A86AE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2DA684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59F69C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02D40" w:rsidRPr="00F02D40" w14:paraId="03CFD476" w14:textId="77777777" w:rsidTr="00845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75650" w14:textId="7CED1D70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🟥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595" w:type="dxa"/>
            <w:vAlign w:val="center"/>
            <w:hideMark/>
          </w:tcPr>
          <w:p w14:paraId="04B70505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Cohort Study</w:t>
            </w:r>
          </w:p>
        </w:tc>
        <w:tc>
          <w:tcPr>
            <w:tcW w:w="2428" w:type="dxa"/>
            <w:vAlign w:val="center"/>
            <w:hideMark/>
          </w:tcPr>
          <w:p w14:paraId="7C484F01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Maintenance rituximab in splenic marginal zone lymphoma (reported retrospective series)</w:t>
            </w:r>
          </w:p>
        </w:tc>
        <w:tc>
          <w:tcPr>
            <w:tcW w:w="0" w:type="auto"/>
            <w:vAlign w:val="center"/>
            <w:hideMark/>
          </w:tcPr>
          <w:p w14:paraId="7D0BD06C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Kalpadakis</w:t>
            </w:r>
            <w:proofErr w:type="spellEnd"/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C, </w:t>
            </w:r>
            <w:proofErr w:type="spellStart"/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Pangalis</w:t>
            </w:r>
            <w:proofErr w:type="spellEnd"/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GA, Angelopoulou MK, </w:t>
            </w:r>
            <w:proofErr w:type="spellStart"/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Sachanas</w:t>
            </w:r>
            <w:proofErr w:type="spellEnd"/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S, </w:t>
            </w:r>
            <w:proofErr w:type="spellStart"/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Vassilakopoulos</w:t>
            </w:r>
            <w:proofErr w:type="spellEnd"/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TP</w:t>
            </w:r>
          </w:p>
        </w:tc>
        <w:tc>
          <w:tcPr>
            <w:tcW w:w="0" w:type="auto"/>
            <w:vAlign w:val="center"/>
            <w:hideMark/>
          </w:tcPr>
          <w:p w14:paraId="4947B133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Best Practice &amp; Research: Clinical </w:t>
            </w:r>
            <w:proofErr w:type="spellStart"/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Haematology</w:t>
            </w:r>
            <w:proofErr w:type="spellEnd"/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(2018)</w:t>
            </w:r>
          </w:p>
        </w:tc>
        <w:tc>
          <w:tcPr>
            <w:tcW w:w="0" w:type="auto"/>
            <w:vAlign w:val="center"/>
            <w:hideMark/>
          </w:tcPr>
          <w:p w14:paraId="5E65D601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Cites retrospective SMZL experience where maintenance was associated with improved </w:t>
            </w: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 rates and PFS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without OS difference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observational design → confounding/selection bias likely.</w:t>
            </w:r>
          </w:p>
        </w:tc>
      </w:tr>
      <w:tr w:rsidR="00F02D40" w:rsidRPr="00F02D40" w14:paraId="48DC71D5" w14:textId="77777777" w:rsidTr="00845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5C27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🟫</w:t>
            </w:r>
            <w:r w:rsidRPr="00F02D4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</w:t>
            </w:r>
          </w:p>
        </w:tc>
        <w:tc>
          <w:tcPr>
            <w:tcW w:w="595" w:type="dxa"/>
            <w:vAlign w:val="center"/>
            <w:hideMark/>
          </w:tcPr>
          <w:p w14:paraId="0FDA213B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02D4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Animal Model</w:t>
            </w:r>
          </w:p>
        </w:tc>
        <w:tc>
          <w:tcPr>
            <w:tcW w:w="2428" w:type="dxa"/>
            <w:vAlign w:val="center"/>
            <w:hideMark/>
          </w:tcPr>
          <w:p w14:paraId="3E399ED6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8F5FBE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58DA5B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BDC932" w14:textId="77777777" w:rsidR="00F02D40" w:rsidRPr="00F02D40" w:rsidRDefault="00F02D40" w:rsidP="00F02D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E9BA857" w14:textId="6BBD07D1" w:rsidR="007E6715" w:rsidRDefault="00845983">
      <w:r w:rsidRPr="00DB397D">
        <w:rPr>
          <w:rFonts w:ascii="Times New Roman" w:eastAsia="Times New Roman" w:hAnsi="Times New Roman" w:cs="Times New Roman"/>
          <w:b/>
          <w:bCs/>
          <w:noProof/>
          <w:color w:val="FF40FF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5C39E8" wp14:editId="38502066">
                <wp:simplePos x="0" y="0"/>
                <wp:positionH relativeFrom="column">
                  <wp:posOffset>-511319</wp:posOffset>
                </wp:positionH>
                <wp:positionV relativeFrom="paragraph">
                  <wp:posOffset>-6051345</wp:posOffset>
                </wp:positionV>
                <wp:extent cx="323850" cy="8180070"/>
                <wp:effectExtent l="0" t="0" r="19050" b="11430"/>
                <wp:wrapNone/>
                <wp:docPr id="15370182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8180070"/>
                        </a:xfrm>
                        <a:prstGeom prst="rect">
                          <a:avLst/>
                        </a:prstGeom>
                        <a:solidFill>
                          <a:srgbClr val="FF40F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86A70" id="Rectangle 2" o:spid="_x0000_s1026" style="position:absolute;margin-left:-40.25pt;margin-top:-476.5pt;width:25.5pt;height:64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" fillcolor="#ff40ff" strokecolor="#030e13 [484]" strokeweight="1pt"/>
            </w:pict>
          </mc:Fallback>
        </mc:AlternateContent>
      </w:r>
    </w:p>
    <w:sectPr w:rsidR="007E6715" w:rsidSect="00985FE9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AB9AD" w14:textId="77777777" w:rsidR="00B56A2A" w:rsidRDefault="00B56A2A" w:rsidP="00845983">
      <w:pPr>
        <w:spacing w:after="0" w:line="240" w:lineRule="auto"/>
      </w:pPr>
      <w:r>
        <w:separator/>
      </w:r>
    </w:p>
  </w:endnote>
  <w:endnote w:type="continuationSeparator" w:id="0">
    <w:p w14:paraId="18C5097B" w14:textId="77777777" w:rsidR="00B56A2A" w:rsidRDefault="00B56A2A" w:rsidP="00845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77592" w14:textId="566C0CC0" w:rsidR="00845983" w:rsidRPr="00845983" w:rsidRDefault="00845983" w:rsidP="00845983">
    <w:pPr>
      <w:pStyle w:val="Header"/>
      <w:rPr>
        <w:color w:val="FF40FF"/>
      </w:rPr>
    </w:pPr>
    <w:r w:rsidRPr="00DB397D">
      <w:rPr>
        <w:color w:val="FF40FF"/>
      </w:rPr>
      <w:t>PINK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BAD1E" w14:textId="77777777" w:rsidR="00B56A2A" w:rsidRDefault="00B56A2A" w:rsidP="00845983">
      <w:pPr>
        <w:spacing w:after="0" w:line="240" w:lineRule="auto"/>
      </w:pPr>
      <w:r>
        <w:separator/>
      </w:r>
    </w:p>
  </w:footnote>
  <w:footnote w:type="continuationSeparator" w:id="0">
    <w:p w14:paraId="2FCE3189" w14:textId="77777777" w:rsidR="00B56A2A" w:rsidRDefault="00B56A2A" w:rsidP="008459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7D606" w14:textId="55B93B65" w:rsidR="00845983" w:rsidRPr="00845983" w:rsidRDefault="00845983">
    <w:pPr>
      <w:pStyle w:val="Header"/>
      <w:rPr>
        <w:color w:val="FF40FF"/>
      </w:rPr>
    </w:pPr>
    <w:r w:rsidRPr="00DB397D">
      <w:rPr>
        <w:color w:val="FF40FF"/>
      </w:rPr>
      <w:t>PINK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D40"/>
    <w:rsid w:val="00602C25"/>
    <w:rsid w:val="007E6715"/>
    <w:rsid w:val="008355BC"/>
    <w:rsid w:val="00845983"/>
    <w:rsid w:val="008F3B2D"/>
    <w:rsid w:val="00985FE9"/>
    <w:rsid w:val="00B56A2A"/>
    <w:rsid w:val="00DA1091"/>
    <w:rsid w:val="00EE0CD0"/>
    <w:rsid w:val="00F0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6BECC"/>
  <w15:chartTrackingRefBased/>
  <w15:docId w15:val="{C2861BB4-93B8-E045-8D64-57DEDA2E4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D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2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2D40"/>
    <w:rPr>
      <w:b/>
      <w:bCs/>
    </w:rPr>
  </w:style>
  <w:style w:type="character" w:styleId="Emphasis">
    <w:name w:val="Emphasis"/>
    <w:basedOn w:val="DefaultParagraphFont"/>
    <w:uiPriority w:val="20"/>
    <w:qFormat/>
    <w:rsid w:val="00F02D4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459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983"/>
  </w:style>
  <w:style w:type="paragraph" w:styleId="Footer">
    <w:name w:val="footer"/>
    <w:basedOn w:val="Normal"/>
    <w:link w:val="FooterChar"/>
    <w:uiPriority w:val="99"/>
    <w:unhideWhenUsed/>
    <w:rsid w:val="008459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Bunning</dc:creator>
  <cp:keywords/>
  <dc:description/>
  <cp:lastModifiedBy>Bryan Bunning</cp:lastModifiedBy>
  <cp:revision>2</cp:revision>
  <dcterms:created xsi:type="dcterms:W3CDTF">2026-03-04T02:47:00Z</dcterms:created>
  <dcterms:modified xsi:type="dcterms:W3CDTF">2026-03-04T06:11:00Z</dcterms:modified>
</cp:coreProperties>
</file>