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180D" w14:textId="77777777" w:rsidR="00E225B6" w:rsidRPr="000D32C6" w:rsidRDefault="00E225B6" w:rsidP="00E225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u w:val="single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E5450" wp14:editId="6E052D45">
                <wp:simplePos x="0" y="0"/>
                <wp:positionH relativeFrom="column">
                  <wp:posOffset>-491613</wp:posOffset>
                </wp:positionH>
                <wp:positionV relativeFrom="paragraph">
                  <wp:posOffset>167148</wp:posOffset>
                </wp:positionV>
                <wp:extent cx="324464" cy="8180295"/>
                <wp:effectExtent l="0" t="0" r="19050" b="11430"/>
                <wp:wrapNone/>
                <wp:docPr id="918193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FA2A0" id="Rectangle 2" o:spid="_x0000_s1026" style="position:absolute;margin-left:-38.7pt;margin-top:13.15pt;width:25.55pt;height:64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" fillcolor="#e00" strokecolor="#030e13 [484]" strokeweight="1pt"/>
            </w:pict>
          </mc:Fallback>
        </mc:AlternateContent>
      </w:r>
      <w:r w:rsidRPr="009C43B4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u w:val="single"/>
          <w14:ligatures w14:val="none"/>
        </w:rPr>
        <w:t>RED REPORT</w:t>
      </w:r>
    </w:p>
    <w:p w14:paraId="1964628D" w14:textId="77777777" w:rsidR="002D3EDA" w:rsidRPr="002D3EDA" w:rsidRDefault="002D3EDA" w:rsidP="002D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splenic marginal zone lymphoma (SMZL)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treated with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rituximab monotherapy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>, the best available data suggest:</w:t>
      </w:r>
    </w:p>
    <w:p w14:paraId="3B258D7F" w14:textId="77777777" w:rsidR="002D3EDA" w:rsidRPr="002D3EDA" w:rsidRDefault="002D3EDA" w:rsidP="002D3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Rituximab maintenance can prolong remission / improve PFS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>, but</w:t>
      </w:r>
    </w:p>
    <w:p w14:paraId="2AB2058C" w14:textId="77777777" w:rsidR="002D3EDA" w:rsidRPr="002D3EDA" w:rsidRDefault="002D3EDA" w:rsidP="002D3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There’s no proven overall survival (OS) benefit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>, and</w:t>
      </w:r>
    </w:p>
    <w:p w14:paraId="0A8B9F7C" w14:textId="77777777" w:rsidR="002D3EDA" w:rsidRPr="002D3EDA" w:rsidRDefault="002D3EDA" w:rsidP="002D3E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rituximab exposure increases immune suppression risks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(notably hypogammaglobulinemia/infections), which matters a lot at age 82.</w:t>
      </w:r>
    </w:p>
    <w:p w14:paraId="2972006F" w14:textId="77777777" w:rsidR="002D3EDA" w:rsidRPr="002D3EDA" w:rsidRDefault="002D3EDA" w:rsidP="002D3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 evidence says (most relevant to your scenario)</w:t>
      </w:r>
    </w:p>
    <w:p w14:paraId="1587787F" w14:textId="77777777" w:rsidR="002D3EDA" w:rsidRPr="002D3EDA" w:rsidRDefault="002D3EDA" w:rsidP="002D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SMZL rituximab monotherapy cohorts (not randomized):</w:t>
      </w:r>
    </w:p>
    <w:p w14:paraId="09264F45" w14:textId="77777777" w:rsidR="002D3EDA" w:rsidRPr="002D3EDA" w:rsidRDefault="002D3EDA" w:rsidP="002D3E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In a large prospective/retrospective experience from the Kalpadakis group, many responders received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rituximab every ~2 months for 1–2 years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PFS at 5 years was substantially higher with maintenance vs no maintenance (84% vs 36%)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(nonrandomized comparison, so selection bias is possible). (</w:t>
      </w:r>
      <w:hyperlink r:id="rId7" w:tooltip="Treatment of splenic marginal zone lymphoma with rituximab monotherapy: progress report and comparison with splenectomy - PubMed" w:history="1">
        <w:r w:rsidRPr="002D3E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PubMed</w:t>
        </w:r>
      </w:hyperlink>
      <w:r w:rsidRPr="002D3E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DBBC736" w14:textId="77777777" w:rsidR="002D3EDA" w:rsidRPr="002D3EDA" w:rsidRDefault="002D3EDA" w:rsidP="002D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Randomized data exist, but mostly after chemoimmunotherapy (not rituximab-only induction):</w:t>
      </w:r>
    </w:p>
    <w:p w14:paraId="47D61E7C" w14:textId="77777777" w:rsidR="002D3EDA" w:rsidRPr="002D3EDA" w:rsidRDefault="002D3EDA" w:rsidP="002D3E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BSH 2023/2024 guideline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cites the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randomized phase III trial (SMZL/NMZL) showing a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PFS advantage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for rituximab maintenance after induction (e.g., BR or R-CVP),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no OS difference at 6 years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8" w:tooltip="Guideline for the diagnosis and management of marginal zone lymphomas: A British Society of Haematology Guideline" w:history="1">
        <w:r w:rsidRPr="002D3E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BSH</w:t>
        </w:r>
      </w:hyperlink>
      <w:r w:rsidRPr="002D3EDA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D3E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supports the idea that maintenance delays relapse, but doesn’t clearly help people live longer.</w:t>
      </w:r>
    </w:p>
    <w:p w14:paraId="7C5C59E7" w14:textId="77777777" w:rsidR="002D3EDA" w:rsidRPr="002D3EDA" w:rsidRDefault="002D3EDA" w:rsidP="002D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Guideline framing: maintenance is optional, not mandatory</w:t>
      </w:r>
    </w:p>
    <w:p w14:paraId="7DF1F178" w14:textId="77777777" w:rsidR="002D3EDA" w:rsidRPr="002D3EDA" w:rsidRDefault="002D3EDA" w:rsidP="002D3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The accessible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NCCN patient guideline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notes that if treated with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rituximab alone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, you </w:t>
      </w:r>
      <w:r w:rsidRPr="002D3E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might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have maintenance rituximab (i.e., it’s presented as an option, not a requirement). (</w:t>
      </w:r>
      <w:hyperlink r:id="rId9" w:tooltip="NCCN Guidelines for Patients: Marginal Zone Lymphomas" w:history="1">
        <w:r w:rsidRPr="002D3E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NCCN</w:t>
        </w:r>
      </w:hyperlink>
      <w:r w:rsidRPr="002D3E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5C980DB" w14:textId="77777777" w:rsidR="002D3EDA" w:rsidRPr="002D3EDA" w:rsidRDefault="002D3EDA" w:rsidP="002D3E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ESMO guidance similarly describes rituximab responses as long-lasting and states maintenance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may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improve PFS (again: “may,” not “must”). (</w:t>
      </w:r>
      <w:hyperlink r:id="rId10" w:tooltip="Marginal zone lymphomas: ESMO Clinical Practice ..." w:history="1">
        <w:r w:rsidRPr="002D3E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ScienceDirect</w:t>
        </w:r>
      </w:hyperlink>
      <w:r w:rsidRPr="002D3E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611990" w14:textId="77777777" w:rsidR="002D3EDA" w:rsidRPr="002D3EDA" w:rsidRDefault="002D3EDA" w:rsidP="002D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 Toxicity/immune risk with prolonged rituximab exposure</w:t>
      </w:r>
    </w:p>
    <w:p w14:paraId="4E1E9881" w14:textId="77777777" w:rsidR="002D3EDA" w:rsidRPr="002D3EDA" w:rsidRDefault="002D3EDA" w:rsidP="002D3E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In lymphoma populations,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maintenance rituximab is associated with higher rates of hypogammaglobulinemia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>, and infection risk is a key tradeoff when there’s no OS advantage. (</w:t>
      </w:r>
      <w:hyperlink r:id="rId11" w:tooltip="&#10;            Incidence of Hypogammaglobulinemia in Patients Receiving Rituximab and the Use of Intravenous Immunoglobulin for Recurrent Infections - PMC&#10;        " w:history="1">
        <w:r w:rsidRPr="002D3E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2D3E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6CD7BFC" w14:textId="77777777" w:rsidR="002D3EDA" w:rsidRPr="002D3EDA" w:rsidRDefault="00A11A4D" w:rsidP="002D3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ED41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41A3456" w14:textId="5E276AFE" w:rsidR="002D3EDA" w:rsidRPr="002D3EDA" w:rsidRDefault="00E225B6" w:rsidP="002D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3EE7A1" wp14:editId="10936A8C">
                <wp:simplePos x="0" y="0"/>
                <wp:positionH relativeFrom="column">
                  <wp:posOffset>-570271</wp:posOffset>
                </wp:positionH>
                <wp:positionV relativeFrom="paragraph">
                  <wp:posOffset>576273</wp:posOffset>
                </wp:positionV>
                <wp:extent cx="324464" cy="8180295"/>
                <wp:effectExtent l="0" t="0" r="19050" b="11430"/>
                <wp:wrapNone/>
                <wp:docPr id="165734913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32E60" id="Rectangle 2" o:spid="_x0000_s1026" style="position:absolute;margin-left:-44.9pt;margin-top:45.4pt;width:25.55pt;height:644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" fillcolor="#e00" strokecolor="#030e13 [484]" strokeweight="1pt"/>
            </w:pict>
          </mc:Fallback>
        </mc:AlternateContent>
      </w:r>
      <w:r w:rsidR="002D3EDA" w:rsidRPr="002D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Practical recommendation for </w:t>
      </w:r>
      <w:r w:rsidR="002D3EDA" w:rsidRPr="002D3EDA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this</w:t>
      </w:r>
      <w:r w:rsidR="002D3EDA" w:rsidRPr="002D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82-year-old with PET CR after 4 weekly doses</w:t>
      </w:r>
    </w:p>
    <w:p w14:paraId="4C568D26" w14:textId="6625C7B9" w:rsidR="002D3EDA" w:rsidRPr="002D3EDA" w:rsidRDefault="002D3EDA" w:rsidP="002D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is very reasonable to STOP rituximab now and observe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, with close follow-up,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given:</w:t>
      </w:r>
    </w:p>
    <w:p w14:paraId="2F71D6B4" w14:textId="348C6BE5" w:rsidR="002D3EDA" w:rsidRPr="002D3EDA" w:rsidRDefault="002D3EDA" w:rsidP="002D3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She achieved a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metabolic response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and is clinically improved.</w:t>
      </w:r>
    </w:p>
    <w:p w14:paraId="3D468072" w14:textId="07537FE2" w:rsidR="002D3EDA" w:rsidRPr="002D3EDA" w:rsidRDefault="002D3EDA" w:rsidP="002D3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The main expected benefit of maintenance is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longer PFS / delayed relapse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>, not proven OS benefit. (</w:t>
      </w:r>
      <w:hyperlink r:id="rId12" w:tooltip="Guideline for the diagnosis and management of marginal zone lymphomas: A British Society of Haematology Guideline" w:history="1">
        <w:r w:rsidRPr="002D3E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BSH</w:t>
        </w:r>
      </w:hyperlink>
      <w:r w:rsidRPr="002D3E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BA7313" w14:textId="16C7140E" w:rsidR="002D3EDA" w:rsidRPr="002D3EDA" w:rsidRDefault="002D3EDA" w:rsidP="002D3E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At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82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>, the “cost” side of maintenance (infections, hypogammaglobulinemia, infusion reactions, logistical burden) becomes more consequential. (</w:t>
      </w:r>
      <w:hyperlink r:id="rId13" w:tooltip="&#10;            Incidence of Hypogammaglobulinemia in Patients Receiving Rituximab and the Use of Intravenous Immunoglobulin for Recurrent Infections - PMC&#10;        " w:history="1">
        <w:r w:rsidRPr="002D3E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2D3E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DD7BB1" w14:textId="003075E4" w:rsidR="002D3EDA" w:rsidRPr="002D3EDA" w:rsidRDefault="002D3EDA" w:rsidP="002D3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When I’d lean </w:t>
      </w:r>
      <w:r w:rsidRPr="002D3ED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toward</w:t>
      </w:r>
      <w:r w:rsidRPr="002D3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maintenance anyway</w:t>
      </w:r>
    </w:p>
    <w:p w14:paraId="3EDEFC55" w14:textId="77777777" w:rsidR="002D3EDA" w:rsidRPr="002D3EDA" w:rsidRDefault="002D3EDA" w:rsidP="002D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Consider maintenance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the care team believes she has a particularly high relapse risk </w:t>
      </w:r>
      <w:r w:rsidRPr="002D3E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she’s likely to tolerate ongoing B-cell depletion (e.g., recurrent cytopenias before treatment that would be dangerous if they recur quickly, or very limited “reserve” for relapse).</w:t>
      </w:r>
    </w:p>
    <w:p w14:paraId="0B832A37" w14:textId="77777777" w:rsidR="002D3EDA" w:rsidRPr="002D3EDA" w:rsidRDefault="002D3EDA" w:rsidP="002D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If chosen, typical regimens in SMZL reports/guidelines are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time-limited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(often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 months for 1–2 years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>)—not indefinite—paired with monitoring. (</w:t>
      </w:r>
      <w:hyperlink r:id="rId14" w:tooltip="&#10;            Treatment of Splenic Marginal Zone Lymphoma With Rituximab Monotherapy: Progress Report and Comparison With Splenectomy - PMC&#10;        " w:history="1">
        <w:r w:rsidRPr="002D3E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2D3E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1F73195" w14:textId="77777777" w:rsidR="002D3EDA" w:rsidRPr="002D3EDA" w:rsidRDefault="00A11A4D" w:rsidP="002D3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E3F50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360469" w14:textId="77777777" w:rsidR="002D3EDA" w:rsidRPr="002D3EDA" w:rsidRDefault="002D3EDA" w:rsidP="002D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you stop now: what “good” surveillance looks like</w:t>
      </w:r>
    </w:p>
    <w:p w14:paraId="0A53FD79" w14:textId="77777777" w:rsidR="002D3EDA" w:rsidRPr="002D3EDA" w:rsidRDefault="002D3EDA" w:rsidP="002D3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>Clinic + CBC/CMP every ~3 months initially (then space out if stable)</w:t>
      </w:r>
    </w:p>
    <w:p w14:paraId="532FCFD1" w14:textId="77777777" w:rsidR="002D3EDA" w:rsidRPr="002D3EDA" w:rsidRDefault="002D3EDA" w:rsidP="002D3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Periodic imaging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if symptoms/labs suggest relapse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(many clinicians avoid routine PETs in indolent lymphomas unless there’s a specific reason)</w:t>
      </w:r>
    </w:p>
    <w:p w14:paraId="6C445BFD" w14:textId="77777777" w:rsidR="002D3EDA" w:rsidRPr="002D3EDA" w:rsidRDefault="002D3EDA" w:rsidP="002D3E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If relapse occurs,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rituximab re-treatment is often effective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in SMZL, and other options remain available (including splenectomy or chemoimmunotherapy depending on fitness and disease behavior). (</w:t>
      </w:r>
      <w:hyperlink r:id="rId15" w:tooltip="Marginal zone lymphoma: present status and future perspectives" w:history="1">
        <w:r w:rsidRPr="002D3E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2D3E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589FBAA" w14:textId="77777777" w:rsidR="002D3EDA" w:rsidRPr="002D3EDA" w:rsidRDefault="002D3EDA" w:rsidP="002D3E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you do maintenance: safety guardrails</w:t>
      </w:r>
    </w:p>
    <w:p w14:paraId="69885AE2" w14:textId="77777777" w:rsidR="002D3EDA" w:rsidRPr="002D3EDA" w:rsidRDefault="002D3EDA" w:rsidP="002D3E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Baseline + periodic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IgG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monitoring (and clinical infection history), with low threshold to pause/stop if recurrent infections or significant hypogammaglobulinemia emerge. (</w:t>
      </w:r>
      <w:hyperlink r:id="rId16" w:tooltip="&#10;            Incidence of Hypogammaglobulinemia in Patients Receiving Rituximab and the Use of Intravenous Immunoglobulin for Recurrent Infections - PMC&#10;        " w:history="1">
        <w:r w:rsidRPr="002D3E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2D3E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137DCC" w14:textId="77777777" w:rsidR="002D3EDA" w:rsidRPr="002D3EDA" w:rsidRDefault="002D3EDA" w:rsidP="002D3E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Keep vaccines up to date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rituximab doses when possible (response can be blunted during B-cell depletion)</w:t>
      </w:r>
    </w:p>
    <w:p w14:paraId="19CDD1F4" w14:textId="77777777" w:rsidR="002D3EDA" w:rsidRPr="002D3EDA" w:rsidRDefault="00A11A4D" w:rsidP="002D3E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8CFBB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FC4520" w14:textId="77777777" w:rsidR="002D3EDA" w:rsidRPr="002D3EDA" w:rsidRDefault="002D3EDA" w:rsidP="002D3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3E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5FCA734A" w14:textId="0302E436" w:rsidR="007E6715" w:rsidRPr="002D3EDA" w:rsidRDefault="002D3EDA" w:rsidP="002D3E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For an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82-year-old in complete metabolic response after rituximab monotherapy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stopping therapy and observing is appropriate and commonly favored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, because maintenance primarily </w:t>
      </w:r>
      <w:r w:rsidR="00E225B6"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0F4DFF" wp14:editId="4444061E">
                <wp:simplePos x="0" y="0"/>
                <wp:positionH relativeFrom="column">
                  <wp:posOffset>-550607</wp:posOffset>
                </wp:positionH>
                <wp:positionV relativeFrom="paragraph">
                  <wp:posOffset>-112231</wp:posOffset>
                </wp:positionV>
                <wp:extent cx="324464" cy="8180295"/>
                <wp:effectExtent l="0" t="0" r="19050" b="11430"/>
                <wp:wrapNone/>
                <wp:docPr id="9314497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F435F" id="Rectangle 2" o:spid="_x0000_s1026" style="position:absolute;margin-left:-43.35pt;margin-top:-8.85pt;width:25.55pt;height:644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" fillcolor="#e00" strokecolor="#030e13 [484]" strokeweight="1pt"/>
            </w:pict>
          </mc:Fallback>
        </mc:AlternateConten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improves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to relapse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without clear OS benefit, while increasing immune-related risks. Maintenance can be offered as an </w:t>
      </w:r>
      <w:r w:rsidRPr="002D3E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optional, time-limited</w:t>
      </w:r>
      <w:r w:rsidRPr="002D3EDA">
        <w:rPr>
          <w:rFonts w:ascii="Times New Roman" w:eastAsia="Times New Roman" w:hAnsi="Times New Roman" w:cs="Times New Roman"/>
          <w:kern w:val="0"/>
          <w14:ligatures w14:val="none"/>
        </w:rPr>
        <w:t xml:space="preserve"> strategy if delaying relapse is a top priority and infection risk is acceptable. (</w:t>
      </w:r>
      <w:hyperlink r:id="rId17" w:tooltip="Treatment of splenic marginal zone lymphoma with rituximab monotherapy: progress report and comparison with splenectomy - PubMed" w:history="1">
        <w:r w:rsidRPr="002D3ED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PubMed</w:t>
        </w:r>
      </w:hyperlink>
      <w:r w:rsidRPr="002D3ED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sectPr w:rsidR="007E6715" w:rsidRPr="002D3EDA" w:rsidSect="00985FE9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CD4BB" w14:textId="77777777" w:rsidR="00A11A4D" w:rsidRDefault="00A11A4D" w:rsidP="00E225B6">
      <w:pPr>
        <w:spacing w:after="0" w:line="240" w:lineRule="auto"/>
      </w:pPr>
      <w:r>
        <w:separator/>
      </w:r>
    </w:p>
  </w:endnote>
  <w:endnote w:type="continuationSeparator" w:id="0">
    <w:p w14:paraId="24A9933D" w14:textId="77777777" w:rsidR="00A11A4D" w:rsidRDefault="00A11A4D" w:rsidP="00E22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B2C4" w14:textId="7D4285C9" w:rsidR="00E225B6" w:rsidRPr="00E225B6" w:rsidRDefault="00E225B6" w:rsidP="00E225B6">
    <w:pPr>
      <w:pStyle w:val="Header"/>
      <w:rPr>
        <w:color w:val="EE0000"/>
      </w:rPr>
    </w:pPr>
    <w:r w:rsidRPr="000D32C6">
      <w:rPr>
        <w:color w:val="EE0000"/>
      </w:rPr>
      <w:t>RED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28E48" w14:textId="77777777" w:rsidR="00A11A4D" w:rsidRDefault="00A11A4D" w:rsidP="00E225B6">
      <w:pPr>
        <w:spacing w:after="0" w:line="240" w:lineRule="auto"/>
      </w:pPr>
      <w:r>
        <w:separator/>
      </w:r>
    </w:p>
  </w:footnote>
  <w:footnote w:type="continuationSeparator" w:id="0">
    <w:p w14:paraId="64C11242" w14:textId="77777777" w:rsidR="00A11A4D" w:rsidRDefault="00A11A4D" w:rsidP="00E225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6ABDF" w14:textId="26D51058" w:rsidR="00E225B6" w:rsidRPr="00E225B6" w:rsidRDefault="00E225B6">
    <w:pPr>
      <w:pStyle w:val="Header"/>
      <w:rPr>
        <w:color w:val="EE0000"/>
      </w:rPr>
    </w:pPr>
    <w:r w:rsidRPr="000D32C6">
      <w:rPr>
        <w:color w:val="EE0000"/>
      </w:rPr>
      <w:t>RED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52465"/>
    <w:multiLevelType w:val="multilevel"/>
    <w:tmpl w:val="C1C2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F113F"/>
    <w:multiLevelType w:val="multilevel"/>
    <w:tmpl w:val="C7E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22199"/>
    <w:multiLevelType w:val="multilevel"/>
    <w:tmpl w:val="40A8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252C5"/>
    <w:multiLevelType w:val="multilevel"/>
    <w:tmpl w:val="08B6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71D04"/>
    <w:multiLevelType w:val="multilevel"/>
    <w:tmpl w:val="C40A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13E7A"/>
    <w:multiLevelType w:val="multilevel"/>
    <w:tmpl w:val="174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03A93"/>
    <w:multiLevelType w:val="multilevel"/>
    <w:tmpl w:val="BE7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51C49"/>
    <w:multiLevelType w:val="multilevel"/>
    <w:tmpl w:val="9EB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21010">
    <w:abstractNumId w:val="7"/>
  </w:num>
  <w:num w:numId="2" w16cid:durableId="132455528">
    <w:abstractNumId w:val="6"/>
  </w:num>
  <w:num w:numId="3" w16cid:durableId="841428315">
    <w:abstractNumId w:val="5"/>
  </w:num>
  <w:num w:numId="4" w16cid:durableId="1702314899">
    <w:abstractNumId w:val="2"/>
  </w:num>
  <w:num w:numId="5" w16cid:durableId="2075002402">
    <w:abstractNumId w:val="1"/>
  </w:num>
  <w:num w:numId="6" w16cid:durableId="743453774">
    <w:abstractNumId w:val="4"/>
  </w:num>
  <w:num w:numId="7" w16cid:durableId="542250365">
    <w:abstractNumId w:val="3"/>
  </w:num>
  <w:num w:numId="8" w16cid:durableId="122992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EDA"/>
    <w:rsid w:val="002D3EDA"/>
    <w:rsid w:val="005B5CEF"/>
    <w:rsid w:val="00602C25"/>
    <w:rsid w:val="007E6715"/>
    <w:rsid w:val="008355BC"/>
    <w:rsid w:val="008F3B2D"/>
    <w:rsid w:val="00985FE9"/>
    <w:rsid w:val="00A11A4D"/>
    <w:rsid w:val="00DA1091"/>
    <w:rsid w:val="00E225B6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F915E"/>
  <w15:chartTrackingRefBased/>
  <w15:docId w15:val="{12DE1B84-429A-104D-A3EE-714F9A1D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3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3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3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E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3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D3ED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D3ED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D3ED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2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5B6"/>
  </w:style>
  <w:style w:type="paragraph" w:styleId="Footer">
    <w:name w:val="footer"/>
    <w:basedOn w:val="Normal"/>
    <w:link w:val="FooterChar"/>
    <w:uiPriority w:val="99"/>
    <w:unhideWhenUsed/>
    <w:rsid w:val="00E2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-s-h.org.uk/media/x0bbg4bs/guideline-for-the-diagnosis-and-management-of-marginal-zone-lymphomas-a-british-society.pdf?cf=638355729214900000" TargetMode="External"/><Relationship Id="rId13" Type="http://schemas.openxmlformats.org/officeDocument/2006/relationships/hyperlink" Target="https://pmc.ncbi.nlm.nih.gov/articles/PMC4035033/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ubmed.ncbi.nlm.nih.gov/23345547/" TargetMode="External"/><Relationship Id="rId12" Type="http://schemas.openxmlformats.org/officeDocument/2006/relationships/hyperlink" Target="https://b-s-h.org.uk/media/x0bbg4bs/guideline-for-the-diagnosis-and-management-of-marginal-zone-lymphomas-a-british-society.pdf?cf=638355729214900000" TargetMode="External"/><Relationship Id="rId17" Type="http://schemas.openxmlformats.org/officeDocument/2006/relationships/hyperlink" Target="https://pubmed.ncbi.nlm.nih.gov/23345547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4035033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mc.ncbi.nlm.nih.gov/articles/PMC4035033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mc.ncbi.nlm.nih.gov/articles/PMC8719063/?utm_source=chatgpt.com" TargetMode="External"/><Relationship Id="rId10" Type="http://schemas.openxmlformats.org/officeDocument/2006/relationships/hyperlink" Target="https://www.sciencedirect.com/science/article/pii/S0923753419354651?utm_source=chatgpt.co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nccn.org/patients/guidelines/content/PDF/mzl-patient.pdf?utm_source=chatgpt.com" TargetMode="External"/><Relationship Id="rId14" Type="http://schemas.openxmlformats.org/officeDocument/2006/relationships/hyperlink" Target="https://pmc.ncbi.nlm.nih.gov/articles/PMC357960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954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2</cp:revision>
  <dcterms:created xsi:type="dcterms:W3CDTF">2026-03-04T00:02:00Z</dcterms:created>
  <dcterms:modified xsi:type="dcterms:W3CDTF">2026-03-04T06:12:00Z</dcterms:modified>
</cp:coreProperties>
</file>