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80DB" w14:textId="77777777" w:rsidR="003700EC" w:rsidRPr="007A6478" w:rsidRDefault="003700EC" w:rsidP="003700EC">
      <w:pPr>
        <w:pStyle w:val="Header"/>
        <w:jc w:val="center"/>
        <w:rPr>
          <w:color w:val="FFFF00"/>
          <w:sz w:val="40"/>
          <w:szCs w:val="40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33824" wp14:editId="4CDD63BE">
                <wp:simplePos x="0" y="0"/>
                <wp:positionH relativeFrom="column">
                  <wp:posOffset>-511175</wp:posOffset>
                </wp:positionH>
                <wp:positionV relativeFrom="paragraph">
                  <wp:posOffset>412115</wp:posOffset>
                </wp:positionV>
                <wp:extent cx="323850" cy="8180070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4C1BE" id="Rectangle 2" o:spid="_x0000_s1026" style="position:absolute;margin-left:-40.25pt;margin-top:32.45pt;width:25.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" fillcolor="yellow" strokecolor="#030e13 [484]" strokeweight="1pt"/>
            </w:pict>
          </mc:Fallback>
        </mc:AlternateContent>
      </w:r>
      <w:r w:rsidRPr="007A6478">
        <w:rPr>
          <w:color w:val="FFFF00"/>
          <w:sz w:val="40"/>
          <w:szCs w:val="40"/>
          <w:highlight w:val="black"/>
        </w:rPr>
        <w:t>YELLOW REPORT</w:t>
      </w:r>
    </w:p>
    <w:p w14:paraId="10536A40" w14:textId="77777777" w:rsidR="00987C10" w:rsidRPr="00987C10" w:rsidRDefault="00987C10" w:rsidP="0098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Given her complete metabolic response after 4 weekly doses of rituximab, it is reasonable to </w:t>
      </w: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rituximab and observe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 [1] in an 82-year-old with SMZL, as maintenance rituximab prolongs progression-free survival but has not shown an overall survival benefit and increases infection risk [2] [3]. Observation is appropriate because she has no high-risk features, and retreatment at relapse is effective [1]. If she values time-to-next-treatment over infection risk, a limited, time-defined maintenance course (e.g. rituximab 375 mg/m² IV every 2–3 months for up to 2 years) can be considered, balancing PFS benefit against cumulative B-cell depletion and infections, with a clear plan to stop at any grade ≥ 2 infusion reaction or ≥ grade 2 infectious complication; however, outside clinical trials, any extension beyond 2 years should generally be avoided given lack of demonstrated added benefit and incremental immunosuppression [1] [3].</w:t>
      </w:r>
    </w:p>
    <w:p w14:paraId="6B1FD6D7" w14:textId="77777777" w:rsidR="00987C10" w:rsidRPr="00987C10" w:rsidRDefault="00E31792" w:rsidP="009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FCD5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81DBC9" w14:textId="77777777" w:rsidR="00987C10" w:rsidRPr="00987C10" w:rsidRDefault="00987C10" w:rsidP="0098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supporting rituximab maintenance in SMZL</w:t>
      </w:r>
    </w:p>
    <w:p w14:paraId="73D97439" w14:textId="77777777" w:rsidR="00987C10" w:rsidRPr="00987C10" w:rsidRDefault="00987C10" w:rsidP="0098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PFS benefit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Retrospective data show maintenance rituximab prolongs PFS in SMZL (7-year PFS 75% with maintenance vs 39% without) [1].</w:t>
      </w:r>
    </w:p>
    <w:p w14:paraId="784CB679" w14:textId="77777777" w:rsidR="00987C10" w:rsidRPr="00987C10" w:rsidRDefault="00987C10" w:rsidP="0098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OS benefit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No overall survival advantage has been demonstrated with maintenance rituximab in SMZL [1].</w:t>
      </w:r>
    </w:p>
    <w:p w14:paraId="32014541" w14:textId="77777777" w:rsidR="00987C10" w:rsidRPr="00987C10" w:rsidRDefault="00987C10" w:rsidP="0098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Infection risk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Maintenance rituximab increases infection risk, particularly in older adults [3] [4].</w:t>
      </w:r>
    </w:p>
    <w:p w14:paraId="75CAADD8" w14:textId="77777777" w:rsidR="00987C10" w:rsidRPr="00987C10" w:rsidRDefault="00E31792" w:rsidP="009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79BF7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7C327F" w14:textId="77777777" w:rsidR="00987C10" w:rsidRPr="00987C10" w:rsidRDefault="00987C10" w:rsidP="0098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supporting observation after complete response</w:t>
      </w:r>
    </w:p>
    <w:p w14:paraId="66AA3C14" w14:textId="77777777" w:rsidR="00987C10" w:rsidRPr="00987C10" w:rsidRDefault="00987C10" w:rsidP="0098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 endorsement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NCCN and BSH list active surveillance as an appropriate option after CR in SMZL, especially in older adults or those with comorbidities [1] [5].</w:t>
      </w:r>
    </w:p>
    <w:p w14:paraId="2BCFB48B" w14:textId="77777777" w:rsidR="00987C10" w:rsidRPr="00987C10" w:rsidRDefault="00987C10" w:rsidP="0098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Retreatment efficacy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Rituximab remains effective at relapse, making observation a reasonable strategy [1].</w:t>
      </w:r>
    </w:p>
    <w:p w14:paraId="5A4DF3D7" w14:textId="77777777" w:rsidR="00987C10" w:rsidRPr="00987C10" w:rsidRDefault="00987C10" w:rsidP="0098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of life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Observation avoids ongoing treatment burden and infection risk, which is especially relevant in older adults [3].</w:t>
      </w:r>
    </w:p>
    <w:p w14:paraId="7B90538C" w14:textId="77777777" w:rsidR="00987C10" w:rsidRPr="00987C10" w:rsidRDefault="00E31792" w:rsidP="009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B36C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E216E5" w14:textId="77777777" w:rsidR="00987C10" w:rsidRPr="00987C10" w:rsidRDefault="00987C10" w:rsidP="0098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Patient-specific factors influencing the decision</w:t>
      </w:r>
    </w:p>
    <w:p w14:paraId="7E9544C0" w14:textId="77777777" w:rsidR="00987C10" w:rsidRPr="00987C10" w:rsidRDefault="00987C10" w:rsidP="0098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and comorbidities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At 82 years with asthma and spina bifida, she has higher infection risk and frailty, favoring observation [3].</w:t>
      </w:r>
    </w:p>
    <w:p w14:paraId="3F7B79CE" w14:textId="77777777" w:rsidR="00987C10" w:rsidRPr="00987C10" w:rsidRDefault="00987C10" w:rsidP="0098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 goals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 Her priorities (PFS vs infection risk, QOL) should guide the choice [6].</w:t>
      </w:r>
    </w:p>
    <w:p w14:paraId="7EFC97A4" w14:textId="5EC6CB25" w:rsidR="00987C10" w:rsidRPr="00987C10" w:rsidRDefault="003700EC" w:rsidP="0098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6ACD6" wp14:editId="77C9853E">
                <wp:simplePos x="0" y="0"/>
                <wp:positionH relativeFrom="column">
                  <wp:posOffset>-619432</wp:posOffset>
                </wp:positionH>
                <wp:positionV relativeFrom="paragraph">
                  <wp:posOffset>209612</wp:posOffset>
                </wp:positionV>
                <wp:extent cx="323850" cy="8180070"/>
                <wp:effectExtent l="0" t="0" r="19050" b="11430"/>
                <wp:wrapNone/>
                <wp:docPr id="9651861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C5D9A" id="Rectangle 2" o:spid="_x0000_s1026" style="position:absolute;margin-left:-48.75pt;margin-top:16.5pt;width:25.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" fillcolor="yellow" strokecolor="#030e13 [484]" strokeweight="1pt"/>
            </w:pict>
          </mc:Fallback>
        </mc:AlternateContent>
      </w:r>
      <w:r w:rsidR="00987C10"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features</w:t>
      </w:r>
      <w:r w:rsidR="00987C10" w:rsidRPr="00987C10">
        <w:rPr>
          <w:rFonts w:ascii="Times New Roman" w:eastAsia="Times New Roman" w:hAnsi="Times New Roman" w:cs="Times New Roman"/>
          <w:kern w:val="0"/>
          <w14:ligatures w14:val="none"/>
        </w:rPr>
        <w:t>: CCND3/MYC/CDKN2A mutations alone are not established predictive markers for maintenance benefit in SMZL; consider observation after CR absent other high-risk features [1].</w:t>
      </w:r>
    </w:p>
    <w:p w14:paraId="3B527D8B" w14:textId="5DD25C8A" w:rsidR="00987C10" w:rsidRPr="00987C10" w:rsidRDefault="00E31792" w:rsidP="009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70C1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A706D9" w14:textId="247605BC" w:rsidR="00987C10" w:rsidRPr="00987C10" w:rsidRDefault="00987C10" w:rsidP="0098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guidelines and expert consensus</w:t>
      </w:r>
    </w:p>
    <w:p w14:paraId="30BEAC5E" w14:textId="77777777" w:rsidR="00987C10" w:rsidRPr="00987C10" w:rsidRDefault="00987C10" w:rsidP="0098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NCCN and BSH endorse </w:t>
      </w: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surveillance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 after CR in SMZL, especially in older adults or those with comorbidities [1] [5]. Maintenance rituximab is optional and should be individualized based on patient factors and preferences [1].</w:t>
      </w:r>
    </w:p>
    <w:p w14:paraId="1DE75D74" w14:textId="77777777" w:rsidR="00987C10" w:rsidRPr="00987C10" w:rsidRDefault="00E31792" w:rsidP="009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3F4CA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F8F3AC" w14:textId="77777777" w:rsidR="00987C10" w:rsidRPr="00987C10" w:rsidRDefault="00987C10" w:rsidP="0098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considerations</w:t>
      </w:r>
    </w:p>
    <w:p w14:paraId="1CA8E0BB" w14:textId="77777777" w:rsidR="00987C10" w:rsidRPr="00987C10" w:rsidRDefault="00987C10" w:rsidP="0098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If choosing observation, plan </w:t>
      </w: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follow-up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 every 3–6 months for 5 years, then annually, with retreatment at relapse [1]. If choosing maintenance, use rituximab 375 mg/m² IV every 2–3 months for up to 2 years, with monitoring for infections and hypogammaglobulinemia [1]. Use a time-limited course — typically 2 years — as indefinite maintenance has not demonstrated added benefit and adds cumulative B-cell depletion; extend only on an individualized basis and generally only within clinical trials [1] [3].</w:t>
      </w:r>
    </w:p>
    <w:p w14:paraId="15C23835" w14:textId="77777777" w:rsidR="00987C10" w:rsidRPr="00987C10" w:rsidRDefault="00E31792" w:rsidP="00987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4802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F30DAA" w14:textId="77777777" w:rsidR="00987C10" w:rsidRPr="00987C10" w:rsidRDefault="00987C10" w:rsidP="0098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296"/>
        <w:gridCol w:w="4069"/>
      </w:tblGrid>
      <w:tr w:rsidR="00987C10" w:rsidRPr="00987C10" w14:paraId="37420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00661" w14:textId="77777777" w:rsidR="00987C10" w:rsidRPr="00987C10" w:rsidRDefault="00987C10" w:rsidP="0098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FE185FE" w14:textId="77777777" w:rsidR="00987C10" w:rsidRPr="00987C10" w:rsidRDefault="00987C10" w:rsidP="0098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 after complete response</w:t>
            </w:r>
          </w:p>
        </w:tc>
        <w:tc>
          <w:tcPr>
            <w:tcW w:w="0" w:type="auto"/>
            <w:vAlign w:val="center"/>
            <w:hideMark/>
          </w:tcPr>
          <w:p w14:paraId="59DE1114" w14:textId="77777777" w:rsidR="00987C10" w:rsidRPr="00987C10" w:rsidRDefault="00987C10" w:rsidP="0098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Rituximab maintenance</w:t>
            </w:r>
          </w:p>
        </w:tc>
      </w:tr>
      <w:tr w:rsidR="00987C10" w:rsidRPr="00987C10" w14:paraId="2622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52FA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and comorbidities</w:t>
            </w:r>
          </w:p>
        </w:tc>
        <w:tc>
          <w:tcPr>
            <w:tcW w:w="0" w:type="auto"/>
            <w:vAlign w:val="center"/>
            <w:hideMark/>
          </w:tcPr>
          <w:p w14:paraId="105E496B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Appropriate for older adults with comorbidities</w:t>
            </w:r>
          </w:p>
        </w:tc>
        <w:tc>
          <w:tcPr>
            <w:tcW w:w="0" w:type="auto"/>
            <w:vAlign w:val="center"/>
            <w:hideMark/>
          </w:tcPr>
          <w:p w14:paraId="0C334672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infection risk in older adults</w:t>
            </w:r>
          </w:p>
        </w:tc>
      </w:tr>
      <w:tr w:rsidR="00987C10" w:rsidRPr="00987C10" w14:paraId="0B749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B152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 goals</w:t>
            </w:r>
          </w:p>
        </w:tc>
        <w:tc>
          <w:tcPr>
            <w:tcW w:w="0" w:type="auto"/>
            <w:vAlign w:val="center"/>
            <w:hideMark/>
          </w:tcPr>
          <w:p w14:paraId="06DB5821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Prioritizes QOL and minimal treatment burden</w:t>
            </w:r>
          </w:p>
        </w:tc>
        <w:tc>
          <w:tcPr>
            <w:tcW w:w="0" w:type="auto"/>
            <w:vAlign w:val="center"/>
            <w:hideMark/>
          </w:tcPr>
          <w:p w14:paraId="27D0AC74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Prioritizes prolonged PFS</w:t>
            </w:r>
          </w:p>
        </w:tc>
      </w:tr>
      <w:tr w:rsidR="00987C10" w:rsidRPr="00987C10" w14:paraId="3AE7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C471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High-risk features</w:t>
            </w:r>
          </w:p>
        </w:tc>
        <w:tc>
          <w:tcPr>
            <w:tcW w:w="0" w:type="auto"/>
            <w:vAlign w:val="center"/>
            <w:hideMark/>
          </w:tcPr>
          <w:p w14:paraId="08F8EF7B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required for observation</w:t>
            </w:r>
          </w:p>
        </w:tc>
        <w:tc>
          <w:tcPr>
            <w:tcW w:w="0" w:type="auto"/>
            <w:vAlign w:val="center"/>
            <w:hideMark/>
          </w:tcPr>
          <w:p w14:paraId="5107FFA6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if high-risk features present</w:t>
            </w:r>
          </w:p>
        </w:tc>
      </w:tr>
      <w:tr w:rsidR="00987C10" w:rsidRPr="00987C10" w14:paraId="5C8E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37C2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guidelines</w:t>
            </w:r>
          </w:p>
        </w:tc>
        <w:tc>
          <w:tcPr>
            <w:tcW w:w="0" w:type="auto"/>
            <w:vAlign w:val="center"/>
            <w:hideMark/>
          </w:tcPr>
          <w:p w14:paraId="6D63E9C9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 by NCCN and BSH</w:t>
            </w:r>
          </w:p>
        </w:tc>
        <w:tc>
          <w:tcPr>
            <w:tcW w:w="0" w:type="auto"/>
            <w:vAlign w:val="center"/>
            <w:hideMark/>
          </w:tcPr>
          <w:p w14:paraId="2D0CBBD5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and individualized</w:t>
            </w:r>
          </w:p>
        </w:tc>
      </w:tr>
      <w:tr w:rsidR="00987C10" w:rsidRPr="00987C10" w14:paraId="23E90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3EBE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considerations</w:t>
            </w:r>
          </w:p>
        </w:tc>
        <w:tc>
          <w:tcPr>
            <w:tcW w:w="0" w:type="auto"/>
            <w:vAlign w:val="center"/>
            <w:hideMark/>
          </w:tcPr>
          <w:p w14:paraId="1497EBE6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follow-up and retreatment at relapse</w:t>
            </w:r>
          </w:p>
        </w:tc>
        <w:tc>
          <w:tcPr>
            <w:tcW w:w="0" w:type="auto"/>
            <w:vAlign w:val="center"/>
            <w:hideMark/>
          </w:tcPr>
          <w:p w14:paraId="2341871C" w14:textId="77777777" w:rsidR="00987C10" w:rsidRPr="00987C10" w:rsidRDefault="00987C10" w:rsidP="0098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7C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for infections and hypogammaglobulinemia</w:t>
            </w:r>
          </w:p>
        </w:tc>
      </w:tr>
    </w:tbl>
    <w:p w14:paraId="3E6FB36B" w14:textId="77777777" w:rsidR="00987C10" w:rsidRPr="00987C10" w:rsidRDefault="00987C10" w:rsidP="0098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Given her CR and age, </w:t>
      </w: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after complete response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appropriate approach [1]. Maintenance rituximab may be considered only if she strongly prioritizes PFS and accepts increased infection risk [1].</w:t>
      </w:r>
    </w:p>
    <w:p w14:paraId="5E42F5D9" w14:textId="77777777" w:rsidR="00987C10" w:rsidRPr="00987C10" w:rsidRDefault="00987C10" w:rsidP="0098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</w:t>
      </w:r>
      <w:r w:rsidRPr="00987C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DE67D7" w14:textId="5911EDBD" w:rsidR="00987C10" w:rsidRPr="00987C10" w:rsidRDefault="003700EC" w:rsidP="0098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858D7" wp14:editId="1A9C3694">
                <wp:simplePos x="0" y="0"/>
                <wp:positionH relativeFrom="column">
                  <wp:posOffset>-540775</wp:posOffset>
                </wp:positionH>
                <wp:positionV relativeFrom="paragraph">
                  <wp:posOffset>-51517</wp:posOffset>
                </wp:positionV>
                <wp:extent cx="323850" cy="8180070"/>
                <wp:effectExtent l="0" t="0" r="19050" b="11430"/>
                <wp:wrapNone/>
                <wp:docPr id="625217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2B4DE" id="Rectangle 2" o:spid="_x0000_s1026" style="position:absolute;margin-left:-42.6pt;margin-top:-4.05pt;width:25.5pt;height:64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" fillcolor="yellow" strokecolor="#030e13 [484]" strokeweight="1pt"/>
            </w:pict>
          </mc:Fallback>
        </mc:AlternateContent>
      </w:r>
      <w:hyperlink r:id="rId7" w:anchor="114AFDq5" w:tgtFrame="_blank" w:history="1">
        <w:r w:rsidR="00987C10" w:rsidRPr="00987C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NCCN guidelines® insights: B-cell lymphomas 3.2025</w:t>
        </w:r>
      </w:hyperlink>
      <w:r w:rsidR="00987C10" w:rsidRPr="00987C10">
        <w:rPr>
          <w:rFonts w:ascii="Times New Roman" w:eastAsia="Times New Roman" w:hAnsi="Times New Roman" w:cs="Times New Roman"/>
          <w:kern w:val="0"/>
          <w14:ligatures w14:val="none"/>
        </w:rPr>
        <w:t>. Journal of the National Comprehensive Cancer Network, 2025</w:t>
      </w:r>
    </w:p>
    <w:p w14:paraId="74426D0F" w14:textId="77777777" w:rsidR="00987C10" w:rsidRPr="00987C10" w:rsidRDefault="00987C10" w:rsidP="0098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116V1CDM" w:tgtFrame="_blank" w:history="1">
        <w:r w:rsidRPr="00987C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Rituximab as maintenance therapy for patients with follicular lymphoma</w:t>
        </w:r>
      </w:hyperlink>
      <w:r w:rsidRPr="00987C10">
        <w:rPr>
          <w:rFonts w:ascii="Times New Roman" w:eastAsia="Times New Roman" w:hAnsi="Times New Roman" w:cs="Times New Roman"/>
          <w:kern w:val="0"/>
          <w14:ligatures w14:val="none"/>
        </w:rPr>
        <w:t>. The Cochrane Database of Systematic Reviews, 2009</w:t>
      </w:r>
    </w:p>
    <w:p w14:paraId="335EBD01" w14:textId="77777777" w:rsidR="00987C10" w:rsidRPr="00987C10" w:rsidRDefault="00987C10" w:rsidP="0098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116Rfifu" w:tgtFrame="_blank" w:history="1">
        <w:r w:rsidRPr="00987C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Too much and not enough: revisiting maintenance rituximab in indolent lymphomas</w:t>
        </w:r>
      </w:hyperlink>
      <w:r w:rsidRPr="00987C10">
        <w:rPr>
          <w:rFonts w:ascii="Times New Roman" w:eastAsia="Times New Roman" w:hAnsi="Times New Roman" w:cs="Times New Roman"/>
          <w:kern w:val="0"/>
          <w14:ligatures w14:val="none"/>
        </w:rPr>
        <w:t>. Haematologica, 2022</w:t>
      </w:r>
    </w:p>
    <w:p w14:paraId="5485A00F" w14:textId="77777777" w:rsidR="00987C10" w:rsidRPr="00987C10" w:rsidRDefault="00987C10" w:rsidP="0098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112gtQBC" w:tgtFrame="_blank" w:history="1">
        <w:r w:rsidRPr="00987C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Rituximab maintenance for 2 years in patients with high tumour burden follicular lymphoma responding to rituximab plus chemotherapy (PRIMA): a phase 3, randomised controlled trial</w:t>
        </w:r>
      </w:hyperlink>
      <w:r w:rsidRPr="00987C10">
        <w:rPr>
          <w:rFonts w:ascii="Times New Roman" w:eastAsia="Times New Roman" w:hAnsi="Times New Roman" w:cs="Times New Roman"/>
          <w:kern w:val="0"/>
          <w14:ligatures w14:val="none"/>
        </w:rPr>
        <w:t>. Lancet, 2011</w:t>
      </w:r>
    </w:p>
    <w:p w14:paraId="255A5158" w14:textId="77777777" w:rsidR="00987C10" w:rsidRPr="00987C10" w:rsidRDefault="00987C10" w:rsidP="0098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114nyuw6" w:tgtFrame="_blank" w:history="1">
        <w:r w:rsidRPr="00987C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Guideline for the diagnosis and management of marginal zone lymphomas: a British society of haematology guideline</w:t>
        </w:r>
      </w:hyperlink>
      <w:r w:rsidRPr="00987C10">
        <w:rPr>
          <w:rFonts w:ascii="Times New Roman" w:eastAsia="Times New Roman" w:hAnsi="Times New Roman" w:cs="Times New Roman"/>
          <w:kern w:val="0"/>
          <w14:ligatures w14:val="none"/>
        </w:rPr>
        <w:t>. British Journal of Haematology, 2024</w:t>
      </w:r>
    </w:p>
    <w:p w14:paraId="14EF540B" w14:textId="77777777" w:rsidR="00987C10" w:rsidRPr="00987C10" w:rsidRDefault="00987C10" w:rsidP="0098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115neJeh" w:tgtFrame="_blank" w:history="1">
        <w:r w:rsidRPr="00987C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One size does not fit all: who benefits from maintenance after frontline therapy for follicular lymphoma?</w:t>
        </w:r>
      </w:hyperlink>
      <w:r w:rsidRPr="00987C10">
        <w:rPr>
          <w:rFonts w:ascii="Times New Roman" w:eastAsia="Times New Roman" w:hAnsi="Times New Roman" w:cs="Times New Roman"/>
          <w:kern w:val="0"/>
          <w14:ligatures w14:val="none"/>
        </w:rPr>
        <w:t>. American Society of Clinical Oncology Educational Book: American Society of Clinical Oncology. Annual Meeting, 2019</w:t>
      </w:r>
    </w:p>
    <w:p w14:paraId="48D35589" w14:textId="77777777" w:rsidR="007E6715" w:rsidRDefault="007E6715"/>
    <w:sectPr w:rsidR="007E6715" w:rsidSect="00985FE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1CECC" w14:textId="77777777" w:rsidR="00E31792" w:rsidRDefault="00E31792" w:rsidP="00C53CDF">
      <w:pPr>
        <w:spacing w:after="0" w:line="240" w:lineRule="auto"/>
      </w:pPr>
      <w:r>
        <w:separator/>
      </w:r>
    </w:p>
  </w:endnote>
  <w:endnote w:type="continuationSeparator" w:id="0">
    <w:p w14:paraId="47BC6E1A" w14:textId="77777777" w:rsidR="00E31792" w:rsidRDefault="00E31792" w:rsidP="00C53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D4E2" w14:textId="77777777" w:rsidR="00C53CDF" w:rsidRDefault="00C53C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80E1" w14:textId="2E40A9DF" w:rsidR="00C53CDF" w:rsidRPr="00C53CDF" w:rsidRDefault="00C53CDF" w:rsidP="00C53CDF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2DF4" w14:textId="77777777" w:rsidR="00C53CDF" w:rsidRDefault="00C53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9FE39" w14:textId="77777777" w:rsidR="00E31792" w:rsidRDefault="00E31792" w:rsidP="00C53CDF">
      <w:pPr>
        <w:spacing w:after="0" w:line="240" w:lineRule="auto"/>
      </w:pPr>
      <w:r>
        <w:separator/>
      </w:r>
    </w:p>
  </w:footnote>
  <w:footnote w:type="continuationSeparator" w:id="0">
    <w:p w14:paraId="4294424F" w14:textId="77777777" w:rsidR="00E31792" w:rsidRDefault="00E31792" w:rsidP="00C53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8455" w14:textId="77777777" w:rsidR="00C53CDF" w:rsidRDefault="00C53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6FC2" w14:textId="23914281" w:rsidR="00C53CDF" w:rsidRPr="00C53CDF" w:rsidRDefault="00C53CDF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1390B" w14:textId="77777777" w:rsidR="00C53CDF" w:rsidRDefault="00C53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766B9"/>
    <w:multiLevelType w:val="multilevel"/>
    <w:tmpl w:val="073A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51101"/>
    <w:multiLevelType w:val="multilevel"/>
    <w:tmpl w:val="263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36758"/>
    <w:multiLevelType w:val="multilevel"/>
    <w:tmpl w:val="C15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25B5A"/>
    <w:multiLevelType w:val="multilevel"/>
    <w:tmpl w:val="98D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02474">
    <w:abstractNumId w:val="3"/>
  </w:num>
  <w:num w:numId="2" w16cid:durableId="567228882">
    <w:abstractNumId w:val="1"/>
  </w:num>
  <w:num w:numId="3" w16cid:durableId="1196500091">
    <w:abstractNumId w:val="2"/>
  </w:num>
  <w:num w:numId="4" w16cid:durableId="11267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10"/>
    <w:rsid w:val="003700EC"/>
    <w:rsid w:val="00602C25"/>
    <w:rsid w:val="007E6715"/>
    <w:rsid w:val="008355BC"/>
    <w:rsid w:val="008F3B2D"/>
    <w:rsid w:val="00985FE9"/>
    <w:rsid w:val="00987C10"/>
    <w:rsid w:val="00B27B20"/>
    <w:rsid w:val="00C53CDF"/>
    <w:rsid w:val="00DA1091"/>
    <w:rsid w:val="00E31792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23C60"/>
  <w15:chartTrackingRefBased/>
  <w15:docId w15:val="{8F235F74-E793-4643-AD1C-23798C55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7C1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87C1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0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EC"/>
  </w:style>
  <w:style w:type="paragraph" w:styleId="Footer">
    <w:name w:val="footer"/>
    <w:basedOn w:val="Normal"/>
    <w:link w:val="FooterChar"/>
    <w:uiPriority w:val="99"/>
    <w:unhideWhenUsed/>
    <w:rsid w:val="00C53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19370640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41067277/" TargetMode="External"/><Relationship Id="rId12" Type="http://schemas.openxmlformats.org/officeDocument/2006/relationships/hyperlink" Target="https://pubmed.ncbi.nlm.nih.gov/31099693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med.ncbi.nlm.nih.gov/37957111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ubmed.ncbi.nlm.nih.gov/21176949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4134474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3</cp:revision>
  <dcterms:created xsi:type="dcterms:W3CDTF">2026-03-03T23:57:00Z</dcterms:created>
  <dcterms:modified xsi:type="dcterms:W3CDTF">2026-03-04T06:13:00Z</dcterms:modified>
</cp:coreProperties>
</file>