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48D8C" w14:textId="77777777" w:rsidR="00BB00A3" w:rsidRPr="00BB00A3" w:rsidRDefault="00BB00A3" w:rsidP="00BB00A3">
      <w:pPr>
        <w:spacing w:after="0" w:line="240" w:lineRule="auto"/>
        <w:rPr>
          <w:rFonts w:ascii="Aptos" w:eastAsia="Times New Roman" w:hAnsi="Aptos" w:cs="Times New Roman"/>
          <w:color w:val="000000"/>
          <w:kern w:val="0"/>
          <w14:ligatures w14:val="none"/>
        </w:rPr>
      </w:pPr>
      <w:r w:rsidRPr="00BB00A3">
        <w:rPr>
          <w:rFonts w:ascii="Aptos" w:eastAsia="Times New Roman" w:hAnsi="Aptos" w:cs="Times New Roman"/>
          <w:color w:val="000000"/>
          <w:kern w:val="0"/>
          <w14:ligatures w14:val="none"/>
        </w:rPr>
        <w:t>Continued rituximab maintenance after a complete response to rituximab monotherapy in marginal zone lymphoma:</w:t>
      </w:r>
    </w:p>
    <w:p w14:paraId="350702E9" w14:textId="77777777" w:rsidR="00BB00A3" w:rsidRPr="00BB00A3" w:rsidRDefault="00BB00A3" w:rsidP="00BB00A3">
      <w:pPr>
        <w:spacing w:after="0" w:line="240" w:lineRule="auto"/>
        <w:rPr>
          <w:rFonts w:ascii="Aptos" w:eastAsia="Times New Roman" w:hAnsi="Aptos" w:cs="Times New Roman"/>
          <w:color w:val="000000"/>
          <w:kern w:val="0"/>
          <w14:ligatures w14:val="none"/>
        </w:rPr>
      </w:pPr>
      <w:r w:rsidRPr="00BB00A3">
        <w:rPr>
          <w:rFonts w:ascii="Aptos" w:eastAsia="Times New Roman" w:hAnsi="Aptos" w:cs="Times New Roman"/>
          <w:color w:val="000000"/>
          <w:kern w:val="0"/>
          <w14:ligatures w14:val="none"/>
        </w:rPr>
        <w:t>An 82-year-old female with a significant medical history of spina bifida and asthma was diagnosed with Stage IV indolent splenic marginal zone lymphoma. She presented with symptoms of anemia and thrombocytopenia, prompting further investigation. Imaging studies demonstrated multiple hypermetabolic osseous lesions and persistent splenomegaly. A CT-guided biopsy of the right iliac crest confirmed atypical lymphoid infiltrate consistent with marginal zone lymphoma. A bone marrow aspirate and biopsy revealed normocellular marrow with myeloid-predominant hematopoiesis, but flow cytometry identified an abnormal lambda-restricted B-cell population (13.5% of CD45+ events) that was CD5-/CD10-. The findings were consistent with marginal zone lymphoma. Genetic studies indicated mutations in CCND3, MYC, and CDKN2A, and chromosome analysis revealed no abnormalities. A CT-guided biopsy of a right iliac crest osseous lesion confirmed atypical lymphoid infiltrate consistent with marginal zone lymphoma.</w:t>
      </w:r>
    </w:p>
    <w:p w14:paraId="4A4AC302" w14:textId="77777777" w:rsidR="001456F2" w:rsidRDefault="001456F2" w:rsidP="00BB00A3">
      <w:pPr>
        <w:spacing w:after="0" w:line="240" w:lineRule="auto"/>
        <w:rPr>
          <w:rFonts w:ascii="Aptos" w:eastAsia="Times New Roman" w:hAnsi="Aptos" w:cs="Times New Roman"/>
          <w:color w:val="000000"/>
          <w:kern w:val="0"/>
          <w14:ligatures w14:val="none"/>
        </w:rPr>
      </w:pPr>
    </w:p>
    <w:p w14:paraId="67962591" w14:textId="1D449CD4" w:rsidR="001456F2" w:rsidRDefault="00BB00A3" w:rsidP="00BB00A3">
      <w:pPr>
        <w:spacing w:after="0" w:line="240" w:lineRule="auto"/>
        <w:rPr>
          <w:rFonts w:ascii="Aptos" w:eastAsia="Times New Roman" w:hAnsi="Aptos" w:cs="Times New Roman"/>
          <w:color w:val="000000"/>
          <w:kern w:val="0"/>
          <w14:ligatures w14:val="none"/>
        </w:rPr>
      </w:pPr>
      <w:r w:rsidRPr="00BB00A3">
        <w:rPr>
          <w:rFonts w:ascii="Aptos" w:eastAsia="Times New Roman" w:hAnsi="Aptos" w:cs="Times New Roman"/>
          <w:color w:val="000000"/>
          <w:kern w:val="0"/>
          <w14:ligatures w14:val="none"/>
        </w:rPr>
        <w:t xml:space="preserve">She was treated with weekly rituximab monotherapy for 4 weeks from </w:t>
      </w:r>
      <w:r w:rsidR="00EC5FD4">
        <w:rPr>
          <w:rFonts w:ascii="Aptos" w:eastAsia="Times New Roman" w:hAnsi="Aptos" w:cs="Times New Roman"/>
          <w:color w:val="000000"/>
          <w:kern w:val="0"/>
          <w14:ligatures w14:val="none"/>
        </w:rPr>
        <w:t>November-December</w:t>
      </w:r>
      <w:r w:rsidRPr="00BB00A3">
        <w:rPr>
          <w:rFonts w:ascii="Aptos" w:eastAsia="Times New Roman" w:hAnsi="Aptos" w:cs="Times New Roman"/>
          <w:color w:val="000000"/>
          <w:kern w:val="0"/>
          <w14:ligatures w14:val="none"/>
        </w:rPr>
        <w:t xml:space="preserve"> 2025, completing four cycles by </w:t>
      </w:r>
      <w:r w:rsidR="00EC5FD4">
        <w:rPr>
          <w:rFonts w:ascii="Aptos" w:eastAsia="Times New Roman" w:hAnsi="Aptos" w:cs="Times New Roman"/>
          <w:color w:val="000000"/>
          <w:kern w:val="0"/>
          <w14:ligatures w14:val="none"/>
        </w:rPr>
        <w:t>Dec 15</w:t>
      </w:r>
      <w:r w:rsidRPr="00BB00A3">
        <w:rPr>
          <w:rFonts w:ascii="Aptos" w:eastAsia="Times New Roman" w:hAnsi="Aptos" w:cs="Times New Roman"/>
          <w:color w:val="000000"/>
          <w:kern w:val="0"/>
          <w14:ligatures w14:val="none"/>
        </w:rPr>
        <w:t xml:space="preserve">, 2025. </w:t>
      </w:r>
    </w:p>
    <w:p w14:paraId="66EFB02B" w14:textId="77777777" w:rsidR="001456F2" w:rsidRDefault="001456F2" w:rsidP="00BB00A3">
      <w:pPr>
        <w:spacing w:after="0" w:line="240" w:lineRule="auto"/>
        <w:rPr>
          <w:rFonts w:ascii="Aptos" w:eastAsia="Times New Roman" w:hAnsi="Aptos" w:cs="Times New Roman"/>
          <w:color w:val="000000"/>
          <w:kern w:val="0"/>
          <w14:ligatures w14:val="none"/>
        </w:rPr>
      </w:pPr>
    </w:p>
    <w:p w14:paraId="69077052" w14:textId="7219126C" w:rsidR="00BB00A3" w:rsidRDefault="00BB00A3" w:rsidP="00BB00A3">
      <w:pPr>
        <w:spacing w:after="0" w:line="240" w:lineRule="auto"/>
        <w:rPr>
          <w:rFonts w:ascii="Aptos" w:eastAsia="Times New Roman" w:hAnsi="Aptos" w:cs="Times New Roman"/>
          <w:color w:val="000000"/>
          <w:kern w:val="0"/>
          <w14:ligatures w14:val="none"/>
        </w:rPr>
      </w:pPr>
      <w:r w:rsidRPr="00BB00A3">
        <w:rPr>
          <w:rFonts w:ascii="Aptos" w:eastAsia="Times New Roman" w:hAnsi="Aptos" w:cs="Times New Roman"/>
          <w:color w:val="000000"/>
          <w:kern w:val="0"/>
          <w14:ligatures w14:val="none"/>
        </w:rPr>
        <w:t xml:space="preserve">Follow-up PET/CT imaging on </w:t>
      </w:r>
      <w:r w:rsidR="00EC5FD4">
        <w:rPr>
          <w:rFonts w:ascii="Aptos" w:eastAsia="Times New Roman" w:hAnsi="Aptos" w:cs="Times New Roman"/>
          <w:color w:val="000000"/>
          <w:kern w:val="0"/>
          <w14:ligatures w14:val="none"/>
        </w:rPr>
        <w:t>Feb 3</w:t>
      </w:r>
      <w:r w:rsidRPr="00BB00A3">
        <w:rPr>
          <w:rFonts w:ascii="Aptos" w:eastAsia="Times New Roman" w:hAnsi="Aptos" w:cs="Times New Roman"/>
          <w:color w:val="000000"/>
          <w:kern w:val="0"/>
          <w14:ligatures w14:val="none"/>
        </w:rPr>
        <w:t>, 2025, showed a complete metabolic response, with resolution of osseous lesions and a significant decrease in splenomegaly.</w:t>
      </w:r>
    </w:p>
    <w:p w14:paraId="67E212D4" w14:textId="77777777" w:rsidR="001456F2" w:rsidRPr="00BB00A3" w:rsidRDefault="001456F2" w:rsidP="00BB00A3">
      <w:pPr>
        <w:spacing w:after="0" w:line="240" w:lineRule="auto"/>
        <w:rPr>
          <w:rFonts w:ascii="Aptos" w:eastAsia="Times New Roman" w:hAnsi="Aptos" w:cs="Times New Roman"/>
          <w:color w:val="000000"/>
          <w:kern w:val="0"/>
          <w14:ligatures w14:val="none"/>
        </w:rPr>
      </w:pPr>
    </w:p>
    <w:p w14:paraId="5D6CE529" w14:textId="52C27333" w:rsidR="00BB00A3" w:rsidRPr="00BB00A3" w:rsidRDefault="00BB00A3" w:rsidP="00BB00A3">
      <w:pPr>
        <w:spacing w:after="0" w:line="240" w:lineRule="auto"/>
        <w:rPr>
          <w:rFonts w:ascii="Aptos" w:eastAsia="Times New Roman" w:hAnsi="Aptos" w:cs="Times New Roman"/>
          <w:color w:val="000000"/>
          <w:kern w:val="0"/>
          <w14:ligatures w14:val="none"/>
        </w:rPr>
      </w:pPr>
      <w:r w:rsidRPr="00BB00A3">
        <w:rPr>
          <w:rFonts w:ascii="Aptos" w:eastAsia="Times New Roman" w:hAnsi="Aptos" w:cs="Times New Roman"/>
          <w:b/>
          <w:bCs/>
          <w:color w:val="000000"/>
          <w:kern w:val="0"/>
          <w14:ligatures w14:val="none"/>
        </w:rPr>
        <w:t>Question:</w:t>
      </w:r>
      <w:r w:rsidRPr="00BB00A3">
        <w:rPr>
          <w:rFonts w:ascii="Aptos" w:eastAsia="Times New Roman" w:hAnsi="Aptos" w:cs="Times New Roman"/>
          <w:color w:val="000000"/>
          <w:kern w:val="0"/>
          <w14:ligatures w14:val="none"/>
        </w:rPr>
        <w:t xml:space="preserve"> Given </w:t>
      </w:r>
      <w:r w:rsidR="00C43B69">
        <w:rPr>
          <w:rFonts w:ascii="Aptos" w:eastAsia="Times New Roman" w:hAnsi="Aptos" w:cs="Times New Roman"/>
          <w:color w:val="000000"/>
          <w:kern w:val="0"/>
          <w14:ligatures w14:val="none"/>
        </w:rPr>
        <w:t>her</w:t>
      </w:r>
      <w:r w:rsidRPr="00BB00A3">
        <w:rPr>
          <w:rFonts w:ascii="Aptos" w:eastAsia="Times New Roman" w:hAnsi="Aptos" w:cs="Times New Roman"/>
          <w:color w:val="000000"/>
          <w:kern w:val="0"/>
          <w14:ligatures w14:val="none"/>
        </w:rPr>
        <w:t xml:space="preserve"> complete metabolic response after four cycles of rituximab induction therapy, should she continue with ongoing rituximab maintenance therapy, or is it appropriate to stop treatment?</w:t>
      </w:r>
    </w:p>
    <w:p w14:paraId="020195BC" w14:textId="752920DC" w:rsidR="00BB00A3" w:rsidRDefault="00BB00A3">
      <w:r>
        <w:br w:type="page"/>
      </w:r>
    </w:p>
    <w:p w14:paraId="619E46AE" w14:textId="77777777" w:rsidR="00BB00A3" w:rsidRDefault="00BB00A3" w:rsidP="00BB00A3">
      <w:pPr>
        <w:spacing w:after="240"/>
      </w:pPr>
      <w:r>
        <w:rPr>
          <w:rStyle w:val="Strong"/>
        </w:rPr>
        <w:lastRenderedPageBreak/>
        <w:t>It is appropriate to discontinue rituximab maintenance therapy after a complete metabolic response to induction in Stage IV indolent splenic marginal zone lymphoma (SMZL, unless there are high-risk features or specific clinical circumstances favoring ongoing therapy.</w:t>
      </w:r>
      <w:r>
        <w:t xml:space="preserve"> Rituximab maintenance after induction in indolent lymphomas, including SMZL, has consistently demonstrated improved progression-free survival (PFS) but has not shown an overall survival (OS) benefit, and its necessity remains controversial.</w:t>
      </w:r>
      <w:hyperlink r:id="rId5" w:history="1">
        <w:r>
          <w:rPr>
            <w:rStyle w:val="Hyperlink"/>
          </w:rPr>
          <w:t>[1]</w:t>
        </w:r>
      </w:hyperlink>
      <w:hyperlink r:id="rId6" w:history="1">
        <w:r>
          <w:rPr>
            <w:rStyle w:val="Hyperlink"/>
          </w:rPr>
          <w:t>[2]</w:t>
        </w:r>
      </w:hyperlink>
      <w:hyperlink r:id="rId7" w:history="1">
        <w:r>
          <w:rPr>
            <w:rStyle w:val="Hyperlink"/>
          </w:rPr>
          <w:t>[3]</w:t>
        </w:r>
      </w:hyperlink>
      <w:hyperlink r:id="rId8" w:history="1">
        <w:r>
          <w:rPr>
            <w:rStyle w:val="Hyperlink"/>
          </w:rPr>
          <w:t>[4]</w:t>
        </w:r>
      </w:hyperlink>
      <w:hyperlink r:id="rId9" w:history="1">
        <w:r>
          <w:rPr>
            <w:rStyle w:val="Hyperlink"/>
          </w:rPr>
          <w:t>[5]</w:t>
        </w:r>
      </w:hyperlink>
      <w:hyperlink r:id="rId10" w:history="1">
        <w:r>
          <w:rPr>
            <w:rStyle w:val="Hyperlink"/>
          </w:rPr>
          <w:t>[6]</w:t>
        </w:r>
      </w:hyperlink>
      <w:r>
        <w:t xml:space="preserve"> The only available data specific to SMZL suggest rituximab maintenance increases complete response rates and prolongs PFS (7-year PFS 75% with maintenance vs 39% without), but no OS difference has been observed, and evidence is limited to a single group’s retrospective analysis.</w:t>
      </w:r>
      <w:hyperlink r:id="rId11" w:history="1">
        <w:r>
          <w:rPr>
            <w:rStyle w:val="Hyperlink"/>
          </w:rPr>
          <w:t>[1]</w:t>
        </w:r>
      </w:hyperlink>
      <w:r>
        <w:t xml:space="preserve"> In broader indolent non-Hodgkin lymphoma populations, maintenance rituximab is considered optional, with some guidelines favoring observation after complete metabolic response, given the lack of OS benefit and potential for increased adverse events.</w:t>
      </w:r>
      <w:hyperlink r:id="rId12" w:history="1">
        <w:r>
          <w:rPr>
            <w:rStyle w:val="Hyperlink"/>
          </w:rPr>
          <w:t>[2]</w:t>
        </w:r>
      </w:hyperlink>
      <w:hyperlink r:id="rId13" w:history="1">
        <w:r>
          <w:rPr>
            <w:rStyle w:val="Hyperlink"/>
          </w:rPr>
          <w:t>[3]</w:t>
        </w:r>
      </w:hyperlink>
      <w:hyperlink r:id="rId14" w:history="1">
        <w:r>
          <w:rPr>
            <w:rStyle w:val="Hyperlink"/>
          </w:rPr>
          <w:t>[4]</w:t>
        </w:r>
      </w:hyperlink>
      <w:hyperlink r:id="rId15" w:history="1">
        <w:r>
          <w:rPr>
            <w:rStyle w:val="Hyperlink"/>
          </w:rPr>
          <w:t>[5]</w:t>
        </w:r>
      </w:hyperlink>
      <w:hyperlink r:id="rId16" w:history="1">
        <w:r>
          <w:rPr>
            <w:rStyle w:val="Hyperlink"/>
          </w:rPr>
          <w:t>[6]</w:t>
        </w:r>
      </w:hyperlink>
      <w:r>
        <w:br/>
      </w:r>
      <w:r>
        <w:br/>
        <w:t>There is a lack of prospective, randomized data specifically addressing maintenance rituximab in SMZL, and decisions should be individualized based on patient comorbidities, preferences, and risk of relapse; further research is needed to clarify optimal management.</w:t>
      </w:r>
      <w:hyperlink r:id="rId17" w:history="1">
        <w:r>
          <w:rPr>
            <w:rStyle w:val="Hyperlink"/>
          </w:rPr>
          <w:t>[1]</w:t>
        </w:r>
      </w:hyperlink>
      <w:hyperlink r:id="rId18" w:history="1">
        <w:r>
          <w:rPr>
            <w:rStyle w:val="Hyperlink"/>
          </w:rPr>
          <w:t>[2]</w:t>
        </w:r>
      </w:hyperlink>
      <w:hyperlink r:id="rId19" w:history="1">
        <w:r>
          <w:rPr>
            <w:rStyle w:val="Hyperlink"/>
          </w:rPr>
          <w:t>[3]</w:t>
        </w:r>
      </w:hyperlink>
      <w:hyperlink r:id="rId20" w:history="1">
        <w:r>
          <w:rPr>
            <w:rStyle w:val="Hyperlink"/>
          </w:rPr>
          <w:t>[5]</w:t>
        </w:r>
      </w:hyperlink>
      <w:r>
        <w:t xml:space="preserve"> In the absence of high-risk features (e.g., early relapse, residual disease, or poor prognostic markers), observation is a reasonable approach after achieving a complete metabolic response. Maintenance therapy may be considered in select cases where prolongation of PFS is prioritized, but routine continuation is not universally recommended.</w:t>
      </w:r>
      <w:r>
        <w:br/>
      </w:r>
      <w:r>
        <w:br/>
      </w:r>
      <w:r>
        <w:br/>
        <w:t>Would you like me to summarize the specific high-risk features or prognostic markers in SMZL that might justify ongoing rituximab maintenance, according to the latest literature?</w:t>
      </w:r>
    </w:p>
    <w:p w14:paraId="100A5EA7" w14:textId="77777777" w:rsidR="00BB00A3" w:rsidRDefault="00BB00A3" w:rsidP="00BB00A3">
      <w:pPr>
        <w:pStyle w:val="Heading3"/>
      </w:pPr>
      <w:r>
        <w:t>References</w:t>
      </w:r>
    </w:p>
    <w:p w14:paraId="78DDE430" w14:textId="77777777" w:rsidR="00BB00A3" w:rsidRDefault="00BB00A3" w:rsidP="00BB00A3">
      <w:pPr>
        <w:numPr>
          <w:ilvl w:val="0"/>
          <w:numId w:val="1"/>
        </w:numPr>
        <w:spacing w:before="100" w:beforeAutospacing="1" w:after="100" w:afterAutospacing="1" w:line="240" w:lineRule="auto"/>
      </w:pPr>
      <w:hyperlink r:id="rId21" w:history="1">
        <w:r>
          <w:rPr>
            <w:rStyle w:val="Hyperlink"/>
          </w:rPr>
          <w:t>Should Rituximab Replace Splenectomy in the Management of Splenic Marginal Zone Lymphoma?</w:t>
        </w:r>
      </w:hyperlink>
      <w:r>
        <w:t>. Kalpadakis C, Pangalis GA, Angelopoulou MK, Sachanas S, Vassilakopoulos TP. Best Practice &amp; Research. Clinical Haematology. 2018;31(1):65-72. doi:10.1016/j.beha.2017.10.011.</w:t>
      </w:r>
    </w:p>
    <w:p w14:paraId="7387F620" w14:textId="77777777" w:rsidR="00BB00A3" w:rsidRDefault="00BB00A3" w:rsidP="00BB00A3">
      <w:pPr>
        <w:numPr>
          <w:ilvl w:val="0"/>
          <w:numId w:val="1"/>
        </w:numPr>
        <w:spacing w:before="100" w:beforeAutospacing="1" w:after="100" w:afterAutospacing="1" w:line="240" w:lineRule="auto"/>
      </w:pPr>
      <w:hyperlink r:id="rId22" w:history="1">
        <w:r>
          <w:rPr>
            <w:rStyle w:val="Hyperlink"/>
          </w:rPr>
          <w:t>Marginal-Zone Lymphomas</w:t>
        </w:r>
      </w:hyperlink>
      <w:r>
        <w:t>. Rossi D, Bertoni F, Zucca E. The New England Journal of Medicine. 2022;386(6):568-581. doi:10.1056/NEJMra2102568.</w:t>
      </w:r>
    </w:p>
    <w:p w14:paraId="41FA3105" w14:textId="77777777" w:rsidR="00BB00A3" w:rsidRDefault="00BB00A3" w:rsidP="00BB00A3">
      <w:pPr>
        <w:numPr>
          <w:ilvl w:val="0"/>
          <w:numId w:val="1"/>
        </w:numPr>
        <w:spacing w:before="100" w:beforeAutospacing="1" w:after="100" w:afterAutospacing="1" w:line="240" w:lineRule="auto"/>
      </w:pPr>
      <w:hyperlink r:id="rId23" w:history="1">
        <w:r>
          <w:rPr>
            <w:rStyle w:val="Hyperlink"/>
          </w:rPr>
          <w:t>Randomized Phase 3 Study in Low-Grade Lymphoma Comparing Maintenance Anti-Cd20 Antibody With Observation After Induction Therapy: A Trial of the ECOG-ACRIN Cancer Research Group (E1496)</w:t>
        </w:r>
      </w:hyperlink>
      <w:r>
        <w:t>. Barta SK, Li H, Hochster HS, et al. Cancer. 2016;122(19):2996-3004. doi:10.1002/cncr.30137.</w:t>
      </w:r>
    </w:p>
    <w:p w14:paraId="36376F59" w14:textId="77777777" w:rsidR="00BB00A3" w:rsidRDefault="00BB00A3" w:rsidP="00BB00A3">
      <w:pPr>
        <w:numPr>
          <w:ilvl w:val="0"/>
          <w:numId w:val="1"/>
        </w:numPr>
        <w:spacing w:before="100" w:beforeAutospacing="1" w:after="100" w:afterAutospacing="1" w:line="240" w:lineRule="auto"/>
      </w:pPr>
      <w:hyperlink r:id="rId24" w:history="1">
        <w:r>
          <w:rPr>
            <w:rStyle w:val="Hyperlink"/>
          </w:rPr>
          <w:t>Monoclonal Antibody Therapy for B-Cell Non-Hodgkin's Lymphoma</w:t>
        </w:r>
      </w:hyperlink>
      <w:r>
        <w:t>. Cheson BD, Leonard JP. The New England Journal of Medicine. 2008;359(6):613-26. doi:10.1056/NEJMra0708875.</w:t>
      </w:r>
    </w:p>
    <w:p w14:paraId="07B77DB4" w14:textId="77777777" w:rsidR="00BB00A3" w:rsidRDefault="00BB00A3" w:rsidP="00BB00A3">
      <w:pPr>
        <w:numPr>
          <w:ilvl w:val="0"/>
          <w:numId w:val="1"/>
        </w:numPr>
        <w:spacing w:before="100" w:beforeAutospacing="1" w:after="100" w:afterAutospacing="1" w:line="240" w:lineRule="auto"/>
      </w:pPr>
      <w:hyperlink r:id="rId25" w:history="1">
        <w:r>
          <w:rPr>
            <w:rStyle w:val="Hyperlink"/>
          </w:rPr>
          <w:t>Is There a Role for a Maintenance Rituximab in Indolent Lymphoproliferative Diseases Other Than Follicular Lymphoma?</w:t>
        </w:r>
      </w:hyperlink>
      <w:r>
        <w:t>. Moccia AA, Zucca E, Ghielmini M. Leukemia &amp; Lymphoma. 2017;58(1):30-36. doi:10.1080/10428194.2016.1248963.</w:t>
      </w:r>
    </w:p>
    <w:p w14:paraId="255E2A19" w14:textId="77777777" w:rsidR="00BB00A3" w:rsidRDefault="00BB00A3" w:rsidP="00BB00A3">
      <w:pPr>
        <w:numPr>
          <w:ilvl w:val="0"/>
          <w:numId w:val="1"/>
        </w:numPr>
        <w:spacing w:before="100" w:beforeAutospacing="1" w:after="100" w:afterAutospacing="1" w:line="240" w:lineRule="auto"/>
      </w:pPr>
      <w:hyperlink r:id="rId26" w:history="1">
        <w:r>
          <w:rPr>
            <w:rStyle w:val="Hyperlink"/>
          </w:rPr>
          <w:t>B-Cell Non-Hodgkin Lymphomas</w:t>
        </w:r>
      </w:hyperlink>
      <w:r>
        <w:t>. Silkenstedt E, Salles G, Campo E, Dreyling M. Lancet (London, England). 2024;403(10438):1791-1807. doi:10.1016/S0140-6736(23)02705-8.</w:t>
      </w:r>
    </w:p>
    <w:p w14:paraId="45DE81CC" w14:textId="40917946" w:rsidR="00BB00A3" w:rsidRDefault="00BB00A3">
      <w:r>
        <w:br w:type="page"/>
      </w:r>
    </w:p>
    <w:p w14:paraId="751A9CD7" w14:textId="77777777" w:rsidR="00BB00A3" w:rsidRPr="00BB00A3" w:rsidRDefault="00BB00A3" w:rsidP="00BB00A3">
      <w:pPr>
        <w:spacing w:before="100" w:beforeAutospacing="1" w:after="100" w:afterAutospacing="1"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lastRenderedPageBreak/>
        <w:t xml:space="preserve">This table summarizes evidence regarding </w:t>
      </w:r>
      <w:r w:rsidRPr="00BB00A3">
        <w:rPr>
          <w:rFonts w:ascii="Times New Roman" w:eastAsia="Times New Roman" w:hAnsi="Times New Roman" w:cs="Times New Roman"/>
          <w:b/>
          <w:bCs/>
          <w:kern w:val="0"/>
          <w14:ligatures w14:val="none"/>
        </w:rPr>
        <w:t>continuation vs discontinuation of rituximab maintenance after complete response to rituximab monotherapy in splenic marginal zone lymphoma (SMZL)</w:t>
      </w:r>
      <w:r w:rsidRPr="00BB00A3">
        <w:rPr>
          <w:rFonts w:ascii="Times New Roman" w:eastAsia="Times New Roman" w:hAnsi="Times New Roman" w:cs="Times New Roman"/>
          <w:kern w:val="0"/>
          <w14:ligatures w14:val="none"/>
        </w:rPr>
        <w:t>. Evidence spans from broad indolent lymphoma trials to SMZL-specific retrospective analyses. Guideline and meta-analysis evidence are highlighted in green, while preclinical data (none available here) would appear in brown.</w:t>
      </w:r>
      <w:r w:rsidRPr="00BB00A3">
        <w:rPr>
          <w:rFonts w:ascii="Times New Roman" w:eastAsia="Times New Roman" w:hAnsi="Times New Roman" w:cs="Times New Roman"/>
          <w:kern w:val="0"/>
          <w14:ligatures w14:val="none"/>
        </w:rPr>
        <w:br/>
      </w:r>
      <w:r w:rsidRPr="00BB00A3">
        <w:rPr>
          <w:rFonts w:ascii="Times New Roman" w:eastAsia="Times New Roman" w:hAnsi="Times New Roman" w:cs="Times New Roman"/>
          <w:b/>
          <w:bCs/>
          <w:kern w:val="0"/>
          <w14:ligatures w14:val="none"/>
        </w:rPr>
        <w:t>Recommendation:</w:t>
      </w:r>
      <w:r w:rsidRPr="00BB00A3">
        <w:rPr>
          <w:rFonts w:ascii="Times New Roman" w:eastAsia="Times New Roman" w:hAnsi="Times New Roman" w:cs="Times New Roman"/>
          <w:kern w:val="0"/>
          <w14:ligatures w14:val="none"/>
        </w:rPr>
        <w:t xml:space="preserve"> In patients like the described 82-year-old woman with complete metabolic response and no high-risk features, </w:t>
      </w:r>
      <w:r w:rsidRPr="00BB00A3">
        <w:rPr>
          <w:rFonts w:ascii="Times New Roman" w:eastAsia="Times New Roman" w:hAnsi="Times New Roman" w:cs="Times New Roman"/>
          <w:b/>
          <w:bCs/>
          <w:kern w:val="0"/>
          <w14:ligatures w14:val="none"/>
        </w:rPr>
        <w:t>observation after induction is appropriate</w:t>
      </w:r>
      <w:r w:rsidRPr="00BB00A3">
        <w:rPr>
          <w:rFonts w:ascii="Times New Roman" w:eastAsia="Times New Roman" w:hAnsi="Times New Roman" w:cs="Times New Roman"/>
          <w:kern w:val="0"/>
          <w14:ligatures w14:val="none"/>
        </w:rPr>
        <w:t xml:space="preserve">, as maintenance rituximab improves progression-free survival but </w:t>
      </w:r>
      <w:r w:rsidRPr="00BB00A3">
        <w:rPr>
          <w:rFonts w:ascii="Times New Roman" w:eastAsia="Times New Roman" w:hAnsi="Times New Roman" w:cs="Times New Roman"/>
          <w:b/>
          <w:bCs/>
          <w:kern w:val="0"/>
          <w14:ligatures w14:val="none"/>
        </w:rPr>
        <w:t>does not improve overall survival</w:t>
      </w:r>
      <w:r w:rsidRPr="00BB00A3">
        <w:rPr>
          <w:rFonts w:ascii="Times New Roman" w:eastAsia="Times New Roman" w:hAnsi="Times New Roman" w:cs="Times New Roman"/>
          <w:kern w:val="0"/>
          <w14:ligatures w14:val="none"/>
        </w:rPr>
        <w:t>, and may increase infection risk. Maintenance may be reserved for patients with residual disease or early relapse risk.</w:t>
      </w:r>
    </w:p>
    <w:p w14:paraId="18FFD3AD" w14:textId="77777777" w:rsidR="00BB00A3" w:rsidRPr="00BB00A3" w:rsidRDefault="00F04849" w:rsidP="00BB00A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324194C">
          <v:rect id="_x0000_i1026" alt="" style="width:468pt;height:.05pt;mso-width-percent:0;mso-height-percent:0;mso-width-percent:0;mso-height-percent:0"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1109"/>
        <w:gridCol w:w="2474"/>
        <w:gridCol w:w="1606"/>
        <w:gridCol w:w="1242"/>
        <w:gridCol w:w="2288"/>
      </w:tblGrid>
      <w:tr w:rsidR="00BB00A3" w:rsidRPr="00BB00A3" w14:paraId="105F141D" w14:textId="77777777">
        <w:trPr>
          <w:tblHeader/>
          <w:tblCellSpacing w:w="15" w:type="dxa"/>
        </w:trPr>
        <w:tc>
          <w:tcPr>
            <w:tcW w:w="0" w:type="auto"/>
            <w:vAlign w:val="center"/>
            <w:hideMark/>
          </w:tcPr>
          <w:p w14:paraId="29685928" w14:textId="77777777" w:rsidR="00BB00A3" w:rsidRPr="00BB00A3" w:rsidRDefault="00BB00A3" w:rsidP="00BB00A3">
            <w:pPr>
              <w:spacing w:after="0" w:line="240" w:lineRule="auto"/>
              <w:jc w:val="center"/>
              <w:rPr>
                <w:rFonts w:ascii="Times New Roman" w:eastAsia="Times New Roman" w:hAnsi="Times New Roman" w:cs="Times New Roman"/>
                <w:b/>
                <w:bCs/>
                <w:kern w:val="0"/>
                <w14:ligatures w14:val="none"/>
              </w:rPr>
            </w:pPr>
            <w:r w:rsidRPr="00BB00A3">
              <w:rPr>
                <w:rFonts w:ascii="Times New Roman" w:eastAsia="Times New Roman" w:hAnsi="Times New Roman" w:cs="Times New Roman"/>
                <w:b/>
                <w:bCs/>
                <w:kern w:val="0"/>
                <w14:ligatures w14:val="none"/>
              </w:rPr>
              <w:t>Rank</w:t>
            </w:r>
          </w:p>
        </w:tc>
        <w:tc>
          <w:tcPr>
            <w:tcW w:w="0" w:type="auto"/>
            <w:vAlign w:val="center"/>
            <w:hideMark/>
          </w:tcPr>
          <w:p w14:paraId="23312E0C" w14:textId="77777777" w:rsidR="00BB00A3" w:rsidRPr="00BB00A3" w:rsidRDefault="00BB00A3" w:rsidP="00BB00A3">
            <w:pPr>
              <w:spacing w:after="0" w:line="240" w:lineRule="auto"/>
              <w:jc w:val="center"/>
              <w:rPr>
                <w:rFonts w:ascii="Times New Roman" w:eastAsia="Times New Roman" w:hAnsi="Times New Roman" w:cs="Times New Roman"/>
                <w:b/>
                <w:bCs/>
                <w:kern w:val="0"/>
                <w14:ligatures w14:val="none"/>
              </w:rPr>
            </w:pPr>
            <w:r w:rsidRPr="00BB00A3">
              <w:rPr>
                <w:rFonts w:ascii="Times New Roman" w:eastAsia="Times New Roman" w:hAnsi="Times New Roman" w:cs="Times New Roman"/>
                <w:b/>
                <w:bCs/>
                <w:kern w:val="0"/>
                <w14:ligatures w14:val="none"/>
              </w:rPr>
              <w:t>Level of Evidence</w:t>
            </w:r>
          </w:p>
        </w:tc>
        <w:tc>
          <w:tcPr>
            <w:tcW w:w="0" w:type="auto"/>
            <w:vAlign w:val="center"/>
            <w:hideMark/>
          </w:tcPr>
          <w:p w14:paraId="30C04605" w14:textId="77777777" w:rsidR="00BB00A3" w:rsidRPr="00BB00A3" w:rsidRDefault="00BB00A3" w:rsidP="00BB00A3">
            <w:pPr>
              <w:spacing w:after="0" w:line="240" w:lineRule="auto"/>
              <w:jc w:val="center"/>
              <w:rPr>
                <w:rFonts w:ascii="Times New Roman" w:eastAsia="Times New Roman" w:hAnsi="Times New Roman" w:cs="Times New Roman"/>
                <w:b/>
                <w:bCs/>
                <w:kern w:val="0"/>
                <w14:ligatures w14:val="none"/>
              </w:rPr>
            </w:pPr>
            <w:r w:rsidRPr="00BB00A3">
              <w:rPr>
                <w:rFonts w:ascii="Times New Roman" w:eastAsia="Times New Roman" w:hAnsi="Times New Roman" w:cs="Times New Roman"/>
                <w:b/>
                <w:bCs/>
                <w:kern w:val="0"/>
                <w14:ligatures w14:val="none"/>
              </w:rPr>
              <w:t>Study Title</w:t>
            </w:r>
          </w:p>
        </w:tc>
        <w:tc>
          <w:tcPr>
            <w:tcW w:w="0" w:type="auto"/>
            <w:vAlign w:val="center"/>
            <w:hideMark/>
          </w:tcPr>
          <w:p w14:paraId="5B4B087A" w14:textId="77777777" w:rsidR="00BB00A3" w:rsidRPr="00BB00A3" w:rsidRDefault="00BB00A3" w:rsidP="00BB00A3">
            <w:pPr>
              <w:spacing w:after="0" w:line="240" w:lineRule="auto"/>
              <w:jc w:val="center"/>
              <w:rPr>
                <w:rFonts w:ascii="Times New Roman" w:eastAsia="Times New Roman" w:hAnsi="Times New Roman" w:cs="Times New Roman"/>
                <w:b/>
                <w:bCs/>
                <w:kern w:val="0"/>
                <w14:ligatures w14:val="none"/>
              </w:rPr>
            </w:pPr>
            <w:r w:rsidRPr="00BB00A3">
              <w:rPr>
                <w:rFonts w:ascii="Times New Roman" w:eastAsia="Times New Roman" w:hAnsi="Times New Roman" w:cs="Times New Roman"/>
                <w:b/>
                <w:bCs/>
                <w:kern w:val="0"/>
                <w14:ligatures w14:val="none"/>
              </w:rPr>
              <w:t>Authors</w:t>
            </w:r>
          </w:p>
        </w:tc>
        <w:tc>
          <w:tcPr>
            <w:tcW w:w="0" w:type="auto"/>
            <w:vAlign w:val="center"/>
            <w:hideMark/>
          </w:tcPr>
          <w:p w14:paraId="68912847" w14:textId="77777777" w:rsidR="00BB00A3" w:rsidRPr="00BB00A3" w:rsidRDefault="00BB00A3" w:rsidP="00BB00A3">
            <w:pPr>
              <w:spacing w:after="0" w:line="240" w:lineRule="auto"/>
              <w:jc w:val="center"/>
              <w:rPr>
                <w:rFonts w:ascii="Times New Roman" w:eastAsia="Times New Roman" w:hAnsi="Times New Roman" w:cs="Times New Roman"/>
                <w:b/>
                <w:bCs/>
                <w:kern w:val="0"/>
                <w14:ligatures w14:val="none"/>
              </w:rPr>
            </w:pPr>
            <w:r w:rsidRPr="00BB00A3">
              <w:rPr>
                <w:rFonts w:ascii="Times New Roman" w:eastAsia="Times New Roman" w:hAnsi="Times New Roman" w:cs="Times New Roman"/>
                <w:b/>
                <w:bCs/>
                <w:kern w:val="0"/>
                <w14:ligatures w14:val="none"/>
              </w:rPr>
              <w:t>Journal (Year)</w:t>
            </w:r>
          </w:p>
        </w:tc>
        <w:tc>
          <w:tcPr>
            <w:tcW w:w="0" w:type="auto"/>
            <w:vAlign w:val="center"/>
            <w:hideMark/>
          </w:tcPr>
          <w:p w14:paraId="23C32494" w14:textId="77777777" w:rsidR="00BB00A3" w:rsidRPr="00BB00A3" w:rsidRDefault="00BB00A3" w:rsidP="00BB00A3">
            <w:pPr>
              <w:spacing w:after="0" w:line="240" w:lineRule="auto"/>
              <w:jc w:val="center"/>
              <w:rPr>
                <w:rFonts w:ascii="Times New Roman" w:eastAsia="Times New Roman" w:hAnsi="Times New Roman" w:cs="Times New Roman"/>
                <w:b/>
                <w:bCs/>
                <w:kern w:val="0"/>
                <w14:ligatures w14:val="none"/>
              </w:rPr>
            </w:pPr>
            <w:r w:rsidRPr="00BB00A3">
              <w:rPr>
                <w:rFonts w:ascii="Times New Roman" w:eastAsia="Times New Roman" w:hAnsi="Times New Roman" w:cs="Times New Roman"/>
                <w:b/>
                <w:bCs/>
                <w:kern w:val="0"/>
                <w14:ligatures w14:val="none"/>
              </w:rPr>
              <w:t>Notes</w:t>
            </w:r>
          </w:p>
        </w:tc>
      </w:tr>
      <w:tr w:rsidR="00BB00A3" w:rsidRPr="00BB00A3" w14:paraId="59A2B9CF" w14:textId="77777777">
        <w:trPr>
          <w:tblCellSpacing w:w="15" w:type="dxa"/>
        </w:trPr>
        <w:tc>
          <w:tcPr>
            <w:tcW w:w="0" w:type="auto"/>
            <w:vAlign w:val="center"/>
            <w:hideMark/>
          </w:tcPr>
          <w:p w14:paraId="2A9367EA"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1</w:t>
            </w:r>
          </w:p>
        </w:tc>
        <w:tc>
          <w:tcPr>
            <w:tcW w:w="0" w:type="auto"/>
            <w:vAlign w:val="center"/>
            <w:hideMark/>
          </w:tcPr>
          <w:p w14:paraId="74064B8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Guideline</w:t>
            </w:r>
          </w:p>
        </w:tc>
        <w:tc>
          <w:tcPr>
            <w:tcW w:w="0" w:type="auto"/>
            <w:vAlign w:val="center"/>
            <w:hideMark/>
          </w:tcPr>
          <w:p w14:paraId="308B895A"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B-Cell Non-Hodgkin Lymphomas</w:t>
            </w:r>
          </w:p>
        </w:tc>
        <w:tc>
          <w:tcPr>
            <w:tcW w:w="0" w:type="auto"/>
            <w:vAlign w:val="center"/>
            <w:hideMark/>
          </w:tcPr>
          <w:p w14:paraId="74211457"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Silkenstedt E, Salles G, Campo E, Dreyling M</w:t>
            </w:r>
          </w:p>
        </w:tc>
        <w:tc>
          <w:tcPr>
            <w:tcW w:w="0" w:type="auto"/>
            <w:vAlign w:val="center"/>
            <w:hideMark/>
          </w:tcPr>
          <w:p w14:paraId="341634DC"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Lancet</w:t>
            </w:r>
            <w:r w:rsidRPr="00BB00A3">
              <w:rPr>
                <w:rFonts w:ascii="Times New Roman" w:eastAsia="Times New Roman" w:hAnsi="Times New Roman" w:cs="Times New Roman"/>
                <w:kern w:val="0"/>
                <w14:ligatures w14:val="none"/>
              </w:rPr>
              <w:t xml:space="preserve"> (2024)</w:t>
            </w:r>
          </w:p>
        </w:tc>
        <w:tc>
          <w:tcPr>
            <w:tcW w:w="0" w:type="auto"/>
            <w:vAlign w:val="center"/>
            <w:hideMark/>
          </w:tcPr>
          <w:p w14:paraId="52F69AF0"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NCCN/ESMO-aligned summary: Maintenance rituximab optional in indolent NHL; no OS benefit; observation reasonable after CR. Applies to SMZL.</w:t>
            </w:r>
          </w:p>
        </w:tc>
      </w:tr>
      <w:tr w:rsidR="00BB00A3" w:rsidRPr="00BB00A3" w14:paraId="00714071" w14:textId="77777777">
        <w:trPr>
          <w:tblCellSpacing w:w="15" w:type="dxa"/>
        </w:trPr>
        <w:tc>
          <w:tcPr>
            <w:tcW w:w="0" w:type="auto"/>
            <w:vAlign w:val="center"/>
            <w:hideMark/>
          </w:tcPr>
          <w:p w14:paraId="52BF251F"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2</w:t>
            </w:r>
          </w:p>
        </w:tc>
        <w:tc>
          <w:tcPr>
            <w:tcW w:w="0" w:type="auto"/>
            <w:vAlign w:val="center"/>
            <w:hideMark/>
          </w:tcPr>
          <w:p w14:paraId="09FFF7D2"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Meta-analysis</w:t>
            </w:r>
          </w:p>
        </w:tc>
        <w:tc>
          <w:tcPr>
            <w:tcW w:w="0" w:type="auto"/>
            <w:vAlign w:val="center"/>
            <w:hideMark/>
          </w:tcPr>
          <w:p w14:paraId="3BD2F9CC"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(No dedicated meta-analysis for SMZL maintenance rituximab identified)</w:t>
            </w:r>
          </w:p>
        </w:tc>
        <w:tc>
          <w:tcPr>
            <w:tcW w:w="0" w:type="auto"/>
            <w:vAlign w:val="center"/>
            <w:hideMark/>
          </w:tcPr>
          <w:p w14:paraId="27C5DE07"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6CE380FE"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6ED870EE"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Placeholder: No pooled analysis specific to SMZL; evidence extrapolated from indolent lymphoma studies (esp. FL).</w:t>
            </w:r>
          </w:p>
        </w:tc>
      </w:tr>
      <w:tr w:rsidR="00BB00A3" w:rsidRPr="00BB00A3" w14:paraId="424E8B99" w14:textId="77777777">
        <w:trPr>
          <w:tblCellSpacing w:w="15" w:type="dxa"/>
        </w:trPr>
        <w:tc>
          <w:tcPr>
            <w:tcW w:w="0" w:type="auto"/>
            <w:vAlign w:val="center"/>
            <w:hideMark/>
          </w:tcPr>
          <w:p w14:paraId="13C1EAC6"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3</w:t>
            </w:r>
          </w:p>
        </w:tc>
        <w:tc>
          <w:tcPr>
            <w:tcW w:w="0" w:type="auto"/>
            <w:vAlign w:val="center"/>
            <w:hideMark/>
          </w:tcPr>
          <w:p w14:paraId="1158587E"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Phase 3 (P3) Trial</w:t>
            </w:r>
          </w:p>
        </w:tc>
        <w:tc>
          <w:tcPr>
            <w:tcW w:w="0" w:type="auto"/>
            <w:vAlign w:val="center"/>
            <w:hideMark/>
          </w:tcPr>
          <w:p w14:paraId="05479F59"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E1496: Maintenance Anti-CD20 vs Observation After Induction in Low-Grade Lymphoma</w:t>
            </w:r>
          </w:p>
        </w:tc>
        <w:tc>
          <w:tcPr>
            <w:tcW w:w="0" w:type="auto"/>
            <w:vAlign w:val="center"/>
            <w:hideMark/>
          </w:tcPr>
          <w:p w14:paraId="27B8D2B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Barta SK, Li H, Hochster HS, et al.</w:t>
            </w:r>
          </w:p>
        </w:tc>
        <w:tc>
          <w:tcPr>
            <w:tcW w:w="0" w:type="auto"/>
            <w:vAlign w:val="center"/>
            <w:hideMark/>
          </w:tcPr>
          <w:p w14:paraId="787798B7"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Cancer</w:t>
            </w:r>
            <w:r w:rsidRPr="00BB00A3">
              <w:rPr>
                <w:rFonts w:ascii="Times New Roman" w:eastAsia="Times New Roman" w:hAnsi="Times New Roman" w:cs="Times New Roman"/>
                <w:kern w:val="0"/>
                <w14:ligatures w14:val="none"/>
              </w:rPr>
              <w:t xml:space="preserve"> (2016)</w:t>
            </w:r>
          </w:p>
        </w:tc>
        <w:tc>
          <w:tcPr>
            <w:tcW w:w="0" w:type="auto"/>
            <w:vAlign w:val="center"/>
            <w:hideMark/>
          </w:tcPr>
          <w:p w14:paraId="1F2AA6D2"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P3 trial (n=511): maintenance improved PFS (68%→76%) but no OS benefit. Not SMZL-specific but includes similar biology.</w:t>
            </w:r>
          </w:p>
        </w:tc>
      </w:tr>
      <w:tr w:rsidR="00BB00A3" w:rsidRPr="00BB00A3" w14:paraId="10866A30" w14:textId="77777777">
        <w:trPr>
          <w:tblCellSpacing w:w="15" w:type="dxa"/>
        </w:trPr>
        <w:tc>
          <w:tcPr>
            <w:tcW w:w="0" w:type="auto"/>
            <w:vAlign w:val="center"/>
            <w:hideMark/>
          </w:tcPr>
          <w:p w14:paraId="5A4E4718"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4</w:t>
            </w:r>
          </w:p>
        </w:tc>
        <w:tc>
          <w:tcPr>
            <w:tcW w:w="0" w:type="auto"/>
            <w:vAlign w:val="center"/>
            <w:hideMark/>
          </w:tcPr>
          <w:p w14:paraId="080A4DBF"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Phase 2 (P2) Trial</w:t>
            </w:r>
          </w:p>
        </w:tc>
        <w:tc>
          <w:tcPr>
            <w:tcW w:w="0" w:type="auto"/>
            <w:vAlign w:val="center"/>
            <w:hideMark/>
          </w:tcPr>
          <w:p w14:paraId="0E554CB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(No P2 trials specific to SMZL maintenance rituximab)</w:t>
            </w:r>
          </w:p>
        </w:tc>
        <w:tc>
          <w:tcPr>
            <w:tcW w:w="0" w:type="auto"/>
            <w:vAlign w:val="center"/>
            <w:hideMark/>
          </w:tcPr>
          <w:p w14:paraId="796BCD88"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37B8D33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488AD126"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Placeholder: No SMZL-specific prospective P2 data; extrapolated from follicular/MALT lymphoma cohorts.</w:t>
            </w:r>
          </w:p>
        </w:tc>
      </w:tr>
      <w:tr w:rsidR="00BB00A3" w:rsidRPr="00BB00A3" w14:paraId="5CE19FC8" w14:textId="77777777">
        <w:trPr>
          <w:tblCellSpacing w:w="15" w:type="dxa"/>
        </w:trPr>
        <w:tc>
          <w:tcPr>
            <w:tcW w:w="0" w:type="auto"/>
            <w:vAlign w:val="center"/>
            <w:hideMark/>
          </w:tcPr>
          <w:p w14:paraId="0FA45C94"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5</w:t>
            </w:r>
          </w:p>
        </w:tc>
        <w:tc>
          <w:tcPr>
            <w:tcW w:w="0" w:type="auto"/>
            <w:vAlign w:val="center"/>
            <w:hideMark/>
          </w:tcPr>
          <w:p w14:paraId="2F804287"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Phase 1 (P1) Trial</w:t>
            </w:r>
          </w:p>
        </w:tc>
        <w:tc>
          <w:tcPr>
            <w:tcW w:w="0" w:type="auto"/>
            <w:vAlign w:val="center"/>
            <w:hideMark/>
          </w:tcPr>
          <w:p w14:paraId="668507B0"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(No relevant P1 data)</w:t>
            </w:r>
          </w:p>
        </w:tc>
        <w:tc>
          <w:tcPr>
            <w:tcW w:w="0" w:type="auto"/>
            <w:vAlign w:val="center"/>
            <w:hideMark/>
          </w:tcPr>
          <w:p w14:paraId="1884D23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3A8060D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6A0F028C"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Placeholder row.</w:t>
            </w:r>
          </w:p>
        </w:tc>
      </w:tr>
      <w:tr w:rsidR="00BB00A3" w:rsidRPr="00BB00A3" w14:paraId="71F0218E" w14:textId="77777777">
        <w:trPr>
          <w:tblCellSpacing w:w="15" w:type="dxa"/>
        </w:trPr>
        <w:tc>
          <w:tcPr>
            <w:tcW w:w="0" w:type="auto"/>
            <w:vAlign w:val="center"/>
            <w:hideMark/>
          </w:tcPr>
          <w:p w14:paraId="56BB9D36"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lastRenderedPageBreak/>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6</w:t>
            </w:r>
          </w:p>
        </w:tc>
        <w:tc>
          <w:tcPr>
            <w:tcW w:w="0" w:type="auto"/>
            <w:vAlign w:val="center"/>
            <w:hideMark/>
          </w:tcPr>
          <w:p w14:paraId="768B0D7C"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Large Cohort Study</w:t>
            </w:r>
          </w:p>
        </w:tc>
        <w:tc>
          <w:tcPr>
            <w:tcW w:w="0" w:type="auto"/>
            <w:vAlign w:val="center"/>
            <w:hideMark/>
          </w:tcPr>
          <w:p w14:paraId="4F914B54"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Should Rituximab Replace Splenectomy in the Management of Splenic Marginal Zone Lymphoma?</w:t>
            </w:r>
          </w:p>
        </w:tc>
        <w:tc>
          <w:tcPr>
            <w:tcW w:w="0" w:type="auto"/>
            <w:vAlign w:val="center"/>
            <w:hideMark/>
          </w:tcPr>
          <w:p w14:paraId="1403A3F8"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Kalpadakis C, Pangalis GA, Angelopoulou MK, et al.</w:t>
            </w:r>
          </w:p>
        </w:tc>
        <w:tc>
          <w:tcPr>
            <w:tcW w:w="0" w:type="auto"/>
            <w:vAlign w:val="center"/>
            <w:hideMark/>
          </w:tcPr>
          <w:p w14:paraId="6AB61B63"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Best Pract Res Clin Haematol</w:t>
            </w:r>
            <w:r w:rsidRPr="00BB00A3">
              <w:rPr>
                <w:rFonts w:ascii="Times New Roman" w:eastAsia="Times New Roman" w:hAnsi="Times New Roman" w:cs="Times New Roman"/>
                <w:kern w:val="0"/>
                <w14:ligatures w14:val="none"/>
              </w:rPr>
              <w:t xml:space="preserve"> (2018)</w:t>
            </w:r>
          </w:p>
        </w:tc>
        <w:tc>
          <w:tcPr>
            <w:tcW w:w="0" w:type="auto"/>
            <w:vAlign w:val="center"/>
            <w:hideMark/>
          </w:tcPr>
          <w:p w14:paraId="67458AF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Retrospective multicenter: 7-yr PFS 75% with maintenance vs 39% without; no OS difference; increased infections noted.</w:t>
            </w:r>
          </w:p>
        </w:tc>
      </w:tr>
      <w:tr w:rsidR="00BB00A3" w:rsidRPr="00BB00A3" w14:paraId="3E8B0222" w14:textId="77777777">
        <w:trPr>
          <w:tblCellSpacing w:w="15" w:type="dxa"/>
        </w:trPr>
        <w:tc>
          <w:tcPr>
            <w:tcW w:w="0" w:type="auto"/>
            <w:vAlign w:val="center"/>
            <w:hideMark/>
          </w:tcPr>
          <w:p w14:paraId="244434E8"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7</w:t>
            </w:r>
          </w:p>
        </w:tc>
        <w:tc>
          <w:tcPr>
            <w:tcW w:w="0" w:type="auto"/>
            <w:vAlign w:val="center"/>
            <w:hideMark/>
          </w:tcPr>
          <w:p w14:paraId="67AE668B"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Cohort Study</w:t>
            </w:r>
          </w:p>
        </w:tc>
        <w:tc>
          <w:tcPr>
            <w:tcW w:w="0" w:type="auto"/>
            <w:vAlign w:val="center"/>
            <w:hideMark/>
          </w:tcPr>
          <w:p w14:paraId="28A0E087"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Is There a Role for Maintenance Rituximab in Indolent Lymphoproliferative Diseases Other Than Follicular Lymphoma?</w:t>
            </w:r>
          </w:p>
        </w:tc>
        <w:tc>
          <w:tcPr>
            <w:tcW w:w="0" w:type="auto"/>
            <w:vAlign w:val="center"/>
            <w:hideMark/>
          </w:tcPr>
          <w:p w14:paraId="3ED26273"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Moccia AA, Zucca E, Ghielmini M</w:t>
            </w:r>
          </w:p>
        </w:tc>
        <w:tc>
          <w:tcPr>
            <w:tcW w:w="0" w:type="auto"/>
            <w:vAlign w:val="center"/>
            <w:hideMark/>
          </w:tcPr>
          <w:p w14:paraId="2817B397"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Leuk Lymphoma</w:t>
            </w:r>
            <w:r w:rsidRPr="00BB00A3">
              <w:rPr>
                <w:rFonts w:ascii="Times New Roman" w:eastAsia="Times New Roman" w:hAnsi="Times New Roman" w:cs="Times New Roman"/>
                <w:kern w:val="0"/>
                <w14:ligatures w14:val="none"/>
              </w:rPr>
              <w:t xml:space="preserve"> (2017)</w:t>
            </w:r>
          </w:p>
        </w:tc>
        <w:tc>
          <w:tcPr>
            <w:tcW w:w="0" w:type="auto"/>
            <w:vAlign w:val="center"/>
            <w:hideMark/>
          </w:tcPr>
          <w:p w14:paraId="30516B38"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Review of institutional cohorts: inconsistent benefit in SMZL; prolonged PFS without OS gain; patient selection key.</w:t>
            </w:r>
          </w:p>
        </w:tc>
      </w:tr>
      <w:tr w:rsidR="00BB00A3" w:rsidRPr="00BB00A3" w14:paraId="2EC319E5" w14:textId="77777777">
        <w:trPr>
          <w:tblCellSpacing w:w="15" w:type="dxa"/>
        </w:trPr>
        <w:tc>
          <w:tcPr>
            <w:tcW w:w="0" w:type="auto"/>
            <w:vAlign w:val="center"/>
            <w:hideMark/>
          </w:tcPr>
          <w:p w14:paraId="75DDB46E"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Apple Color Emoji" w:eastAsia="Times New Roman" w:hAnsi="Apple Color Emoji" w:cs="Apple Color Emoji"/>
                <w:kern w:val="0"/>
                <w14:ligatures w14:val="none"/>
              </w:rPr>
              <w:t>🟫</w:t>
            </w:r>
            <w:r w:rsidRPr="00BB00A3">
              <w:rPr>
                <w:rFonts w:ascii="Times New Roman" w:eastAsia="Times New Roman" w:hAnsi="Times New Roman" w:cs="Times New Roman"/>
                <w:kern w:val="0"/>
                <w14:ligatures w14:val="none"/>
              </w:rPr>
              <w:t xml:space="preserve"> </w:t>
            </w:r>
            <w:r w:rsidRPr="00BB00A3">
              <w:rPr>
                <w:rFonts w:ascii="Times New Roman" w:eastAsia="Times New Roman" w:hAnsi="Times New Roman" w:cs="Times New Roman"/>
                <w:b/>
                <w:bCs/>
                <w:kern w:val="0"/>
                <w14:ligatures w14:val="none"/>
              </w:rPr>
              <w:t>8</w:t>
            </w:r>
          </w:p>
        </w:tc>
        <w:tc>
          <w:tcPr>
            <w:tcW w:w="0" w:type="auto"/>
            <w:vAlign w:val="center"/>
            <w:hideMark/>
          </w:tcPr>
          <w:p w14:paraId="555FD73F"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b/>
                <w:bCs/>
                <w:kern w:val="0"/>
                <w14:ligatures w14:val="none"/>
              </w:rPr>
              <w:t>Animal Model</w:t>
            </w:r>
          </w:p>
        </w:tc>
        <w:tc>
          <w:tcPr>
            <w:tcW w:w="0" w:type="auto"/>
            <w:vAlign w:val="center"/>
            <w:hideMark/>
          </w:tcPr>
          <w:p w14:paraId="58D16C51"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i/>
                <w:iCs/>
                <w:kern w:val="0"/>
                <w14:ligatures w14:val="none"/>
              </w:rPr>
              <w:t>(No animal data relevant)</w:t>
            </w:r>
          </w:p>
        </w:tc>
        <w:tc>
          <w:tcPr>
            <w:tcW w:w="0" w:type="auto"/>
            <w:vAlign w:val="center"/>
            <w:hideMark/>
          </w:tcPr>
          <w:p w14:paraId="753556DC"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1A52244B"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w:t>
            </w:r>
          </w:p>
        </w:tc>
        <w:tc>
          <w:tcPr>
            <w:tcW w:w="0" w:type="auto"/>
            <w:vAlign w:val="center"/>
            <w:hideMark/>
          </w:tcPr>
          <w:p w14:paraId="5C471A26" w14:textId="77777777" w:rsidR="00BB00A3" w:rsidRPr="00BB00A3" w:rsidRDefault="00BB00A3" w:rsidP="00BB00A3">
            <w:pPr>
              <w:spacing w:after="0"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Placeholder row.</w:t>
            </w:r>
          </w:p>
        </w:tc>
      </w:tr>
    </w:tbl>
    <w:p w14:paraId="0DC523DC" w14:textId="77777777" w:rsidR="00BB00A3" w:rsidRPr="00BB00A3" w:rsidRDefault="00F04849" w:rsidP="00BB00A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8C4A288">
          <v:rect id="_x0000_i1025" alt="" style="width:468pt;height:.05pt;mso-width-percent:0;mso-height-percent:0;mso-width-percent:0;mso-height-percent:0" o:hralign="center" o:hrstd="t" o:hr="t" fillcolor="#a0a0a0" stroked="f"/>
        </w:pict>
      </w:r>
    </w:p>
    <w:p w14:paraId="5EFD7534" w14:textId="77777777" w:rsidR="00BB00A3" w:rsidRPr="00BB00A3" w:rsidRDefault="00BB00A3" w:rsidP="00BB00A3">
      <w:pPr>
        <w:spacing w:before="100" w:beforeAutospacing="1" w:after="100" w:afterAutospacing="1" w:line="240" w:lineRule="auto"/>
        <w:rPr>
          <w:rFonts w:ascii="Times New Roman" w:eastAsia="Times New Roman" w:hAnsi="Times New Roman" w:cs="Times New Roman"/>
          <w:kern w:val="0"/>
          <w14:ligatures w14:val="none"/>
        </w:rPr>
      </w:pPr>
      <w:r w:rsidRPr="00BB00A3">
        <w:rPr>
          <w:rFonts w:ascii="Times New Roman" w:eastAsia="Times New Roman" w:hAnsi="Times New Roman" w:cs="Times New Roman"/>
          <w:kern w:val="0"/>
          <w14:ligatures w14:val="none"/>
        </w:rPr>
        <w:t xml:space="preserve">Would you like me to append a </w:t>
      </w:r>
      <w:r w:rsidRPr="00BB00A3">
        <w:rPr>
          <w:rFonts w:ascii="Times New Roman" w:eastAsia="Times New Roman" w:hAnsi="Times New Roman" w:cs="Times New Roman"/>
          <w:b/>
          <w:bCs/>
          <w:kern w:val="0"/>
          <w14:ligatures w14:val="none"/>
        </w:rPr>
        <w:t>summary box of “high-risk features or prognostic markers in SMZL”</w:t>
      </w:r>
      <w:r w:rsidRPr="00BB00A3">
        <w:rPr>
          <w:rFonts w:ascii="Times New Roman" w:eastAsia="Times New Roman" w:hAnsi="Times New Roman" w:cs="Times New Roman"/>
          <w:kern w:val="0"/>
          <w14:ligatures w14:val="none"/>
        </w:rPr>
        <w:t xml:space="preserve"> (e.g., TP53 mutation, high LDH, early relapse, or nodal involvement) that might justify maintenance therapy continuation?</w:t>
      </w:r>
    </w:p>
    <w:p w14:paraId="27E63B7D" w14:textId="183F3B0A" w:rsidR="00BB00A3" w:rsidRDefault="00BB00A3">
      <w:r>
        <w:br w:type="page"/>
      </w:r>
    </w:p>
    <w:p w14:paraId="77E379F3" w14:textId="77777777" w:rsidR="00BB00A3" w:rsidRDefault="00BB00A3" w:rsidP="00BB00A3">
      <w:pPr>
        <w:pStyle w:val="NormalWeb"/>
      </w:pPr>
      <w:r>
        <w:lastRenderedPageBreak/>
        <w:t>Short answer: either plan is acceptable—but after a complete metabolic response to 4 weekly doses of rituximab, it’s reasonable to stop now and observe. Maintenance rituximab mainly lengthens the time until the next treatment; it has not shown a survival advantage in marginal zone lymphoma and increases cumulative immunosuppression. If Linda prefers fewer clinic visits and lower infection risk, choose observation with retreatment at relapse; if she strongly wants to delay the next therapy even at the cost of more infusions and higher hypogammaglobulinemia/infection risk, maintenance is an option.</w:t>
      </w:r>
    </w:p>
    <w:p w14:paraId="6CCA6865" w14:textId="77777777" w:rsidR="00BB00A3" w:rsidRDefault="00BB00A3" w:rsidP="00BB00A3">
      <w:pPr>
        <w:pStyle w:val="NormalWeb"/>
      </w:pPr>
      <w:r>
        <w:t>Why I’m saying this (evidence in brief)</w:t>
      </w:r>
    </w:p>
    <w:p w14:paraId="2C13D3F8" w14:textId="77777777" w:rsidR="00BB00A3" w:rsidRDefault="00BB00A3" w:rsidP="00BB00A3">
      <w:pPr>
        <w:pStyle w:val="NormalWeb"/>
        <w:numPr>
          <w:ilvl w:val="0"/>
          <w:numId w:val="2"/>
        </w:numPr>
      </w:pPr>
      <w:r>
        <w:t xml:space="preserve">In indolent MZL/SLL patients who responded to 4 weekly rituximab, the randomized RESORT study found maintenance rituximab (one dose q3 months) significantly prolonged time-to-treatment-failure vs retreat-at-progression, but </w:t>
      </w:r>
      <w:r>
        <w:rPr>
          <w:rStyle w:val="Strong"/>
          <w:rFonts w:eastAsiaTheme="majorEastAsia"/>
        </w:rPr>
        <w:t>overall survival was the same</w:t>
      </w:r>
      <w:r>
        <w:t>; maintenance required ~3× more rituximab doses. (</w:t>
      </w:r>
      <w:hyperlink r:id="rId27" w:tooltip="&#10;            Rituximab Extended Schedule or Retreatment Trial (RESORT) for Low Tumor Burden non-Follicular Indolent B-cell Non-Hodgkin Lymphomas: Eastern Cooperative Oncology Group Protocol E4402 - PMC&#10;        " w:history="1">
        <w:r>
          <w:rPr>
            <w:rStyle w:val="Hyperlink"/>
            <w:rFonts w:eastAsiaTheme="majorEastAsia"/>
          </w:rPr>
          <w:t>PMC</w:t>
        </w:r>
      </w:hyperlink>
      <w:r>
        <w:t>)</w:t>
      </w:r>
    </w:p>
    <w:p w14:paraId="0FB78C84" w14:textId="77777777" w:rsidR="00BB00A3" w:rsidRDefault="00BB00A3" w:rsidP="00BB00A3">
      <w:pPr>
        <w:pStyle w:val="NormalWeb"/>
        <w:numPr>
          <w:ilvl w:val="0"/>
          <w:numId w:val="2"/>
        </w:numPr>
      </w:pPr>
      <w:r>
        <w:t xml:space="preserve">SMZL series suggest maintenance after rituximab induction </w:t>
      </w:r>
      <w:r>
        <w:rPr>
          <w:rStyle w:val="Strong"/>
          <w:rFonts w:eastAsiaTheme="majorEastAsia"/>
        </w:rPr>
        <w:t>improves PFS</w:t>
      </w:r>
      <w:r>
        <w:t xml:space="preserve"> (e.g., ~84% vs 36% 5-yr PFS with vs without maintenance in one long-term cohort), but no OS signal. (</w:t>
      </w:r>
      <w:hyperlink r:id="rId28" w:tooltip="Treatment of Splenic Marginal Zone Lymphoma With ..." w:history="1">
        <w:r>
          <w:rPr>
            <w:rStyle w:val="Hyperlink"/>
            <w:rFonts w:eastAsiaTheme="majorEastAsia"/>
          </w:rPr>
          <w:t>PMC</w:t>
        </w:r>
      </w:hyperlink>
      <w:r>
        <w:t>)</w:t>
      </w:r>
    </w:p>
    <w:p w14:paraId="0F965901" w14:textId="77777777" w:rsidR="00BB00A3" w:rsidRDefault="00BB00A3" w:rsidP="00BB00A3">
      <w:pPr>
        <w:pStyle w:val="NormalWeb"/>
        <w:numPr>
          <w:ilvl w:val="0"/>
          <w:numId w:val="2"/>
        </w:numPr>
      </w:pPr>
      <w:r>
        <w:t xml:space="preserve">Guidelines reflect this nuance: ESMO notes the </w:t>
      </w:r>
      <w:r>
        <w:rPr>
          <w:rStyle w:val="Strong"/>
          <w:rFonts w:eastAsiaTheme="majorEastAsia"/>
        </w:rPr>
        <w:t>need for maintenance is controversial with no OS benefit</w:t>
      </w:r>
      <w:r>
        <w:t>; NCCN patient guidance allows maintenance after rituximab monotherapy but does not require it. (</w:t>
      </w:r>
      <w:hyperlink r:id="rId29" w:tooltip="Marginal zone lymphomas: ESMO Clinical Practice ..." w:history="1">
        <w:r>
          <w:rPr>
            <w:rStyle w:val="Hyperlink"/>
            <w:rFonts w:eastAsiaTheme="majorEastAsia"/>
          </w:rPr>
          <w:t>Annals of Oncology</w:t>
        </w:r>
      </w:hyperlink>
      <w:r>
        <w:t>)</w:t>
      </w:r>
    </w:p>
    <w:p w14:paraId="15E145EB" w14:textId="77777777" w:rsidR="00BB00A3" w:rsidRDefault="00BB00A3" w:rsidP="00BB00A3">
      <w:pPr>
        <w:pStyle w:val="NormalWeb"/>
      </w:pPr>
      <w:r>
        <w:t>How to choose for Linda (82, SMZL, PET/CT CR, June–Sept 2025)</w:t>
      </w:r>
    </w:p>
    <w:p w14:paraId="7E4417F1" w14:textId="77777777" w:rsidR="00BB00A3" w:rsidRDefault="00BB00A3" w:rsidP="00BB00A3">
      <w:pPr>
        <w:pStyle w:val="NormalWeb"/>
        <w:numPr>
          <w:ilvl w:val="0"/>
          <w:numId w:val="3"/>
        </w:numPr>
      </w:pPr>
      <w:r>
        <w:rPr>
          <w:rStyle w:val="Strong"/>
          <w:rFonts w:eastAsiaTheme="majorEastAsia"/>
        </w:rPr>
        <w:t>Favors stopping now (active surveillance):</w:t>
      </w:r>
      <w:r>
        <w:t xml:space="preserve"> complete metabolic response; advanced age; wishes to minimize visits/infections; steroid-sensitive asthma (any respiratory infection is higher-impact); maintenance offers no OS gain and increases cumulative B-cell depletion. (Typical plan: clinic + CBC every 3–4 months for 2 years, then space out; reimage only for symptoms/labs.)</w:t>
      </w:r>
    </w:p>
    <w:p w14:paraId="15577502" w14:textId="77777777" w:rsidR="00BB00A3" w:rsidRDefault="00BB00A3" w:rsidP="00BB00A3">
      <w:pPr>
        <w:pStyle w:val="NormalWeb"/>
        <w:numPr>
          <w:ilvl w:val="0"/>
          <w:numId w:val="3"/>
        </w:numPr>
      </w:pPr>
      <w:r>
        <w:rPr>
          <w:rStyle w:val="Strong"/>
          <w:rFonts w:eastAsiaTheme="majorEastAsia"/>
        </w:rPr>
        <w:t>Favors maintenance (time-to-next-treatment focus):</w:t>
      </w:r>
      <w:r>
        <w:t xml:space="preserve"> high anxiety about relapse; willingness to accept more infusions and potential infections. Common schedules used: </w:t>
      </w:r>
      <w:r>
        <w:rPr>
          <w:rStyle w:val="Strong"/>
          <w:rFonts w:eastAsiaTheme="majorEastAsia"/>
        </w:rPr>
        <w:t>375 mg/m² IV every 2–3 months for 1–2 years</w:t>
      </w:r>
      <w:r>
        <w:t xml:space="preserve"> (trial schedules vary: q3mo in RESORT; many SMZL series q2–3mo). (</w:t>
      </w:r>
      <w:hyperlink r:id="rId30" w:tooltip="&#10;            Rituximab Extended Schedule or Retreatment Trial (RESORT) for Low Tumor Burden non-Follicular Indolent B-cell Non-Hodgkin Lymphomas: Eastern Cooperative Oncology Group Protocol E4402 - PMC&#10;        " w:history="1">
        <w:r>
          <w:rPr>
            <w:rStyle w:val="Hyperlink"/>
            <w:rFonts w:eastAsiaTheme="majorEastAsia"/>
          </w:rPr>
          <w:t>PMC</w:t>
        </w:r>
      </w:hyperlink>
      <w:r>
        <w:t>)</w:t>
      </w:r>
    </w:p>
    <w:p w14:paraId="57309C53" w14:textId="77777777" w:rsidR="00BB00A3" w:rsidRDefault="00BB00A3" w:rsidP="00BB00A3">
      <w:pPr>
        <w:pStyle w:val="NormalWeb"/>
      </w:pPr>
      <w:r>
        <w:t>My recommendation</w:t>
      </w:r>
      <w:r>
        <w:br/>
        <w:t xml:space="preserve">Given her CR, age, comorbidities, and the absence of a survival benefit from maintenance, I would </w:t>
      </w:r>
      <w:r>
        <w:rPr>
          <w:rStyle w:val="Strong"/>
          <w:rFonts w:eastAsiaTheme="majorEastAsia"/>
        </w:rPr>
        <w:t>stop rituximab now and observe</w:t>
      </w:r>
      <w:r>
        <w:t xml:space="preserve">, with a low threshold to </w:t>
      </w:r>
      <w:r>
        <w:rPr>
          <w:rStyle w:val="Strong"/>
          <w:rFonts w:eastAsiaTheme="majorEastAsia"/>
        </w:rPr>
        <w:t>retreat with rituximab at biochemical/clinical relapse</w:t>
      </w:r>
      <w:r>
        <w:t xml:space="preserve"> (often effective again). If she prefers the longest possible remission before the next treatment and accepts the trade-offs, discuss limited-duration maintenance (e.g., q3mo for up to 2 years) plus infection-risk mitigation (vaccinations, IgG monitoring, prompt treatment of infections). (</w:t>
      </w:r>
      <w:hyperlink r:id="rId31" w:tooltip="&#10;            Rituximab Extended Schedule or Retreatment Trial (RESORT) for Low Tumor Burden non-Follicular Indolent B-cell Non-Hodgkin Lymphomas: Eastern Cooperative Oncology Group Protocol E4402 - PMC&#10;        " w:history="1">
        <w:r>
          <w:rPr>
            <w:rStyle w:val="Hyperlink"/>
            <w:rFonts w:eastAsiaTheme="majorEastAsia"/>
          </w:rPr>
          <w:t>PMC</w:t>
        </w:r>
      </w:hyperlink>
      <w:r>
        <w:t>)</w:t>
      </w:r>
    </w:p>
    <w:p w14:paraId="7EEA0ABE" w14:textId="77777777" w:rsidR="00BB00A3" w:rsidRDefault="00BB00A3" w:rsidP="00BB00A3">
      <w:pPr>
        <w:pStyle w:val="NormalWeb"/>
      </w:pPr>
      <w:r>
        <w:t>Notes to cover in clinic</w:t>
      </w:r>
    </w:p>
    <w:p w14:paraId="73AB1F1F" w14:textId="77777777" w:rsidR="00BB00A3" w:rsidRDefault="00BB00A3" w:rsidP="00BB00A3">
      <w:pPr>
        <w:pStyle w:val="NormalWeb"/>
        <w:numPr>
          <w:ilvl w:val="0"/>
          <w:numId w:val="4"/>
        </w:numPr>
      </w:pPr>
      <w:r>
        <w:t>Vaccinations and timing around anti-CD20; consider baseline IgG and periodic checks if maintenance chosen.</w:t>
      </w:r>
    </w:p>
    <w:p w14:paraId="06D5CB19" w14:textId="77777777" w:rsidR="00BB00A3" w:rsidRDefault="00BB00A3" w:rsidP="00BB00A3">
      <w:pPr>
        <w:pStyle w:val="NormalWeb"/>
        <w:numPr>
          <w:ilvl w:val="0"/>
          <w:numId w:val="4"/>
        </w:numPr>
      </w:pPr>
      <w:r>
        <w:t>Clear triggers for re-treatment (symptoms, cytopenias, enlarging spleen/nodes).</w:t>
      </w:r>
    </w:p>
    <w:p w14:paraId="4CC8BE5B" w14:textId="62709D1F" w:rsidR="007E6715" w:rsidRDefault="00BB00A3" w:rsidP="00BB00A3">
      <w:pPr>
        <w:pStyle w:val="NormalWeb"/>
        <w:numPr>
          <w:ilvl w:val="0"/>
          <w:numId w:val="4"/>
        </w:numPr>
      </w:pPr>
      <w:r>
        <w:lastRenderedPageBreak/>
        <w:t xml:space="preserve">Her reported CCND3/MYC/CDKN2A mutations are described in MZL but </w:t>
      </w:r>
      <w:r>
        <w:rPr>
          <w:rStyle w:val="Strong"/>
          <w:rFonts w:eastAsiaTheme="majorEastAsia"/>
        </w:rPr>
        <w:t>do not currently dictate maintenance vs observation</w:t>
      </w:r>
      <w:r>
        <w:t>; watch disease kinetics and counts over time. (Background reviews.) (</w:t>
      </w:r>
      <w:hyperlink r:id="rId32" w:tooltip="Advances in the treatment of relapsed/refractory marginal ..." w:history="1">
        <w:r>
          <w:rPr>
            <w:rStyle w:val="Hyperlink"/>
            <w:rFonts w:eastAsiaTheme="majorEastAsia"/>
          </w:rPr>
          <w:t>Frontiers</w:t>
        </w:r>
      </w:hyperlink>
      <w:r>
        <w:t>)</w:t>
      </w:r>
    </w:p>
    <w:sectPr w:rsidR="007E6715" w:rsidSect="00985F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F3ADF"/>
    <w:multiLevelType w:val="multilevel"/>
    <w:tmpl w:val="5504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C6793B"/>
    <w:multiLevelType w:val="multilevel"/>
    <w:tmpl w:val="4902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7C6507"/>
    <w:multiLevelType w:val="multilevel"/>
    <w:tmpl w:val="21F2C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F38144A"/>
    <w:multiLevelType w:val="multilevel"/>
    <w:tmpl w:val="391A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122092">
    <w:abstractNumId w:val="2"/>
  </w:num>
  <w:num w:numId="2" w16cid:durableId="1664891474">
    <w:abstractNumId w:val="1"/>
  </w:num>
  <w:num w:numId="3" w16cid:durableId="1648508354">
    <w:abstractNumId w:val="0"/>
  </w:num>
  <w:num w:numId="4" w16cid:durableId="2379024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A3"/>
    <w:rsid w:val="001456F2"/>
    <w:rsid w:val="003B19CD"/>
    <w:rsid w:val="004606FF"/>
    <w:rsid w:val="004D0851"/>
    <w:rsid w:val="00602C25"/>
    <w:rsid w:val="007E6715"/>
    <w:rsid w:val="008355BC"/>
    <w:rsid w:val="008F3B2D"/>
    <w:rsid w:val="00985FE9"/>
    <w:rsid w:val="00BB00A3"/>
    <w:rsid w:val="00C43B69"/>
    <w:rsid w:val="00DA1091"/>
    <w:rsid w:val="00EC5FD4"/>
    <w:rsid w:val="00EE0CD0"/>
    <w:rsid w:val="00F04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6E6F9"/>
  <w15:chartTrackingRefBased/>
  <w15:docId w15:val="{4C7F739B-21FD-EB47-90C9-C602A5521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0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00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00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00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00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0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0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00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00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00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00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0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0A3"/>
    <w:rPr>
      <w:rFonts w:eastAsiaTheme="majorEastAsia" w:cstheme="majorBidi"/>
      <w:color w:val="272727" w:themeColor="text1" w:themeTint="D8"/>
    </w:rPr>
  </w:style>
  <w:style w:type="paragraph" w:styleId="Title">
    <w:name w:val="Title"/>
    <w:basedOn w:val="Normal"/>
    <w:next w:val="Normal"/>
    <w:link w:val="TitleChar"/>
    <w:uiPriority w:val="10"/>
    <w:qFormat/>
    <w:rsid w:val="00BB0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0A3"/>
    <w:pPr>
      <w:spacing w:before="160"/>
      <w:jc w:val="center"/>
    </w:pPr>
    <w:rPr>
      <w:i/>
      <w:iCs/>
      <w:color w:val="404040" w:themeColor="text1" w:themeTint="BF"/>
    </w:rPr>
  </w:style>
  <w:style w:type="character" w:customStyle="1" w:styleId="QuoteChar">
    <w:name w:val="Quote Char"/>
    <w:basedOn w:val="DefaultParagraphFont"/>
    <w:link w:val="Quote"/>
    <w:uiPriority w:val="29"/>
    <w:rsid w:val="00BB00A3"/>
    <w:rPr>
      <w:i/>
      <w:iCs/>
      <w:color w:val="404040" w:themeColor="text1" w:themeTint="BF"/>
    </w:rPr>
  </w:style>
  <w:style w:type="paragraph" w:styleId="ListParagraph">
    <w:name w:val="List Paragraph"/>
    <w:basedOn w:val="Normal"/>
    <w:uiPriority w:val="34"/>
    <w:qFormat/>
    <w:rsid w:val="00BB00A3"/>
    <w:pPr>
      <w:ind w:left="720"/>
      <w:contextualSpacing/>
    </w:pPr>
  </w:style>
  <w:style w:type="character" w:styleId="IntenseEmphasis">
    <w:name w:val="Intense Emphasis"/>
    <w:basedOn w:val="DefaultParagraphFont"/>
    <w:uiPriority w:val="21"/>
    <w:qFormat/>
    <w:rsid w:val="00BB00A3"/>
    <w:rPr>
      <w:i/>
      <w:iCs/>
      <w:color w:val="0F4761" w:themeColor="accent1" w:themeShade="BF"/>
    </w:rPr>
  </w:style>
  <w:style w:type="paragraph" w:styleId="IntenseQuote">
    <w:name w:val="Intense Quote"/>
    <w:basedOn w:val="Normal"/>
    <w:next w:val="Normal"/>
    <w:link w:val="IntenseQuoteChar"/>
    <w:uiPriority w:val="30"/>
    <w:qFormat/>
    <w:rsid w:val="00BB00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00A3"/>
    <w:rPr>
      <w:i/>
      <w:iCs/>
      <w:color w:val="0F4761" w:themeColor="accent1" w:themeShade="BF"/>
    </w:rPr>
  </w:style>
  <w:style w:type="character" w:styleId="IntenseReference">
    <w:name w:val="Intense Reference"/>
    <w:basedOn w:val="DefaultParagraphFont"/>
    <w:uiPriority w:val="32"/>
    <w:qFormat/>
    <w:rsid w:val="00BB00A3"/>
    <w:rPr>
      <w:b/>
      <w:bCs/>
      <w:smallCaps/>
      <w:color w:val="0F4761" w:themeColor="accent1" w:themeShade="BF"/>
      <w:spacing w:val="5"/>
    </w:rPr>
  </w:style>
  <w:style w:type="character" w:styleId="Strong">
    <w:name w:val="Strong"/>
    <w:basedOn w:val="DefaultParagraphFont"/>
    <w:uiPriority w:val="22"/>
    <w:qFormat/>
    <w:rsid w:val="00BB00A3"/>
    <w:rPr>
      <w:b/>
      <w:bCs/>
    </w:rPr>
  </w:style>
  <w:style w:type="character" w:styleId="Hyperlink">
    <w:name w:val="Hyperlink"/>
    <w:basedOn w:val="DefaultParagraphFont"/>
    <w:uiPriority w:val="99"/>
    <w:semiHidden/>
    <w:unhideWhenUsed/>
    <w:rsid w:val="00BB00A3"/>
    <w:rPr>
      <w:color w:val="0000FF"/>
      <w:u w:val="single"/>
    </w:rPr>
  </w:style>
  <w:style w:type="paragraph" w:styleId="NormalWeb">
    <w:name w:val="Normal (Web)"/>
    <w:basedOn w:val="Normal"/>
    <w:uiPriority w:val="99"/>
    <w:unhideWhenUsed/>
    <w:rsid w:val="00BB00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BB00A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ubmed.ncbi.nlm.nih.gov/27351685" TargetMode="External"/><Relationship Id="rId18" Type="http://schemas.openxmlformats.org/officeDocument/2006/relationships/hyperlink" Target="https://www.nejm.org/doi/full/10.1056/NEJMra2102568" TargetMode="External"/><Relationship Id="rId26" Type="http://schemas.openxmlformats.org/officeDocument/2006/relationships/hyperlink" Target="https://pubmed.ncbi.nlm.nih.gov/38614113" TargetMode="External"/><Relationship Id="rId3" Type="http://schemas.openxmlformats.org/officeDocument/2006/relationships/settings" Target="settings.xml"/><Relationship Id="rId21" Type="http://schemas.openxmlformats.org/officeDocument/2006/relationships/hyperlink" Target="https://pubmed.ncbi.nlm.nih.gov/29452668" TargetMode="External"/><Relationship Id="rId34" Type="http://schemas.openxmlformats.org/officeDocument/2006/relationships/theme" Target="theme/theme1.xml"/><Relationship Id="rId7" Type="http://schemas.openxmlformats.org/officeDocument/2006/relationships/hyperlink" Target="https://pubmed.ncbi.nlm.nih.gov/27351685" TargetMode="External"/><Relationship Id="rId12" Type="http://schemas.openxmlformats.org/officeDocument/2006/relationships/hyperlink" Target="https://www.nejm.org/doi/full/10.1056/NEJMra2102568" TargetMode="External"/><Relationship Id="rId17" Type="http://schemas.openxmlformats.org/officeDocument/2006/relationships/hyperlink" Target="https://pubmed.ncbi.nlm.nih.gov/29452668" TargetMode="External"/><Relationship Id="rId25" Type="http://schemas.openxmlformats.org/officeDocument/2006/relationships/hyperlink" Target="https://pubmed.ncbi.nlm.nih.gov/27813427"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med.ncbi.nlm.nih.gov/38614113" TargetMode="External"/><Relationship Id="rId20" Type="http://schemas.openxmlformats.org/officeDocument/2006/relationships/hyperlink" Target="https://pubmed.ncbi.nlm.nih.gov/27813427" TargetMode="External"/><Relationship Id="rId29" Type="http://schemas.openxmlformats.org/officeDocument/2006/relationships/hyperlink" Target="https://www.annalsofoncology.org/article/S0923-7534%2819%2935465-1/pdf?utm_source=chatgpt.com" TargetMode="External"/><Relationship Id="rId1" Type="http://schemas.openxmlformats.org/officeDocument/2006/relationships/numbering" Target="numbering.xml"/><Relationship Id="rId6" Type="http://schemas.openxmlformats.org/officeDocument/2006/relationships/hyperlink" Target="https://www.nejm.org/doi/full/10.1056/NEJMra2102568" TargetMode="External"/><Relationship Id="rId11" Type="http://schemas.openxmlformats.org/officeDocument/2006/relationships/hyperlink" Target="https://pubmed.ncbi.nlm.nih.gov/29452668" TargetMode="External"/><Relationship Id="rId24" Type="http://schemas.openxmlformats.org/officeDocument/2006/relationships/hyperlink" Target="https://www.nejm.org/doi/full/10.1056/NEJMra0708875" TargetMode="External"/><Relationship Id="rId32" Type="http://schemas.openxmlformats.org/officeDocument/2006/relationships/hyperlink" Target="https://www.frontiersin.org/journals/oncology/articles/10.3389/fonc.2024.1327309/full?utm_source=chatgpt.com" TargetMode="External"/><Relationship Id="rId5" Type="http://schemas.openxmlformats.org/officeDocument/2006/relationships/hyperlink" Target="https://pubmed.ncbi.nlm.nih.gov/29452668" TargetMode="External"/><Relationship Id="rId15" Type="http://schemas.openxmlformats.org/officeDocument/2006/relationships/hyperlink" Target="https://pubmed.ncbi.nlm.nih.gov/27813427" TargetMode="External"/><Relationship Id="rId23" Type="http://schemas.openxmlformats.org/officeDocument/2006/relationships/hyperlink" Target="https://pubmed.ncbi.nlm.nih.gov/27351685" TargetMode="External"/><Relationship Id="rId28" Type="http://schemas.openxmlformats.org/officeDocument/2006/relationships/hyperlink" Target="https://pmc.ncbi.nlm.nih.gov/articles/PMC3579603/?utm_source=chatgpt.com" TargetMode="External"/><Relationship Id="rId10" Type="http://schemas.openxmlformats.org/officeDocument/2006/relationships/hyperlink" Target="https://pubmed.ncbi.nlm.nih.gov/38614113" TargetMode="External"/><Relationship Id="rId19" Type="http://schemas.openxmlformats.org/officeDocument/2006/relationships/hyperlink" Target="https://pubmed.ncbi.nlm.nih.gov/27351685" TargetMode="External"/><Relationship Id="rId31" Type="http://schemas.openxmlformats.org/officeDocument/2006/relationships/hyperlink" Target="https://pmc.ncbi.nlm.nih.gov/articles/PMC4900920/" TargetMode="External"/><Relationship Id="rId4" Type="http://schemas.openxmlformats.org/officeDocument/2006/relationships/webSettings" Target="webSettings.xml"/><Relationship Id="rId9" Type="http://schemas.openxmlformats.org/officeDocument/2006/relationships/hyperlink" Target="https://pubmed.ncbi.nlm.nih.gov/27813427" TargetMode="External"/><Relationship Id="rId14" Type="http://schemas.openxmlformats.org/officeDocument/2006/relationships/hyperlink" Target="https://www.nejm.org/doi/full/10.1056/NEJMra0708875" TargetMode="External"/><Relationship Id="rId22" Type="http://schemas.openxmlformats.org/officeDocument/2006/relationships/hyperlink" Target="https://www.nejm.org/doi/full/10.1056/NEJMra2102568" TargetMode="External"/><Relationship Id="rId27" Type="http://schemas.openxmlformats.org/officeDocument/2006/relationships/hyperlink" Target="https://pmc.ncbi.nlm.nih.gov/articles/PMC4900920/" TargetMode="External"/><Relationship Id="rId30" Type="http://schemas.openxmlformats.org/officeDocument/2006/relationships/hyperlink" Target="https://pmc.ncbi.nlm.nih.gov/articles/PMC4900920/" TargetMode="External"/><Relationship Id="rId8" Type="http://schemas.openxmlformats.org/officeDocument/2006/relationships/hyperlink" Target="https://www.nejm.org/doi/full/10.1056/NEJMra07088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1964</Words>
  <Characters>11196</Characters>
  <Application>Microsoft Office Word</Application>
  <DocSecurity>0</DocSecurity>
  <Lines>93</Lines>
  <Paragraphs>26</Paragraphs>
  <ScaleCrop>false</ScaleCrop>
  <Company/>
  <LinksUpToDate>false</LinksUpToDate>
  <CharactersWithSpaces>13134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Bunning</dc:creator>
  <cp:keywords/>
  <dc:description/>
  <cp:lastModifiedBy>Bryan Bunning</cp:lastModifiedBy>
  <cp:revision>3</cp:revision>
  <dcterms:created xsi:type="dcterms:W3CDTF">2026-03-03T23:40:00Z</dcterms:created>
  <dcterms:modified xsi:type="dcterms:W3CDTF">2026-03-04T02:47:00Z</dcterms:modified>
</cp:coreProperties>
</file>