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E88" w14:textId="77777777" w:rsidR="003C23E5" w:rsidRPr="007A6478" w:rsidRDefault="003C23E5" w:rsidP="003C23E5">
      <w:pPr>
        <w:pStyle w:val="Header"/>
        <w:jc w:val="center"/>
        <w:rPr>
          <w:color w:val="FFFF00"/>
          <w:sz w:val="40"/>
          <w:szCs w:val="40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79B37" wp14:editId="2A0A49D3">
                <wp:simplePos x="0" y="0"/>
                <wp:positionH relativeFrom="column">
                  <wp:posOffset>-511175</wp:posOffset>
                </wp:positionH>
                <wp:positionV relativeFrom="paragraph">
                  <wp:posOffset>412115</wp:posOffset>
                </wp:positionV>
                <wp:extent cx="323850" cy="8180070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409C0" id="Rectangle 2" o:spid="_x0000_s1026" style="position:absolute;margin-left:-40.25pt;margin-top:32.45pt;width:25.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" fillcolor="yellow" strokecolor="#030e13 [484]" strokeweight="1pt"/>
            </w:pict>
          </mc:Fallback>
        </mc:AlternateContent>
      </w:r>
      <w:r w:rsidRPr="007A6478">
        <w:rPr>
          <w:color w:val="FFFF00"/>
          <w:sz w:val="40"/>
          <w:szCs w:val="40"/>
          <w:highlight w:val="black"/>
        </w:rPr>
        <w:t>YELLOW REPORT</w:t>
      </w:r>
    </w:p>
    <w:p w14:paraId="7A450AB8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Testosterone replacement therapy (TRT) can be considered in this patient because he has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favorable pathology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(negative margins, no nodal disease, Gleason 4+3) and an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undetectable PSA for 12 months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after radical prostatectomy, and there is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evidence of increased biochemical recurrence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with TRT in this setting [1] [2]. However, this is a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decision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with explicit counseling that the evidence is limited and the oncologic risk is unquantified [1]. If TRT is initiated, use a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monitoring plan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check PSA and hematocrit at 3, 6, and 12 months, then annually, and stop TRT if PSA rises or other concerns arise [3] [4]. Symptomatic benefits are likely within 3–6 months if TRT is appropriate for his symptoms [5].</w:t>
      </w:r>
    </w:p>
    <w:p w14:paraId="45B935F2" w14:textId="77777777" w:rsidR="004375D5" w:rsidRPr="004375D5" w:rsidRDefault="00CE33D0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5D47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575D8D" w14:textId="77777777" w:rsidR="004375D5" w:rsidRPr="004375D5" w:rsidRDefault="004375D5" w:rsidP="0043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on oncologic safety of TRT after radical prostatectomy</w:t>
      </w:r>
    </w:p>
    <w:p w14:paraId="4BACE5DB" w14:textId="77777777" w:rsidR="004375D5" w:rsidRPr="004375D5" w:rsidRDefault="004375D5" w:rsidP="0043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Favorable pathology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Negative margins, no nodal disease, and Gleason 4+3 (Grade Group 3) are associated with lower recurrence risk after radical prostatectomy.</w:t>
      </w:r>
    </w:p>
    <w:p w14:paraId="42FAD129" w14:textId="77777777" w:rsidR="004375D5" w:rsidRPr="004375D5" w:rsidRDefault="004375D5" w:rsidP="0043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Undetectable PSA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Sustained undetectable PSA for 12 months indicates no biochemical recurrence, supporting a lower risk profile.</w:t>
      </w:r>
    </w:p>
    <w:p w14:paraId="2B36DA21" w14:textId="77777777" w:rsidR="004375D5" w:rsidRPr="004375D5" w:rsidRDefault="004375D5" w:rsidP="0043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TRT studies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Multiple studies show no increased biochemical recurrence with TRT in men with favorable pathology and undetectable PSA after radical prostatectomy [1] [2].</w:t>
      </w:r>
    </w:p>
    <w:p w14:paraId="725ADB5C" w14:textId="77777777" w:rsidR="004375D5" w:rsidRPr="004375D5" w:rsidRDefault="004375D5" w:rsidP="0043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 stance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The AUA states TRT can be considered in men with favorable pathology and undetectable PSA after radical prostatectomy, with no demonstrated increase in biochemical recurrence [1].</w:t>
      </w:r>
    </w:p>
    <w:p w14:paraId="229E3B2E" w14:textId="77777777" w:rsidR="004375D5" w:rsidRPr="004375D5" w:rsidRDefault="00CE33D0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53AE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5116A0" w14:textId="77777777" w:rsidR="004375D5" w:rsidRPr="004375D5" w:rsidRDefault="004375D5" w:rsidP="0043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symptomatic benefits of TRT</w:t>
      </w:r>
    </w:p>
    <w:p w14:paraId="60DDB377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TRT can improve symptoms of hypogonadism, including fatigue, low libido, and mood disturbances. Benefits typically appear within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3–6 months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of therapy, with improvements in energy, sexual function, and overall quality of life [5]. Bone density, muscle mass, and strength may also improve with longer-term therapy.</w:t>
      </w:r>
    </w:p>
    <w:p w14:paraId="343AD70A" w14:textId="77777777" w:rsidR="004375D5" w:rsidRPr="004375D5" w:rsidRDefault="00CE33D0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8C50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58694F" w14:textId="77777777" w:rsidR="004375D5" w:rsidRPr="004375D5" w:rsidRDefault="004375D5" w:rsidP="0043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Monitoring plan if TRT is initiated</w:t>
      </w:r>
    </w:p>
    <w:p w14:paraId="6ACCCAE5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If TRT is initiated, a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monitoring plan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is essential: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822"/>
      </w:tblGrid>
      <w:tr w:rsidR="004375D5" w:rsidRPr="004375D5" w14:paraId="176AB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B32B" w14:textId="77777777" w:rsidR="004375D5" w:rsidRPr="004375D5" w:rsidRDefault="004375D5" w:rsidP="00437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365BC0" w14:textId="77777777" w:rsidR="004375D5" w:rsidRPr="004375D5" w:rsidRDefault="004375D5" w:rsidP="00437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 frequency</w:t>
            </w:r>
          </w:p>
        </w:tc>
      </w:tr>
      <w:tr w:rsidR="004375D5" w:rsidRPr="004375D5" w14:paraId="2A836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B3F6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</w:t>
            </w:r>
          </w:p>
        </w:tc>
        <w:tc>
          <w:tcPr>
            <w:tcW w:w="0" w:type="auto"/>
            <w:vAlign w:val="center"/>
            <w:hideMark/>
          </w:tcPr>
          <w:p w14:paraId="2EE1E10D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3, 6, and 12 months, then annually</w:t>
            </w:r>
          </w:p>
        </w:tc>
      </w:tr>
      <w:tr w:rsidR="004375D5" w:rsidRPr="004375D5" w14:paraId="1D6F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5CA6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Hematocrit</w:t>
            </w:r>
          </w:p>
        </w:tc>
        <w:tc>
          <w:tcPr>
            <w:tcW w:w="0" w:type="auto"/>
            <w:vAlign w:val="center"/>
            <w:hideMark/>
          </w:tcPr>
          <w:p w14:paraId="5C7C08EC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3, 6, and 12 months, then annually</w:t>
            </w:r>
          </w:p>
        </w:tc>
      </w:tr>
      <w:tr w:rsidR="004375D5" w:rsidRPr="004375D5" w14:paraId="4B20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7F91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Testosterone levels</w:t>
            </w:r>
          </w:p>
        </w:tc>
        <w:tc>
          <w:tcPr>
            <w:tcW w:w="0" w:type="auto"/>
            <w:vAlign w:val="center"/>
            <w:hideMark/>
          </w:tcPr>
          <w:p w14:paraId="48A3B33E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6 months initially, then annually</w:t>
            </w:r>
          </w:p>
        </w:tc>
      </w:tr>
      <w:tr w:rsidR="004375D5" w:rsidRPr="004375D5" w14:paraId="6583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83BF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symptoms</w:t>
            </w:r>
          </w:p>
        </w:tc>
        <w:tc>
          <w:tcPr>
            <w:tcW w:w="0" w:type="auto"/>
            <w:vAlign w:val="center"/>
            <w:hideMark/>
          </w:tcPr>
          <w:p w14:paraId="5E8D159E" w14:textId="77777777" w:rsidR="004375D5" w:rsidRPr="004375D5" w:rsidRDefault="004375D5" w:rsidP="004375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75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each visit</w:t>
            </w:r>
          </w:p>
        </w:tc>
      </w:tr>
    </w:tbl>
    <w:p w14:paraId="78A4E48A" w14:textId="17DE101E" w:rsidR="004375D5" w:rsidRPr="004375D5" w:rsidRDefault="003C23E5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97A7E" wp14:editId="25515540">
                <wp:simplePos x="0" y="0"/>
                <wp:positionH relativeFrom="column">
                  <wp:posOffset>-540775</wp:posOffset>
                </wp:positionH>
                <wp:positionV relativeFrom="paragraph">
                  <wp:posOffset>-948055</wp:posOffset>
                </wp:positionV>
                <wp:extent cx="323850" cy="8180070"/>
                <wp:effectExtent l="0" t="0" r="19050" b="11430"/>
                <wp:wrapNone/>
                <wp:docPr id="4889964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737D2" id="Rectangle 2" o:spid="_x0000_s1026" style="position:absolute;margin-left:-42.6pt;margin-top:-74.65pt;width:25.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" fillcolor="yellow" strokecolor="#030e13 [484]" strokeweight="1pt"/>
            </w:pict>
          </mc:Fallback>
        </mc:AlternateContent>
      </w:r>
      <w:r w:rsidR="00CE33D0">
        <w:rPr>
          <w:rFonts w:ascii="Times New Roman" w:eastAsia="Times New Roman" w:hAnsi="Times New Roman" w:cs="Times New Roman"/>
          <w:noProof/>
          <w:kern w:val="0"/>
        </w:rPr>
        <w:pict w14:anchorId="2302DC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E06B54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Stop TRT if PSA rises or other concerns arise, and reassess the risk-benefit balance.</w:t>
      </w:r>
    </w:p>
    <w:p w14:paraId="0482769F" w14:textId="03F9CAAF" w:rsidR="004375D5" w:rsidRPr="004375D5" w:rsidRDefault="00CE33D0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25D4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0D63F7" w14:textId="756AA8E3" w:rsidR="004375D5" w:rsidRPr="004375D5" w:rsidRDefault="004375D5" w:rsidP="0043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strategies if TRT is declined</w:t>
      </w:r>
    </w:p>
    <w:p w14:paraId="48C0C908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If TRT is declined, consider:</w:t>
      </w:r>
    </w:p>
    <w:p w14:paraId="26ED0AA1" w14:textId="77777777" w:rsidR="004375D5" w:rsidRPr="004375D5" w:rsidRDefault="004375D5" w:rsidP="00437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Lifestyle interventions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Exercise, weight loss, and sleep optimization may partially alleviate symptoms.</w:t>
      </w:r>
    </w:p>
    <w:p w14:paraId="6EBD8A58" w14:textId="77777777" w:rsidR="004375D5" w:rsidRPr="004375D5" w:rsidRDefault="004375D5" w:rsidP="00437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Non-testosterone therapies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Address specific symptoms (e.g. PDE5 inhibitors for erectile dysfunction, antidepressants for mood).</w:t>
      </w:r>
    </w:p>
    <w:p w14:paraId="78713339" w14:textId="77777777" w:rsidR="004375D5" w:rsidRPr="004375D5" w:rsidRDefault="004375D5" w:rsidP="00437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Continued surveillance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 Monitor symptoms and testosterone levels, and reassess if symptoms worsen or new evidence emerges.</w:t>
      </w:r>
    </w:p>
    <w:p w14:paraId="29C70912" w14:textId="77777777" w:rsidR="004375D5" w:rsidRPr="004375D5" w:rsidRDefault="00CE33D0" w:rsidP="004375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015B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B3B8A7" w14:textId="77777777" w:rsidR="004375D5" w:rsidRPr="004375D5" w:rsidRDefault="004375D5" w:rsidP="0043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Shared decision-making and patient counseling</w:t>
      </w:r>
    </w:p>
    <w:p w14:paraId="30BFB297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Emphasize that the decision is </w:t>
      </w: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 xml:space="preserve"> and individualized, with explicit counseling that the oncologic risk is unquantified and the evidence base is limited [1]. Discuss the potential for symptom improvement, the need for close monitoring, and the possibility of discontinuing TRT if PSA rises or other concerns arise.</w:t>
      </w:r>
    </w:p>
    <w:p w14:paraId="45330F1D" w14:textId="77777777" w:rsidR="004375D5" w:rsidRPr="004375D5" w:rsidRDefault="004375D5" w:rsidP="0043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5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</w:t>
      </w:r>
      <w:r w:rsidRPr="004375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D7B795" w14:textId="77777777" w:rsidR="004375D5" w:rsidRPr="004375D5" w:rsidRDefault="004375D5" w:rsidP="0043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117CRrUu" w:tgtFrame="_blank" w:history="1">
        <w:r w:rsidRPr="004375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Evaluation and management of testosterone deficiency: AUA guideline</w:t>
        </w:r>
      </w:hyperlink>
      <w:r w:rsidRPr="004375D5">
        <w:rPr>
          <w:rFonts w:ascii="Times New Roman" w:eastAsia="Times New Roman" w:hAnsi="Times New Roman" w:cs="Times New Roman"/>
          <w:kern w:val="0"/>
          <w14:ligatures w14:val="none"/>
        </w:rPr>
        <w:t>. The Journal of Urology, 2018</w:t>
      </w:r>
    </w:p>
    <w:p w14:paraId="38AAA61F" w14:textId="77777777" w:rsidR="004375D5" w:rsidRPr="004375D5" w:rsidRDefault="004375D5" w:rsidP="0043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114kEPjQ" w:tgtFrame="_blank" w:history="1">
        <w:r w:rsidRPr="004375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Testosterone replacement therapy following definitive treatment for prostate cancer: a scoping review of safety and efficacy</w:t>
        </w:r>
      </w:hyperlink>
      <w:r w:rsidRPr="004375D5">
        <w:rPr>
          <w:rFonts w:ascii="Times New Roman" w:eastAsia="Times New Roman" w:hAnsi="Times New Roman" w:cs="Times New Roman"/>
          <w:kern w:val="0"/>
          <w14:ligatures w14:val="none"/>
        </w:rPr>
        <w:t>. International Journal of Impotence Research, 2025</w:t>
      </w:r>
    </w:p>
    <w:p w14:paraId="05B3C8AF" w14:textId="77777777" w:rsidR="004375D5" w:rsidRPr="004375D5" w:rsidRDefault="004375D5" w:rsidP="0043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1162zUcE" w:tgtFrame="_blank" w:history="1">
        <w:r w:rsidRPr="004375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Prostate safety events during testosterone replacement therapy in men with hypogonadism: a randomized clinical trial</w:t>
        </w:r>
      </w:hyperlink>
      <w:r w:rsidRPr="004375D5">
        <w:rPr>
          <w:rFonts w:ascii="Times New Roman" w:eastAsia="Times New Roman" w:hAnsi="Times New Roman" w:cs="Times New Roman"/>
          <w:kern w:val="0"/>
          <w14:ligatures w14:val="none"/>
        </w:rPr>
        <w:t>. JAMA Network Open, 2023</w:t>
      </w:r>
    </w:p>
    <w:p w14:paraId="5D2697BF" w14:textId="77777777" w:rsidR="004375D5" w:rsidRPr="004375D5" w:rsidRDefault="004375D5" w:rsidP="0043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113j9dCc" w:tgtFrame="_blank" w:history="1">
        <w:r w:rsidRPr="004375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Testosterone therapy in men with hypogonadism: an endocrine society clinical practice guideline</w:t>
        </w:r>
      </w:hyperlink>
      <w:r w:rsidRPr="004375D5">
        <w:rPr>
          <w:rFonts w:ascii="Times New Roman" w:eastAsia="Times New Roman" w:hAnsi="Times New Roman" w:cs="Times New Roman"/>
          <w:kern w:val="0"/>
          <w14:ligatures w14:val="none"/>
        </w:rPr>
        <w:t>. The Journal of Clinical Endocrinology and Metabolism, 2018</w:t>
      </w:r>
    </w:p>
    <w:p w14:paraId="5A87E212" w14:textId="230DB668" w:rsidR="007E6715" w:rsidRPr="003C23E5" w:rsidRDefault="004375D5" w:rsidP="003C2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115dU9ax" w:tgtFrame="_blank" w:history="1">
        <w:r w:rsidRPr="004375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Approach to the patient: the evaluation and management of men ≥ 50 years with low serum testosterone concentration</w:t>
        </w:r>
      </w:hyperlink>
      <w:r w:rsidRPr="004375D5">
        <w:rPr>
          <w:rFonts w:ascii="Times New Roman" w:eastAsia="Times New Roman" w:hAnsi="Times New Roman" w:cs="Times New Roman"/>
          <w:kern w:val="0"/>
          <w14:ligatures w14:val="none"/>
        </w:rPr>
        <w:t>. The Journal of Clinical Endocrinology and Metabolism, 2023</w:t>
      </w:r>
    </w:p>
    <w:sectPr w:rsidR="007E6715" w:rsidRPr="003C23E5" w:rsidSect="00985FE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B8EA" w14:textId="77777777" w:rsidR="00CE33D0" w:rsidRDefault="00CE33D0" w:rsidP="003C23E5">
      <w:pPr>
        <w:spacing w:after="0" w:line="240" w:lineRule="auto"/>
      </w:pPr>
      <w:r>
        <w:separator/>
      </w:r>
    </w:p>
  </w:endnote>
  <w:endnote w:type="continuationSeparator" w:id="0">
    <w:p w14:paraId="5C83C73F" w14:textId="77777777" w:rsidR="00CE33D0" w:rsidRDefault="00CE33D0" w:rsidP="003C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288D" w14:textId="2DC17795" w:rsidR="003C23E5" w:rsidRPr="003C23E5" w:rsidRDefault="003C23E5" w:rsidP="003C23E5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FF73" w14:textId="77777777" w:rsidR="00CE33D0" w:rsidRDefault="00CE33D0" w:rsidP="003C23E5">
      <w:pPr>
        <w:spacing w:after="0" w:line="240" w:lineRule="auto"/>
      </w:pPr>
      <w:r>
        <w:separator/>
      </w:r>
    </w:p>
  </w:footnote>
  <w:footnote w:type="continuationSeparator" w:id="0">
    <w:p w14:paraId="4DF6F5A6" w14:textId="77777777" w:rsidR="00CE33D0" w:rsidRDefault="00CE33D0" w:rsidP="003C2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6C6E" w14:textId="584D9E07" w:rsidR="003C23E5" w:rsidRPr="003C23E5" w:rsidRDefault="003C23E5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907"/>
    <w:multiLevelType w:val="multilevel"/>
    <w:tmpl w:val="B14A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8061F"/>
    <w:multiLevelType w:val="multilevel"/>
    <w:tmpl w:val="264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2E7F"/>
    <w:multiLevelType w:val="multilevel"/>
    <w:tmpl w:val="E98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652900">
    <w:abstractNumId w:val="1"/>
  </w:num>
  <w:num w:numId="2" w16cid:durableId="1124153811">
    <w:abstractNumId w:val="2"/>
  </w:num>
  <w:num w:numId="3" w16cid:durableId="1746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D5"/>
    <w:rsid w:val="00011A94"/>
    <w:rsid w:val="003C23E5"/>
    <w:rsid w:val="004375D5"/>
    <w:rsid w:val="00602C25"/>
    <w:rsid w:val="007E6715"/>
    <w:rsid w:val="008355BC"/>
    <w:rsid w:val="008F3B2D"/>
    <w:rsid w:val="00985FE9"/>
    <w:rsid w:val="00CE33D0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342E"/>
  <w15:chartTrackingRefBased/>
  <w15:docId w15:val="{75CEB6BF-C50E-2447-9101-04F47727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75D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75D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2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3E5"/>
  </w:style>
  <w:style w:type="paragraph" w:styleId="Footer">
    <w:name w:val="footer"/>
    <w:basedOn w:val="Normal"/>
    <w:link w:val="FooterChar"/>
    <w:uiPriority w:val="99"/>
    <w:unhideWhenUsed/>
    <w:rsid w:val="003C2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1299030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29601923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36995891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ubmed.ncbi.nlm.nih.gov/2956236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815025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2026-03-03T23:27:00Z</dcterms:created>
  <dcterms:modified xsi:type="dcterms:W3CDTF">2026-03-04T06:18:00Z</dcterms:modified>
</cp:coreProperties>
</file>