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8D8C" w14:textId="77777777" w:rsidR="00BB00A3" w:rsidRPr="00BB00A3" w:rsidRDefault="00BB00A3" w:rsidP="00BB00A3">
      <w:pPr>
        <w:spacing w:after="0" w:line="240" w:lineRule="auto"/>
        <w:rPr>
          <w:rFonts w:ascii="Aptos" w:eastAsia="Times New Roman" w:hAnsi="Aptos" w:cs="Times New Roman"/>
          <w:color w:val="000000"/>
          <w:kern w:val="0"/>
          <w14:ligatures w14:val="none"/>
        </w:rPr>
      </w:pPr>
      <w:r w:rsidRPr="00BB00A3">
        <w:rPr>
          <w:rFonts w:ascii="Aptos" w:eastAsia="Times New Roman" w:hAnsi="Aptos" w:cs="Times New Roman"/>
          <w:color w:val="000000"/>
          <w:kern w:val="0"/>
          <w14:ligatures w14:val="none"/>
        </w:rPr>
        <w:t>Continued rituximab maintenance after a complete response to rituximab monotherapy in marginal zone lymphoma:</w:t>
      </w:r>
    </w:p>
    <w:p w14:paraId="350702E9" w14:textId="77777777" w:rsidR="00BB00A3" w:rsidRPr="00BB00A3" w:rsidRDefault="00BB00A3" w:rsidP="00BB00A3">
      <w:pPr>
        <w:spacing w:after="0" w:line="240" w:lineRule="auto"/>
        <w:rPr>
          <w:rFonts w:ascii="Aptos" w:eastAsia="Times New Roman" w:hAnsi="Aptos" w:cs="Times New Roman"/>
          <w:color w:val="000000"/>
          <w:kern w:val="0"/>
          <w14:ligatures w14:val="none"/>
        </w:rPr>
      </w:pPr>
      <w:r w:rsidRPr="00BB00A3">
        <w:rPr>
          <w:rFonts w:ascii="Aptos" w:eastAsia="Times New Roman" w:hAnsi="Aptos" w:cs="Times New Roman"/>
          <w:color w:val="000000"/>
          <w:kern w:val="0"/>
          <w14:ligatures w14:val="none"/>
        </w:rPr>
        <w:t>An 82-year-old female with a significant medical history of spina bifida and asthma was diagnosed with Stage IV indolent splenic marginal zone lymphoma. She presented with symptoms of anemia and thrombocytopenia, prompting further investigation. Imaging studies demonstrated multiple hypermetabolic osseous lesions and persistent splenomegaly. A CT-guided biopsy of the right iliac crest confirmed atypical lymphoid infiltrate consistent with marginal zone lymphoma. A bone marrow aspirate and biopsy revealed normocellular marrow with myeloid-predominant hematopoiesis, but flow cytometry identified an abnormal lambda-restricted B-cell population (13.5% of CD45+ events) that was CD5-/CD10-. The findings were consistent with marginal zone lymphoma. Genetic studies indicated mutations in CCND3, MYC, and CDKN2A, and chromosome analysis revealed no abnormalities. A CT-guided biopsy of a right iliac crest osseous lesion confirmed atypical lymphoid infiltrate consistent with marginal zone lymphoma.</w:t>
      </w:r>
    </w:p>
    <w:p w14:paraId="4A4AC302" w14:textId="77777777" w:rsidR="001456F2" w:rsidRDefault="001456F2" w:rsidP="00BB00A3">
      <w:pPr>
        <w:spacing w:after="0" w:line="240" w:lineRule="auto"/>
        <w:rPr>
          <w:rFonts w:ascii="Aptos" w:eastAsia="Times New Roman" w:hAnsi="Aptos" w:cs="Times New Roman"/>
          <w:color w:val="000000"/>
          <w:kern w:val="0"/>
          <w14:ligatures w14:val="none"/>
        </w:rPr>
      </w:pPr>
    </w:p>
    <w:p w14:paraId="67962591" w14:textId="1D449CD4" w:rsidR="001456F2" w:rsidRDefault="00BB00A3" w:rsidP="00BB00A3">
      <w:pPr>
        <w:spacing w:after="0" w:line="240" w:lineRule="auto"/>
        <w:rPr>
          <w:rFonts w:ascii="Aptos" w:eastAsia="Times New Roman" w:hAnsi="Aptos" w:cs="Times New Roman"/>
          <w:color w:val="000000"/>
          <w:kern w:val="0"/>
          <w14:ligatures w14:val="none"/>
        </w:rPr>
      </w:pPr>
      <w:r w:rsidRPr="00BB00A3">
        <w:rPr>
          <w:rFonts w:ascii="Aptos" w:eastAsia="Times New Roman" w:hAnsi="Aptos" w:cs="Times New Roman"/>
          <w:color w:val="000000"/>
          <w:kern w:val="0"/>
          <w14:ligatures w14:val="none"/>
        </w:rPr>
        <w:t xml:space="preserve">She was treated with weekly rituximab monotherapy for 4 weeks from </w:t>
      </w:r>
      <w:r w:rsidR="00EC5FD4">
        <w:rPr>
          <w:rFonts w:ascii="Aptos" w:eastAsia="Times New Roman" w:hAnsi="Aptos" w:cs="Times New Roman"/>
          <w:color w:val="000000"/>
          <w:kern w:val="0"/>
          <w14:ligatures w14:val="none"/>
        </w:rPr>
        <w:t>November-December</w:t>
      </w:r>
      <w:r w:rsidRPr="00BB00A3">
        <w:rPr>
          <w:rFonts w:ascii="Aptos" w:eastAsia="Times New Roman" w:hAnsi="Aptos" w:cs="Times New Roman"/>
          <w:color w:val="000000"/>
          <w:kern w:val="0"/>
          <w14:ligatures w14:val="none"/>
        </w:rPr>
        <w:t xml:space="preserve"> 2025, completing four cycles by </w:t>
      </w:r>
      <w:r w:rsidR="00EC5FD4">
        <w:rPr>
          <w:rFonts w:ascii="Aptos" w:eastAsia="Times New Roman" w:hAnsi="Aptos" w:cs="Times New Roman"/>
          <w:color w:val="000000"/>
          <w:kern w:val="0"/>
          <w14:ligatures w14:val="none"/>
        </w:rPr>
        <w:t>Dec 15</w:t>
      </w:r>
      <w:r w:rsidRPr="00BB00A3">
        <w:rPr>
          <w:rFonts w:ascii="Aptos" w:eastAsia="Times New Roman" w:hAnsi="Aptos" w:cs="Times New Roman"/>
          <w:color w:val="000000"/>
          <w:kern w:val="0"/>
          <w14:ligatures w14:val="none"/>
        </w:rPr>
        <w:t xml:space="preserve">, 2025. </w:t>
      </w:r>
    </w:p>
    <w:p w14:paraId="66EFB02B" w14:textId="77777777" w:rsidR="001456F2" w:rsidRDefault="001456F2" w:rsidP="00BB00A3">
      <w:pPr>
        <w:spacing w:after="0" w:line="240" w:lineRule="auto"/>
        <w:rPr>
          <w:rFonts w:ascii="Aptos" w:eastAsia="Times New Roman" w:hAnsi="Aptos" w:cs="Times New Roman"/>
          <w:color w:val="000000"/>
          <w:kern w:val="0"/>
          <w14:ligatures w14:val="none"/>
        </w:rPr>
      </w:pPr>
    </w:p>
    <w:p w14:paraId="69077052" w14:textId="7219126C" w:rsidR="00BB00A3" w:rsidRDefault="00BB00A3" w:rsidP="00BB00A3">
      <w:pPr>
        <w:spacing w:after="0" w:line="240" w:lineRule="auto"/>
        <w:rPr>
          <w:rFonts w:ascii="Aptos" w:eastAsia="Times New Roman" w:hAnsi="Aptos" w:cs="Times New Roman"/>
          <w:color w:val="000000"/>
          <w:kern w:val="0"/>
          <w14:ligatures w14:val="none"/>
        </w:rPr>
      </w:pPr>
      <w:r w:rsidRPr="00BB00A3">
        <w:rPr>
          <w:rFonts w:ascii="Aptos" w:eastAsia="Times New Roman" w:hAnsi="Aptos" w:cs="Times New Roman"/>
          <w:color w:val="000000"/>
          <w:kern w:val="0"/>
          <w14:ligatures w14:val="none"/>
        </w:rPr>
        <w:t xml:space="preserve">Follow-up PET/CT imaging on </w:t>
      </w:r>
      <w:r w:rsidR="00EC5FD4">
        <w:rPr>
          <w:rFonts w:ascii="Aptos" w:eastAsia="Times New Roman" w:hAnsi="Aptos" w:cs="Times New Roman"/>
          <w:color w:val="000000"/>
          <w:kern w:val="0"/>
          <w14:ligatures w14:val="none"/>
        </w:rPr>
        <w:t>Feb 3</w:t>
      </w:r>
      <w:r w:rsidRPr="00BB00A3">
        <w:rPr>
          <w:rFonts w:ascii="Aptos" w:eastAsia="Times New Roman" w:hAnsi="Aptos" w:cs="Times New Roman"/>
          <w:color w:val="000000"/>
          <w:kern w:val="0"/>
          <w14:ligatures w14:val="none"/>
        </w:rPr>
        <w:t>, 2025, showed a complete metabolic response, with resolution of osseous lesions and a significant decrease in splenomegaly.</w:t>
      </w:r>
    </w:p>
    <w:p w14:paraId="67E212D4" w14:textId="77777777" w:rsidR="001456F2" w:rsidRPr="00BB00A3" w:rsidRDefault="001456F2" w:rsidP="00BB00A3">
      <w:pPr>
        <w:spacing w:after="0" w:line="240" w:lineRule="auto"/>
        <w:rPr>
          <w:rFonts w:ascii="Aptos" w:eastAsia="Times New Roman" w:hAnsi="Aptos" w:cs="Times New Roman"/>
          <w:color w:val="000000"/>
          <w:kern w:val="0"/>
          <w14:ligatures w14:val="none"/>
        </w:rPr>
      </w:pPr>
    </w:p>
    <w:p w14:paraId="020195BC" w14:textId="6FF80449" w:rsidR="00BB00A3" w:rsidRPr="000C48AF" w:rsidRDefault="00BB00A3" w:rsidP="000C48AF">
      <w:pPr>
        <w:spacing w:after="0" w:line="240" w:lineRule="auto"/>
        <w:rPr>
          <w:rFonts w:ascii="Aptos" w:eastAsia="Times New Roman" w:hAnsi="Aptos" w:cs="Times New Roman"/>
          <w:color w:val="000000"/>
          <w:kern w:val="0"/>
          <w14:ligatures w14:val="none"/>
        </w:rPr>
      </w:pPr>
      <w:r w:rsidRPr="00BB00A3">
        <w:rPr>
          <w:rFonts w:ascii="Aptos" w:eastAsia="Times New Roman" w:hAnsi="Aptos" w:cs="Times New Roman"/>
          <w:b/>
          <w:bCs/>
          <w:color w:val="000000"/>
          <w:kern w:val="0"/>
          <w14:ligatures w14:val="none"/>
        </w:rPr>
        <w:t>Question:</w:t>
      </w:r>
      <w:r w:rsidRPr="00BB00A3">
        <w:rPr>
          <w:rFonts w:ascii="Aptos" w:eastAsia="Times New Roman" w:hAnsi="Aptos" w:cs="Times New Roman"/>
          <w:color w:val="000000"/>
          <w:kern w:val="0"/>
          <w14:ligatures w14:val="none"/>
        </w:rPr>
        <w:t xml:space="preserve"> Given </w:t>
      </w:r>
      <w:r w:rsidR="00C43B69">
        <w:rPr>
          <w:rFonts w:ascii="Aptos" w:eastAsia="Times New Roman" w:hAnsi="Aptos" w:cs="Times New Roman"/>
          <w:color w:val="000000"/>
          <w:kern w:val="0"/>
          <w14:ligatures w14:val="none"/>
        </w:rPr>
        <w:t>her</w:t>
      </w:r>
      <w:r w:rsidRPr="00BB00A3">
        <w:rPr>
          <w:rFonts w:ascii="Aptos" w:eastAsia="Times New Roman" w:hAnsi="Aptos" w:cs="Times New Roman"/>
          <w:color w:val="000000"/>
          <w:kern w:val="0"/>
          <w14:ligatures w14:val="none"/>
        </w:rPr>
        <w:t xml:space="preserve"> complete metabolic response after four cycles of rituximab induction therapy, should she continue with ongoing rituximab maintenance therapy, or is it appropriate to stop treatment?</w:t>
      </w:r>
    </w:p>
    <w:sectPr w:rsidR="00BB00A3" w:rsidRPr="000C48AF" w:rsidSect="0098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3ADF"/>
    <w:multiLevelType w:val="multilevel"/>
    <w:tmpl w:val="550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6793B"/>
    <w:multiLevelType w:val="multilevel"/>
    <w:tmpl w:val="490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C6507"/>
    <w:multiLevelType w:val="multilevel"/>
    <w:tmpl w:val="21F2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38144A"/>
    <w:multiLevelType w:val="multilevel"/>
    <w:tmpl w:val="391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122092">
    <w:abstractNumId w:val="2"/>
  </w:num>
  <w:num w:numId="2" w16cid:durableId="1664891474">
    <w:abstractNumId w:val="1"/>
  </w:num>
  <w:num w:numId="3" w16cid:durableId="1648508354">
    <w:abstractNumId w:val="0"/>
  </w:num>
  <w:num w:numId="4" w16cid:durableId="237902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0A3"/>
    <w:rsid w:val="000C48AF"/>
    <w:rsid w:val="001456F2"/>
    <w:rsid w:val="003B19CD"/>
    <w:rsid w:val="004606FF"/>
    <w:rsid w:val="004D0851"/>
    <w:rsid w:val="00602C25"/>
    <w:rsid w:val="007E6715"/>
    <w:rsid w:val="008355BC"/>
    <w:rsid w:val="008F3B2D"/>
    <w:rsid w:val="00985FE9"/>
    <w:rsid w:val="00BB00A3"/>
    <w:rsid w:val="00C43B69"/>
    <w:rsid w:val="00D62F7B"/>
    <w:rsid w:val="00DA1091"/>
    <w:rsid w:val="00EC5FD4"/>
    <w:rsid w:val="00EE0CD0"/>
    <w:rsid w:val="00F0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E6F9"/>
  <w15:chartTrackingRefBased/>
  <w15:docId w15:val="{4C7F739B-21FD-EB47-90C9-C602A552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0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0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0A3"/>
    <w:rPr>
      <w:rFonts w:eastAsiaTheme="majorEastAsia" w:cstheme="majorBidi"/>
      <w:color w:val="272727" w:themeColor="text1" w:themeTint="D8"/>
    </w:rPr>
  </w:style>
  <w:style w:type="paragraph" w:styleId="Title">
    <w:name w:val="Title"/>
    <w:basedOn w:val="Normal"/>
    <w:next w:val="Normal"/>
    <w:link w:val="TitleChar"/>
    <w:uiPriority w:val="10"/>
    <w:qFormat/>
    <w:rsid w:val="00BB0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0A3"/>
    <w:pPr>
      <w:spacing w:before="160"/>
      <w:jc w:val="center"/>
    </w:pPr>
    <w:rPr>
      <w:i/>
      <w:iCs/>
      <w:color w:val="404040" w:themeColor="text1" w:themeTint="BF"/>
    </w:rPr>
  </w:style>
  <w:style w:type="character" w:customStyle="1" w:styleId="QuoteChar">
    <w:name w:val="Quote Char"/>
    <w:basedOn w:val="DefaultParagraphFont"/>
    <w:link w:val="Quote"/>
    <w:uiPriority w:val="29"/>
    <w:rsid w:val="00BB00A3"/>
    <w:rPr>
      <w:i/>
      <w:iCs/>
      <w:color w:val="404040" w:themeColor="text1" w:themeTint="BF"/>
    </w:rPr>
  </w:style>
  <w:style w:type="paragraph" w:styleId="ListParagraph">
    <w:name w:val="List Paragraph"/>
    <w:basedOn w:val="Normal"/>
    <w:uiPriority w:val="34"/>
    <w:qFormat/>
    <w:rsid w:val="00BB00A3"/>
    <w:pPr>
      <w:ind w:left="720"/>
      <w:contextualSpacing/>
    </w:pPr>
  </w:style>
  <w:style w:type="character" w:styleId="IntenseEmphasis">
    <w:name w:val="Intense Emphasis"/>
    <w:basedOn w:val="DefaultParagraphFont"/>
    <w:uiPriority w:val="21"/>
    <w:qFormat/>
    <w:rsid w:val="00BB00A3"/>
    <w:rPr>
      <w:i/>
      <w:iCs/>
      <w:color w:val="0F4761" w:themeColor="accent1" w:themeShade="BF"/>
    </w:rPr>
  </w:style>
  <w:style w:type="paragraph" w:styleId="IntenseQuote">
    <w:name w:val="Intense Quote"/>
    <w:basedOn w:val="Normal"/>
    <w:next w:val="Normal"/>
    <w:link w:val="IntenseQuoteChar"/>
    <w:uiPriority w:val="30"/>
    <w:qFormat/>
    <w:rsid w:val="00BB0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0A3"/>
    <w:rPr>
      <w:i/>
      <w:iCs/>
      <w:color w:val="0F4761" w:themeColor="accent1" w:themeShade="BF"/>
    </w:rPr>
  </w:style>
  <w:style w:type="character" w:styleId="IntenseReference">
    <w:name w:val="Intense Reference"/>
    <w:basedOn w:val="DefaultParagraphFont"/>
    <w:uiPriority w:val="32"/>
    <w:qFormat/>
    <w:rsid w:val="00BB00A3"/>
    <w:rPr>
      <w:b/>
      <w:bCs/>
      <w:smallCaps/>
      <w:color w:val="0F4761" w:themeColor="accent1" w:themeShade="BF"/>
      <w:spacing w:val="5"/>
    </w:rPr>
  </w:style>
  <w:style w:type="character" w:styleId="Strong">
    <w:name w:val="Strong"/>
    <w:basedOn w:val="DefaultParagraphFont"/>
    <w:uiPriority w:val="22"/>
    <w:qFormat/>
    <w:rsid w:val="00BB00A3"/>
    <w:rPr>
      <w:b/>
      <w:bCs/>
    </w:rPr>
  </w:style>
  <w:style w:type="character" w:styleId="Hyperlink">
    <w:name w:val="Hyperlink"/>
    <w:basedOn w:val="DefaultParagraphFont"/>
    <w:uiPriority w:val="99"/>
    <w:semiHidden/>
    <w:unhideWhenUsed/>
    <w:rsid w:val="00BB00A3"/>
    <w:rPr>
      <w:color w:val="0000FF"/>
      <w:u w:val="single"/>
    </w:rPr>
  </w:style>
  <w:style w:type="paragraph" w:styleId="NormalWeb">
    <w:name w:val="Normal (Web)"/>
    <w:basedOn w:val="Normal"/>
    <w:uiPriority w:val="99"/>
    <w:unhideWhenUsed/>
    <w:rsid w:val="00BB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B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4</cp:revision>
  <dcterms:created xsi:type="dcterms:W3CDTF">2026-03-03T23:40:00Z</dcterms:created>
  <dcterms:modified xsi:type="dcterms:W3CDTF">2026-08-20T15:41:00Z</dcterms:modified>
</cp:coreProperties>
</file>