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9B41" w14:textId="77777777" w:rsidR="0085380A" w:rsidRDefault="0085380A">
      <w:pPr>
        <w:spacing w:after="2200"/>
      </w:pPr>
    </w:p>
    <w:p w14:paraId="44DE9B42" w14:textId="77777777" w:rsidR="0085380A" w:rsidRDefault="00000000">
      <w:pPr>
        <w:spacing w:after="160"/>
      </w:pPr>
      <w:r>
        <w:rPr>
          <w:b/>
          <w:bCs/>
          <w:color w:val="1F4E79"/>
          <w:sz w:val="52"/>
          <w:szCs w:val="52"/>
        </w:rPr>
        <w:t>Cross-Cloud GAL Synchronisation</w:t>
      </w:r>
    </w:p>
    <w:p w14:paraId="44DE9B43" w14:textId="77777777" w:rsidR="0085380A" w:rsidRDefault="00000000">
      <w:pPr>
        <w:pBdr>
          <w:bottom w:val="single" w:sz="12" w:space="10" w:color="1F4E79"/>
        </w:pBdr>
        <w:spacing w:after="300"/>
      </w:pPr>
      <w:r>
        <w:rPr>
          <w:color w:val="404040"/>
          <w:sz w:val="28"/>
          <w:szCs w:val="28"/>
        </w:rPr>
        <w:t>Microsoft 365 GCC High to Microsoft 365 Commercial — Architecture and Compliance Design</w:t>
      </w:r>
    </w:p>
    <w:p w14:paraId="44DE9B44" w14:textId="77777777" w:rsidR="0085380A" w:rsidRDefault="00000000">
      <w:pPr>
        <w:spacing w:after="80"/>
      </w:pPr>
      <w:r>
        <w:rPr>
          <w:b/>
          <w:bCs/>
          <w:color w:val="595959"/>
        </w:rPr>
        <w:t>Version</w:t>
      </w:r>
      <w:r>
        <w:rPr>
          <w:color w:val="595959"/>
        </w:rPr>
        <w:t xml:space="preserve"> 1.0</w:t>
      </w:r>
    </w:p>
    <w:p w14:paraId="44DE9B45" w14:textId="77777777" w:rsidR="0085380A" w:rsidRDefault="00000000">
      <w:pPr>
        <w:spacing w:after="80"/>
      </w:pPr>
      <w:r>
        <w:rPr>
          <w:b/>
          <w:bCs/>
          <w:color w:val="595959"/>
        </w:rPr>
        <w:t>Date</w:t>
      </w:r>
      <w:r>
        <w:rPr>
          <w:color w:val="595959"/>
        </w:rPr>
        <w:t xml:space="preserve"> 28 August 2026</w:t>
      </w:r>
    </w:p>
    <w:p w14:paraId="44DE9B46" w14:textId="77777777" w:rsidR="0085380A" w:rsidRDefault="00000000">
      <w:pPr>
        <w:spacing w:after="80"/>
      </w:pPr>
      <w:r>
        <w:rPr>
          <w:b/>
          <w:bCs/>
          <w:color w:val="595959"/>
        </w:rPr>
        <w:t>Classification</w:t>
      </w:r>
      <w:r>
        <w:rPr>
          <w:color w:val="595959"/>
        </w:rPr>
        <w:t xml:space="preserve"> Internal — describes a cross-boundary connection subject to DFARS 252.204-7012</w:t>
      </w:r>
    </w:p>
    <w:p w14:paraId="44DE9B47" w14:textId="77777777" w:rsidR="0085380A" w:rsidRDefault="00000000">
      <w:pPr>
        <w:spacing w:after="80"/>
      </w:pPr>
      <w:r>
        <w:rPr>
          <w:b/>
          <w:bCs/>
          <w:color w:val="595959"/>
        </w:rPr>
        <w:t>Prepared by</w:t>
      </w:r>
      <w:r>
        <w:rPr>
          <w:color w:val="595959"/>
        </w:rPr>
        <w:t xml:space="preserve"> Bradford Busch</w:t>
      </w:r>
    </w:p>
    <w:p w14:paraId="44DE9B48" w14:textId="77777777" w:rsidR="0085380A" w:rsidRDefault="00000000">
      <w:r>
        <w:br w:type="page"/>
      </w:r>
    </w:p>
    <w:p w14:paraId="44DE9B49" w14:textId="77777777" w:rsidR="0085380A" w:rsidRDefault="00000000">
      <w:pPr>
        <w:spacing w:after="240"/>
      </w:pPr>
      <w:r>
        <w:rPr>
          <w:b/>
          <w:bCs/>
          <w:color w:val="1F4E79"/>
          <w:sz w:val="32"/>
          <w:szCs w:val="32"/>
        </w:rPr>
        <w:lastRenderedPageBreak/>
        <w:t>Contents</w:t>
      </w:r>
    </w:p>
    <w:p w14:paraId="44DE9B4A" w14:textId="77777777" w:rsidR="0085380A" w:rsidRDefault="00000000">
      <w:pPr>
        <w:spacing w:after="200"/>
      </w:pPr>
      <w:r>
        <w:rPr>
          <w:i/>
          <w:iCs/>
          <w:color w:val="808080"/>
          <w:sz w:val="18"/>
          <w:szCs w:val="18"/>
        </w:rPr>
        <w:t>If the list below is empty, select it and press F9 to build the table of contents.</w:t>
      </w:r>
    </w:p>
    <w:sdt>
      <w:sdtPr>
        <w:alias w:val="Contents"/>
        <w:id w:val="-1129231832"/>
      </w:sdtPr>
      <w:sdtContent>
        <w:p w14:paraId="3938E2CA" w14:textId="388C2610" w:rsidR="00415DA9" w:rsidRDefault="00000000">
          <w:pPr>
            <w:pStyle w:val="TOC1"/>
            <w:tabs>
              <w:tab w:val="right" w:leader="dot" w:pos="9350"/>
            </w:tabs>
            <w:rPr>
              <w:noProof/>
            </w:rPr>
          </w:pPr>
          <w:r>
            <w:fldChar w:fldCharType="begin"/>
          </w:r>
          <w:r>
            <w:instrText>TOC \h \o "1-3"</w:instrText>
          </w:r>
          <w:r>
            <w:fldChar w:fldCharType="separate"/>
          </w:r>
          <w:hyperlink w:anchor="_Toc239065922" w:history="1">
            <w:r w:rsidR="00415DA9" w:rsidRPr="00C10DDD">
              <w:rPr>
                <w:rStyle w:val="Hyperlink"/>
                <w:noProof/>
              </w:rPr>
              <w:t>2. Requirements</w:t>
            </w:r>
            <w:r w:rsidR="00415DA9">
              <w:rPr>
                <w:noProof/>
              </w:rPr>
              <w:tab/>
            </w:r>
            <w:r w:rsidR="00415DA9">
              <w:rPr>
                <w:noProof/>
              </w:rPr>
              <w:fldChar w:fldCharType="begin"/>
            </w:r>
            <w:r w:rsidR="00415DA9">
              <w:rPr>
                <w:noProof/>
              </w:rPr>
              <w:instrText xml:space="preserve"> PAGEREF _Toc239065922 \h </w:instrText>
            </w:r>
            <w:r w:rsidR="00415DA9">
              <w:rPr>
                <w:noProof/>
              </w:rPr>
            </w:r>
            <w:r w:rsidR="00415DA9">
              <w:rPr>
                <w:noProof/>
              </w:rPr>
              <w:fldChar w:fldCharType="separate"/>
            </w:r>
            <w:r w:rsidR="00415DA9">
              <w:rPr>
                <w:noProof/>
              </w:rPr>
              <w:t>3</w:t>
            </w:r>
            <w:r w:rsidR="00415DA9">
              <w:rPr>
                <w:noProof/>
              </w:rPr>
              <w:fldChar w:fldCharType="end"/>
            </w:r>
          </w:hyperlink>
        </w:p>
        <w:p w14:paraId="5661310E" w14:textId="672DBEDC" w:rsidR="00415DA9" w:rsidRDefault="00415DA9">
          <w:pPr>
            <w:pStyle w:val="TOC1"/>
            <w:tabs>
              <w:tab w:val="right" w:leader="dot" w:pos="9350"/>
            </w:tabs>
            <w:rPr>
              <w:noProof/>
            </w:rPr>
          </w:pPr>
          <w:hyperlink w:anchor="_Toc239065923" w:history="1">
            <w:r w:rsidRPr="00C10DDD">
              <w:rPr>
                <w:rStyle w:val="Hyperlink"/>
                <w:noProof/>
              </w:rPr>
              <w:t>3. Constraints that shape the design</w:t>
            </w:r>
            <w:r>
              <w:rPr>
                <w:noProof/>
              </w:rPr>
              <w:tab/>
            </w:r>
            <w:r>
              <w:rPr>
                <w:noProof/>
              </w:rPr>
              <w:fldChar w:fldCharType="begin"/>
            </w:r>
            <w:r>
              <w:rPr>
                <w:noProof/>
              </w:rPr>
              <w:instrText xml:space="preserve"> PAGEREF _Toc239065923 \h </w:instrText>
            </w:r>
            <w:r>
              <w:rPr>
                <w:noProof/>
              </w:rPr>
            </w:r>
            <w:r>
              <w:rPr>
                <w:noProof/>
              </w:rPr>
              <w:fldChar w:fldCharType="separate"/>
            </w:r>
            <w:r>
              <w:rPr>
                <w:noProof/>
              </w:rPr>
              <w:t>4</w:t>
            </w:r>
            <w:r>
              <w:rPr>
                <w:noProof/>
              </w:rPr>
              <w:fldChar w:fldCharType="end"/>
            </w:r>
          </w:hyperlink>
        </w:p>
        <w:p w14:paraId="69A3BF79" w14:textId="56A5703A" w:rsidR="00415DA9" w:rsidRDefault="00415DA9">
          <w:pPr>
            <w:pStyle w:val="TOC1"/>
            <w:tabs>
              <w:tab w:val="right" w:leader="dot" w:pos="9350"/>
            </w:tabs>
            <w:rPr>
              <w:noProof/>
            </w:rPr>
          </w:pPr>
          <w:hyperlink w:anchor="_Toc239065924" w:history="1">
            <w:r w:rsidRPr="00C10DDD">
              <w:rPr>
                <w:rStyle w:val="Hyperlink"/>
                <w:noProof/>
              </w:rPr>
              <w:t>4. Solution architecture</w:t>
            </w:r>
            <w:r>
              <w:rPr>
                <w:noProof/>
              </w:rPr>
              <w:tab/>
            </w:r>
            <w:r>
              <w:rPr>
                <w:noProof/>
              </w:rPr>
              <w:fldChar w:fldCharType="begin"/>
            </w:r>
            <w:r>
              <w:rPr>
                <w:noProof/>
              </w:rPr>
              <w:instrText xml:space="preserve"> PAGEREF _Toc239065924 \h </w:instrText>
            </w:r>
            <w:r>
              <w:rPr>
                <w:noProof/>
              </w:rPr>
            </w:r>
            <w:r>
              <w:rPr>
                <w:noProof/>
              </w:rPr>
              <w:fldChar w:fldCharType="separate"/>
            </w:r>
            <w:r>
              <w:rPr>
                <w:noProof/>
              </w:rPr>
              <w:t>5</w:t>
            </w:r>
            <w:r>
              <w:rPr>
                <w:noProof/>
              </w:rPr>
              <w:fldChar w:fldCharType="end"/>
            </w:r>
          </w:hyperlink>
        </w:p>
        <w:p w14:paraId="49F5798C" w14:textId="6446DDF2" w:rsidR="00415DA9" w:rsidRDefault="00415DA9">
          <w:pPr>
            <w:pStyle w:val="TOC2"/>
            <w:tabs>
              <w:tab w:val="right" w:leader="dot" w:pos="9350"/>
            </w:tabs>
            <w:rPr>
              <w:noProof/>
            </w:rPr>
          </w:pPr>
          <w:hyperlink w:anchor="_Toc239065925" w:history="1">
            <w:r w:rsidRPr="00C10DDD">
              <w:rPr>
                <w:rStyle w:val="Hyperlink"/>
                <w:noProof/>
              </w:rPr>
              <w:t>4.1 Component view</w:t>
            </w:r>
            <w:r>
              <w:rPr>
                <w:noProof/>
              </w:rPr>
              <w:tab/>
            </w:r>
            <w:r>
              <w:rPr>
                <w:noProof/>
              </w:rPr>
              <w:fldChar w:fldCharType="begin"/>
            </w:r>
            <w:r>
              <w:rPr>
                <w:noProof/>
              </w:rPr>
              <w:instrText xml:space="preserve"> PAGEREF _Toc239065925 \h </w:instrText>
            </w:r>
            <w:r>
              <w:rPr>
                <w:noProof/>
              </w:rPr>
            </w:r>
            <w:r>
              <w:rPr>
                <w:noProof/>
              </w:rPr>
              <w:fldChar w:fldCharType="separate"/>
            </w:r>
            <w:r>
              <w:rPr>
                <w:noProof/>
              </w:rPr>
              <w:t>5</w:t>
            </w:r>
            <w:r>
              <w:rPr>
                <w:noProof/>
              </w:rPr>
              <w:fldChar w:fldCharType="end"/>
            </w:r>
          </w:hyperlink>
        </w:p>
        <w:p w14:paraId="6944BB9C" w14:textId="3AC795FC" w:rsidR="00415DA9" w:rsidRDefault="00415DA9">
          <w:pPr>
            <w:pStyle w:val="TOC2"/>
            <w:tabs>
              <w:tab w:val="right" w:leader="dot" w:pos="9350"/>
            </w:tabs>
            <w:rPr>
              <w:noProof/>
            </w:rPr>
          </w:pPr>
          <w:hyperlink w:anchor="_Toc239065926" w:history="1">
            <w:r w:rsidRPr="00C10DDD">
              <w:rPr>
                <w:rStyle w:val="Hyperlink"/>
                <w:noProof/>
              </w:rPr>
              <w:t>4.2 Run sequence</w:t>
            </w:r>
            <w:r>
              <w:rPr>
                <w:noProof/>
              </w:rPr>
              <w:tab/>
            </w:r>
            <w:r>
              <w:rPr>
                <w:noProof/>
              </w:rPr>
              <w:fldChar w:fldCharType="begin"/>
            </w:r>
            <w:r>
              <w:rPr>
                <w:noProof/>
              </w:rPr>
              <w:instrText xml:space="preserve"> PAGEREF _Toc239065926 \h </w:instrText>
            </w:r>
            <w:r>
              <w:rPr>
                <w:noProof/>
              </w:rPr>
            </w:r>
            <w:r>
              <w:rPr>
                <w:noProof/>
              </w:rPr>
              <w:fldChar w:fldCharType="separate"/>
            </w:r>
            <w:r>
              <w:rPr>
                <w:noProof/>
              </w:rPr>
              <w:t>5</w:t>
            </w:r>
            <w:r>
              <w:rPr>
                <w:noProof/>
              </w:rPr>
              <w:fldChar w:fldCharType="end"/>
            </w:r>
          </w:hyperlink>
        </w:p>
        <w:p w14:paraId="0CDE4204" w14:textId="2C3C59B9" w:rsidR="00415DA9" w:rsidRDefault="00415DA9">
          <w:pPr>
            <w:pStyle w:val="TOC2"/>
            <w:tabs>
              <w:tab w:val="right" w:leader="dot" w:pos="9350"/>
            </w:tabs>
            <w:rPr>
              <w:noProof/>
            </w:rPr>
          </w:pPr>
          <w:hyperlink w:anchor="_Toc239065927" w:history="1">
            <w:r w:rsidRPr="00C10DDD">
              <w:rPr>
                <w:rStyle w:val="Hyperlink"/>
                <w:noProof/>
              </w:rPr>
              <w:t>4.3 Hosting decision</w:t>
            </w:r>
            <w:r>
              <w:rPr>
                <w:noProof/>
              </w:rPr>
              <w:tab/>
            </w:r>
            <w:r>
              <w:rPr>
                <w:noProof/>
              </w:rPr>
              <w:fldChar w:fldCharType="begin"/>
            </w:r>
            <w:r>
              <w:rPr>
                <w:noProof/>
              </w:rPr>
              <w:instrText xml:space="preserve"> PAGEREF _Toc239065927 \h </w:instrText>
            </w:r>
            <w:r>
              <w:rPr>
                <w:noProof/>
              </w:rPr>
            </w:r>
            <w:r>
              <w:rPr>
                <w:noProof/>
              </w:rPr>
              <w:fldChar w:fldCharType="separate"/>
            </w:r>
            <w:r>
              <w:rPr>
                <w:noProof/>
              </w:rPr>
              <w:t>6</w:t>
            </w:r>
            <w:r>
              <w:rPr>
                <w:noProof/>
              </w:rPr>
              <w:fldChar w:fldCharType="end"/>
            </w:r>
          </w:hyperlink>
        </w:p>
        <w:p w14:paraId="45974DF9" w14:textId="2B848AC3" w:rsidR="00415DA9" w:rsidRDefault="00415DA9">
          <w:pPr>
            <w:pStyle w:val="TOC1"/>
            <w:tabs>
              <w:tab w:val="right" w:leader="dot" w:pos="9350"/>
            </w:tabs>
            <w:rPr>
              <w:noProof/>
            </w:rPr>
          </w:pPr>
          <w:hyperlink w:anchor="_Toc239065928" w:history="1">
            <w:r w:rsidRPr="00C10DDD">
              <w:rPr>
                <w:rStyle w:val="Hyperlink"/>
                <w:noProof/>
              </w:rPr>
              <w:t>5. Object model</w:t>
            </w:r>
            <w:r>
              <w:rPr>
                <w:noProof/>
              </w:rPr>
              <w:tab/>
            </w:r>
            <w:r>
              <w:rPr>
                <w:noProof/>
              </w:rPr>
              <w:fldChar w:fldCharType="begin"/>
            </w:r>
            <w:r>
              <w:rPr>
                <w:noProof/>
              </w:rPr>
              <w:instrText xml:space="preserve"> PAGEREF _Toc239065928 \h </w:instrText>
            </w:r>
            <w:r>
              <w:rPr>
                <w:noProof/>
              </w:rPr>
            </w:r>
            <w:r>
              <w:rPr>
                <w:noProof/>
              </w:rPr>
              <w:fldChar w:fldCharType="separate"/>
            </w:r>
            <w:r>
              <w:rPr>
                <w:noProof/>
              </w:rPr>
              <w:t>6</w:t>
            </w:r>
            <w:r>
              <w:rPr>
                <w:noProof/>
              </w:rPr>
              <w:fldChar w:fldCharType="end"/>
            </w:r>
          </w:hyperlink>
        </w:p>
        <w:p w14:paraId="58971DFA" w14:textId="30282A40" w:rsidR="00415DA9" w:rsidRDefault="00415DA9">
          <w:pPr>
            <w:pStyle w:val="TOC1"/>
            <w:tabs>
              <w:tab w:val="right" w:leader="dot" w:pos="9350"/>
            </w:tabs>
            <w:rPr>
              <w:noProof/>
            </w:rPr>
          </w:pPr>
          <w:hyperlink w:anchor="_Toc239065929" w:history="1">
            <w:r w:rsidRPr="00C10DDD">
              <w:rPr>
                <w:rStyle w:val="Hyperlink"/>
                <w:noProof/>
              </w:rPr>
              <w:t>6. Identity and least privilege</w:t>
            </w:r>
            <w:r>
              <w:rPr>
                <w:noProof/>
              </w:rPr>
              <w:tab/>
            </w:r>
            <w:r>
              <w:rPr>
                <w:noProof/>
              </w:rPr>
              <w:fldChar w:fldCharType="begin"/>
            </w:r>
            <w:r>
              <w:rPr>
                <w:noProof/>
              </w:rPr>
              <w:instrText xml:space="preserve"> PAGEREF _Toc239065929 \h </w:instrText>
            </w:r>
            <w:r>
              <w:rPr>
                <w:noProof/>
              </w:rPr>
            </w:r>
            <w:r>
              <w:rPr>
                <w:noProof/>
              </w:rPr>
              <w:fldChar w:fldCharType="separate"/>
            </w:r>
            <w:r>
              <w:rPr>
                <w:noProof/>
              </w:rPr>
              <w:t>6</w:t>
            </w:r>
            <w:r>
              <w:rPr>
                <w:noProof/>
              </w:rPr>
              <w:fldChar w:fldCharType="end"/>
            </w:r>
          </w:hyperlink>
        </w:p>
        <w:p w14:paraId="3865D577" w14:textId="11D35EB0" w:rsidR="00415DA9" w:rsidRDefault="00415DA9">
          <w:pPr>
            <w:pStyle w:val="TOC1"/>
            <w:tabs>
              <w:tab w:val="right" w:leader="dot" w:pos="9350"/>
            </w:tabs>
            <w:rPr>
              <w:noProof/>
            </w:rPr>
          </w:pPr>
          <w:hyperlink w:anchor="_Toc239065930" w:history="1">
            <w:r w:rsidRPr="00C10DDD">
              <w:rPr>
                <w:rStyle w:val="Hyperlink"/>
                <w:noProof/>
              </w:rPr>
              <w:t>7. Attribute allow list — what actually crosses the boundary</w:t>
            </w:r>
            <w:r>
              <w:rPr>
                <w:noProof/>
              </w:rPr>
              <w:tab/>
            </w:r>
            <w:r>
              <w:rPr>
                <w:noProof/>
              </w:rPr>
              <w:fldChar w:fldCharType="begin"/>
            </w:r>
            <w:r>
              <w:rPr>
                <w:noProof/>
              </w:rPr>
              <w:instrText xml:space="preserve"> PAGEREF _Toc239065930 \h </w:instrText>
            </w:r>
            <w:r>
              <w:rPr>
                <w:noProof/>
              </w:rPr>
            </w:r>
            <w:r>
              <w:rPr>
                <w:noProof/>
              </w:rPr>
              <w:fldChar w:fldCharType="separate"/>
            </w:r>
            <w:r>
              <w:rPr>
                <w:noProof/>
              </w:rPr>
              <w:t>7</w:t>
            </w:r>
            <w:r>
              <w:rPr>
                <w:noProof/>
              </w:rPr>
              <w:fldChar w:fldCharType="end"/>
            </w:r>
          </w:hyperlink>
        </w:p>
        <w:p w14:paraId="35BB014F" w14:textId="744D143A" w:rsidR="00415DA9" w:rsidRDefault="00415DA9">
          <w:pPr>
            <w:pStyle w:val="TOC1"/>
            <w:tabs>
              <w:tab w:val="right" w:leader="dot" w:pos="9350"/>
            </w:tabs>
            <w:rPr>
              <w:noProof/>
            </w:rPr>
          </w:pPr>
          <w:hyperlink w:anchor="_Toc239065931" w:history="1">
            <w:r w:rsidRPr="00C10DDD">
              <w:rPr>
                <w:rStyle w:val="Hyperlink"/>
                <w:noProof/>
              </w:rPr>
              <w:t>8. Scoping and exclusions</w:t>
            </w:r>
            <w:r>
              <w:rPr>
                <w:noProof/>
              </w:rPr>
              <w:tab/>
            </w:r>
            <w:r>
              <w:rPr>
                <w:noProof/>
              </w:rPr>
              <w:fldChar w:fldCharType="begin"/>
            </w:r>
            <w:r>
              <w:rPr>
                <w:noProof/>
              </w:rPr>
              <w:instrText xml:space="preserve"> PAGEREF _Toc239065931 \h </w:instrText>
            </w:r>
            <w:r>
              <w:rPr>
                <w:noProof/>
              </w:rPr>
            </w:r>
            <w:r>
              <w:rPr>
                <w:noProof/>
              </w:rPr>
              <w:fldChar w:fldCharType="separate"/>
            </w:r>
            <w:r>
              <w:rPr>
                <w:noProof/>
              </w:rPr>
              <w:t>8</w:t>
            </w:r>
            <w:r>
              <w:rPr>
                <w:noProof/>
              </w:rPr>
              <w:fldChar w:fldCharType="end"/>
            </w:r>
          </w:hyperlink>
        </w:p>
        <w:p w14:paraId="622E0DB0" w14:textId="4C25EB98" w:rsidR="00415DA9" w:rsidRDefault="00415DA9">
          <w:pPr>
            <w:pStyle w:val="TOC1"/>
            <w:tabs>
              <w:tab w:val="right" w:leader="dot" w:pos="9350"/>
            </w:tabs>
            <w:rPr>
              <w:noProof/>
            </w:rPr>
          </w:pPr>
          <w:hyperlink w:anchor="_Toc239065932" w:history="1">
            <w:r w:rsidRPr="00C10DDD">
              <w:rPr>
                <w:rStyle w:val="Hyperlink"/>
                <w:noProof/>
              </w:rPr>
              <w:t>9. Synchronisation semantics</w:t>
            </w:r>
            <w:r>
              <w:rPr>
                <w:noProof/>
              </w:rPr>
              <w:tab/>
            </w:r>
            <w:r>
              <w:rPr>
                <w:noProof/>
              </w:rPr>
              <w:fldChar w:fldCharType="begin"/>
            </w:r>
            <w:r>
              <w:rPr>
                <w:noProof/>
              </w:rPr>
              <w:instrText xml:space="preserve"> PAGEREF _Toc239065932 \h </w:instrText>
            </w:r>
            <w:r>
              <w:rPr>
                <w:noProof/>
              </w:rPr>
            </w:r>
            <w:r>
              <w:rPr>
                <w:noProof/>
              </w:rPr>
              <w:fldChar w:fldCharType="separate"/>
            </w:r>
            <w:r>
              <w:rPr>
                <w:noProof/>
              </w:rPr>
              <w:t>8</w:t>
            </w:r>
            <w:r>
              <w:rPr>
                <w:noProof/>
              </w:rPr>
              <w:fldChar w:fldCharType="end"/>
            </w:r>
          </w:hyperlink>
        </w:p>
        <w:p w14:paraId="1BCFF88C" w14:textId="5DD7B4DF" w:rsidR="00415DA9" w:rsidRDefault="00415DA9">
          <w:pPr>
            <w:pStyle w:val="TOC1"/>
            <w:tabs>
              <w:tab w:val="right" w:leader="dot" w:pos="9350"/>
            </w:tabs>
            <w:rPr>
              <w:noProof/>
            </w:rPr>
          </w:pPr>
          <w:hyperlink w:anchor="_Toc239065933" w:history="1">
            <w:r w:rsidRPr="00C10DDD">
              <w:rPr>
                <w:rStyle w:val="Hyperlink"/>
                <w:noProof/>
              </w:rPr>
              <w:t>10. Free/busy, MailTips and calendar sharing</w:t>
            </w:r>
            <w:r>
              <w:rPr>
                <w:noProof/>
              </w:rPr>
              <w:tab/>
            </w:r>
            <w:r>
              <w:rPr>
                <w:noProof/>
              </w:rPr>
              <w:fldChar w:fldCharType="begin"/>
            </w:r>
            <w:r>
              <w:rPr>
                <w:noProof/>
              </w:rPr>
              <w:instrText xml:space="preserve"> PAGEREF _Toc239065933 \h </w:instrText>
            </w:r>
            <w:r>
              <w:rPr>
                <w:noProof/>
              </w:rPr>
            </w:r>
            <w:r>
              <w:rPr>
                <w:noProof/>
              </w:rPr>
              <w:fldChar w:fldCharType="separate"/>
            </w:r>
            <w:r>
              <w:rPr>
                <w:noProof/>
              </w:rPr>
              <w:t>9</w:t>
            </w:r>
            <w:r>
              <w:rPr>
                <w:noProof/>
              </w:rPr>
              <w:fldChar w:fldCharType="end"/>
            </w:r>
          </w:hyperlink>
        </w:p>
        <w:p w14:paraId="147EE402" w14:textId="13ECDE04" w:rsidR="00415DA9" w:rsidRDefault="00415DA9">
          <w:pPr>
            <w:pStyle w:val="TOC2"/>
            <w:tabs>
              <w:tab w:val="right" w:leader="dot" w:pos="9350"/>
            </w:tabs>
            <w:rPr>
              <w:noProof/>
            </w:rPr>
          </w:pPr>
          <w:hyperlink w:anchor="_Toc239065934" w:history="1">
            <w:r w:rsidRPr="00C10DDD">
              <w:rPr>
                <w:rStyle w:val="Hyperlink"/>
                <w:noProof/>
              </w:rPr>
              <w:t>10.1 Target state — Cross-Tenant Access Policy</w:t>
            </w:r>
            <w:r>
              <w:rPr>
                <w:noProof/>
              </w:rPr>
              <w:tab/>
            </w:r>
            <w:r>
              <w:rPr>
                <w:noProof/>
              </w:rPr>
              <w:fldChar w:fldCharType="begin"/>
            </w:r>
            <w:r>
              <w:rPr>
                <w:noProof/>
              </w:rPr>
              <w:instrText xml:space="preserve"> PAGEREF _Toc239065934 \h </w:instrText>
            </w:r>
            <w:r>
              <w:rPr>
                <w:noProof/>
              </w:rPr>
            </w:r>
            <w:r>
              <w:rPr>
                <w:noProof/>
              </w:rPr>
              <w:fldChar w:fldCharType="separate"/>
            </w:r>
            <w:r>
              <w:rPr>
                <w:noProof/>
              </w:rPr>
              <w:t>9</w:t>
            </w:r>
            <w:r>
              <w:rPr>
                <w:noProof/>
              </w:rPr>
              <w:fldChar w:fldCharType="end"/>
            </w:r>
          </w:hyperlink>
        </w:p>
        <w:p w14:paraId="62FDEFB3" w14:textId="10DF729C" w:rsidR="00415DA9" w:rsidRDefault="00415DA9">
          <w:pPr>
            <w:pStyle w:val="TOC2"/>
            <w:tabs>
              <w:tab w:val="right" w:leader="dot" w:pos="9350"/>
            </w:tabs>
            <w:rPr>
              <w:noProof/>
            </w:rPr>
          </w:pPr>
          <w:hyperlink w:anchor="_Toc239065935" w:history="1">
            <w:r w:rsidRPr="00C10DDD">
              <w:rPr>
                <w:rStyle w:val="Hyperlink"/>
                <w:noProof/>
              </w:rPr>
              <w:t>10.2 Bridge — legacy organisation relationship</w:t>
            </w:r>
            <w:r>
              <w:rPr>
                <w:noProof/>
              </w:rPr>
              <w:tab/>
            </w:r>
            <w:r>
              <w:rPr>
                <w:noProof/>
              </w:rPr>
              <w:fldChar w:fldCharType="begin"/>
            </w:r>
            <w:r>
              <w:rPr>
                <w:noProof/>
              </w:rPr>
              <w:instrText xml:space="preserve"> PAGEREF _Toc239065935 \h </w:instrText>
            </w:r>
            <w:r>
              <w:rPr>
                <w:noProof/>
              </w:rPr>
            </w:r>
            <w:r>
              <w:rPr>
                <w:noProof/>
              </w:rPr>
              <w:fldChar w:fldCharType="separate"/>
            </w:r>
            <w:r>
              <w:rPr>
                <w:noProof/>
              </w:rPr>
              <w:t>10</w:t>
            </w:r>
            <w:r>
              <w:rPr>
                <w:noProof/>
              </w:rPr>
              <w:fldChar w:fldCharType="end"/>
            </w:r>
          </w:hyperlink>
        </w:p>
        <w:p w14:paraId="42E1911A" w14:textId="156A445F" w:rsidR="00415DA9" w:rsidRDefault="00415DA9">
          <w:pPr>
            <w:pStyle w:val="TOC2"/>
            <w:tabs>
              <w:tab w:val="right" w:leader="dot" w:pos="9350"/>
            </w:tabs>
            <w:rPr>
              <w:noProof/>
            </w:rPr>
          </w:pPr>
          <w:hyperlink w:anchor="_Toc239065936" w:history="1">
            <w:r w:rsidRPr="00C10DDD">
              <w:rPr>
                <w:rStyle w:val="Hyperlink"/>
                <w:noProof/>
              </w:rPr>
              <w:t>10.3 Timeline</w:t>
            </w:r>
            <w:r>
              <w:rPr>
                <w:noProof/>
              </w:rPr>
              <w:tab/>
            </w:r>
            <w:r>
              <w:rPr>
                <w:noProof/>
              </w:rPr>
              <w:fldChar w:fldCharType="begin"/>
            </w:r>
            <w:r>
              <w:rPr>
                <w:noProof/>
              </w:rPr>
              <w:instrText xml:space="preserve"> PAGEREF _Toc239065936 \h </w:instrText>
            </w:r>
            <w:r>
              <w:rPr>
                <w:noProof/>
              </w:rPr>
            </w:r>
            <w:r>
              <w:rPr>
                <w:noProof/>
              </w:rPr>
              <w:fldChar w:fldCharType="separate"/>
            </w:r>
            <w:r>
              <w:rPr>
                <w:noProof/>
              </w:rPr>
              <w:t>10</w:t>
            </w:r>
            <w:r>
              <w:rPr>
                <w:noProof/>
              </w:rPr>
              <w:fldChar w:fldCharType="end"/>
            </w:r>
          </w:hyperlink>
        </w:p>
        <w:p w14:paraId="62885B93" w14:textId="74FC085D" w:rsidR="00415DA9" w:rsidRDefault="00415DA9">
          <w:pPr>
            <w:pStyle w:val="TOC1"/>
            <w:tabs>
              <w:tab w:val="right" w:leader="dot" w:pos="9350"/>
            </w:tabs>
            <w:rPr>
              <w:noProof/>
            </w:rPr>
          </w:pPr>
          <w:hyperlink w:anchor="_Toc239065937" w:history="1">
            <w:r w:rsidRPr="00C10DDD">
              <w:rPr>
                <w:rStyle w:val="Hyperlink"/>
                <w:noProof/>
              </w:rPr>
              <w:t>11. Teams federation and cross-cloud meetings</w:t>
            </w:r>
            <w:r>
              <w:rPr>
                <w:noProof/>
              </w:rPr>
              <w:tab/>
            </w:r>
            <w:r>
              <w:rPr>
                <w:noProof/>
              </w:rPr>
              <w:fldChar w:fldCharType="begin"/>
            </w:r>
            <w:r>
              <w:rPr>
                <w:noProof/>
              </w:rPr>
              <w:instrText xml:space="preserve"> PAGEREF _Toc239065937 \h </w:instrText>
            </w:r>
            <w:r>
              <w:rPr>
                <w:noProof/>
              </w:rPr>
            </w:r>
            <w:r>
              <w:rPr>
                <w:noProof/>
              </w:rPr>
              <w:fldChar w:fldCharType="separate"/>
            </w:r>
            <w:r>
              <w:rPr>
                <w:noProof/>
              </w:rPr>
              <w:t>10</w:t>
            </w:r>
            <w:r>
              <w:rPr>
                <w:noProof/>
              </w:rPr>
              <w:fldChar w:fldCharType="end"/>
            </w:r>
          </w:hyperlink>
        </w:p>
        <w:p w14:paraId="242DFB08" w14:textId="5462D78F" w:rsidR="00415DA9" w:rsidRDefault="00415DA9">
          <w:pPr>
            <w:pStyle w:val="TOC2"/>
            <w:tabs>
              <w:tab w:val="right" w:leader="dot" w:pos="9350"/>
            </w:tabs>
            <w:rPr>
              <w:noProof/>
            </w:rPr>
          </w:pPr>
          <w:hyperlink w:anchor="_Toc239065938" w:history="1">
            <w:r w:rsidRPr="00C10DDD">
              <w:rPr>
                <w:rStyle w:val="Hyperlink"/>
                <w:noProof/>
              </w:rPr>
              <w:t>11.1 Chat — external access with a domain allow list</w:t>
            </w:r>
            <w:r>
              <w:rPr>
                <w:noProof/>
              </w:rPr>
              <w:tab/>
            </w:r>
            <w:r>
              <w:rPr>
                <w:noProof/>
              </w:rPr>
              <w:fldChar w:fldCharType="begin"/>
            </w:r>
            <w:r>
              <w:rPr>
                <w:noProof/>
              </w:rPr>
              <w:instrText xml:space="preserve"> PAGEREF _Toc239065938 \h </w:instrText>
            </w:r>
            <w:r>
              <w:rPr>
                <w:noProof/>
              </w:rPr>
            </w:r>
            <w:r>
              <w:rPr>
                <w:noProof/>
              </w:rPr>
              <w:fldChar w:fldCharType="separate"/>
            </w:r>
            <w:r>
              <w:rPr>
                <w:noProof/>
              </w:rPr>
              <w:t>10</w:t>
            </w:r>
            <w:r>
              <w:rPr>
                <w:noProof/>
              </w:rPr>
              <w:fldChar w:fldCharType="end"/>
            </w:r>
          </w:hyperlink>
        </w:p>
        <w:p w14:paraId="13043993" w14:textId="32AF37D6" w:rsidR="00415DA9" w:rsidRDefault="00415DA9">
          <w:pPr>
            <w:pStyle w:val="TOC2"/>
            <w:tabs>
              <w:tab w:val="right" w:leader="dot" w:pos="9350"/>
            </w:tabs>
            <w:rPr>
              <w:noProof/>
            </w:rPr>
          </w:pPr>
          <w:hyperlink w:anchor="_Toc239065939" w:history="1">
            <w:r w:rsidRPr="00C10DDD">
              <w:rPr>
                <w:rStyle w:val="Hyperlink"/>
                <w:noProof/>
              </w:rPr>
              <w:t>11.2 Meetings — cross-cloud meeting connections</w:t>
            </w:r>
            <w:r>
              <w:rPr>
                <w:noProof/>
              </w:rPr>
              <w:tab/>
            </w:r>
            <w:r>
              <w:rPr>
                <w:noProof/>
              </w:rPr>
              <w:fldChar w:fldCharType="begin"/>
            </w:r>
            <w:r>
              <w:rPr>
                <w:noProof/>
              </w:rPr>
              <w:instrText xml:space="preserve"> PAGEREF _Toc239065939 \h </w:instrText>
            </w:r>
            <w:r>
              <w:rPr>
                <w:noProof/>
              </w:rPr>
            </w:r>
            <w:r>
              <w:rPr>
                <w:noProof/>
              </w:rPr>
              <w:fldChar w:fldCharType="separate"/>
            </w:r>
            <w:r>
              <w:rPr>
                <w:noProof/>
              </w:rPr>
              <w:t>11</w:t>
            </w:r>
            <w:r>
              <w:rPr>
                <w:noProof/>
              </w:rPr>
              <w:fldChar w:fldCharType="end"/>
            </w:r>
          </w:hyperlink>
        </w:p>
        <w:p w14:paraId="242183D0" w14:textId="55C2F0F4" w:rsidR="00415DA9" w:rsidRDefault="00415DA9">
          <w:pPr>
            <w:pStyle w:val="TOC2"/>
            <w:tabs>
              <w:tab w:val="right" w:leader="dot" w:pos="9350"/>
            </w:tabs>
            <w:rPr>
              <w:noProof/>
            </w:rPr>
          </w:pPr>
          <w:hyperlink w:anchor="_Toc239065940" w:history="1">
            <w:r w:rsidRPr="00C10DDD">
              <w:rPr>
                <w:rStyle w:val="Hyperlink"/>
                <w:noProof/>
              </w:rPr>
              <w:t>11.3 What is not available</w:t>
            </w:r>
            <w:r>
              <w:rPr>
                <w:noProof/>
              </w:rPr>
              <w:tab/>
            </w:r>
            <w:r>
              <w:rPr>
                <w:noProof/>
              </w:rPr>
              <w:fldChar w:fldCharType="begin"/>
            </w:r>
            <w:r>
              <w:rPr>
                <w:noProof/>
              </w:rPr>
              <w:instrText xml:space="preserve"> PAGEREF _Toc239065940 \h </w:instrText>
            </w:r>
            <w:r>
              <w:rPr>
                <w:noProof/>
              </w:rPr>
            </w:r>
            <w:r>
              <w:rPr>
                <w:noProof/>
              </w:rPr>
              <w:fldChar w:fldCharType="separate"/>
            </w:r>
            <w:r>
              <w:rPr>
                <w:noProof/>
              </w:rPr>
              <w:t>11</w:t>
            </w:r>
            <w:r>
              <w:rPr>
                <w:noProof/>
              </w:rPr>
              <w:fldChar w:fldCharType="end"/>
            </w:r>
          </w:hyperlink>
        </w:p>
        <w:p w14:paraId="34CA7A03" w14:textId="26A508F9" w:rsidR="00415DA9" w:rsidRDefault="00415DA9">
          <w:pPr>
            <w:pStyle w:val="TOC1"/>
            <w:tabs>
              <w:tab w:val="right" w:leader="dot" w:pos="9350"/>
            </w:tabs>
            <w:rPr>
              <w:noProof/>
            </w:rPr>
          </w:pPr>
          <w:hyperlink w:anchor="_Toc239065941" w:history="1">
            <w:r w:rsidRPr="00C10DDD">
              <w:rPr>
                <w:rStyle w:val="Hyperlink"/>
                <w:noProof/>
              </w:rPr>
              <w:t>12. Monitoring, alerting and audit evidence</w:t>
            </w:r>
            <w:r>
              <w:rPr>
                <w:noProof/>
              </w:rPr>
              <w:tab/>
            </w:r>
            <w:r>
              <w:rPr>
                <w:noProof/>
              </w:rPr>
              <w:fldChar w:fldCharType="begin"/>
            </w:r>
            <w:r>
              <w:rPr>
                <w:noProof/>
              </w:rPr>
              <w:instrText xml:space="preserve"> PAGEREF _Toc239065941 \h </w:instrText>
            </w:r>
            <w:r>
              <w:rPr>
                <w:noProof/>
              </w:rPr>
            </w:r>
            <w:r>
              <w:rPr>
                <w:noProof/>
              </w:rPr>
              <w:fldChar w:fldCharType="separate"/>
            </w:r>
            <w:r>
              <w:rPr>
                <w:noProof/>
              </w:rPr>
              <w:t>11</w:t>
            </w:r>
            <w:r>
              <w:rPr>
                <w:noProof/>
              </w:rPr>
              <w:fldChar w:fldCharType="end"/>
            </w:r>
          </w:hyperlink>
        </w:p>
        <w:p w14:paraId="56B78873" w14:textId="12CF98E4" w:rsidR="00415DA9" w:rsidRDefault="00415DA9">
          <w:pPr>
            <w:pStyle w:val="TOC1"/>
            <w:tabs>
              <w:tab w:val="right" w:leader="dot" w:pos="9350"/>
            </w:tabs>
            <w:rPr>
              <w:noProof/>
            </w:rPr>
          </w:pPr>
          <w:hyperlink w:anchor="_Toc239065942" w:history="1">
            <w:r w:rsidRPr="00C10DDD">
              <w:rPr>
                <w:rStyle w:val="Hyperlink"/>
                <w:noProof/>
              </w:rPr>
              <w:t>13. Security and compliance</w:t>
            </w:r>
            <w:r>
              <w:rPr>
                <w:noProof/>
              </w:rPr>
              <w:tab/>
            </w:r>
            <w:r>
              <w:rPr>
                <w:noProof/>
              </w:rPr>
              <w:fldChar w:fldCharType="begin"/>
            </w:r>
            <w:r>
              <w:rPr>
                <w:noProof/>
              </w:rPr>
              <w:instrText xml:space="preserve"> PAGEREF _Toc239065942 \h </w:instrText>
            </w:r>
            <w:r>
              <w:rPr>
                <w:noProof/>
              </w:rPr>
            </w:r>
            <w:r>
              <w:rPr>
                <w:noProof/>
              </w:rPr>
              <w:fldChar w:fldCharType="separate"/>
            </w:r>
            <w:r>
              <w:rPr>
                <w:noProof/>
              </w:rPr>
              <w:t>12</w:t>
            </w:r>
            <w:r>
              <w:rPr>
                <w:noProof/>
              </w:rPr>
              <w:fldChar w:fldCharType="end"/>
            </w:r>
          </w:hyperlink>
        </w:p>
        <w:p w14:paraId="59FA88EE" w14:textId="61C4EEEF" w:rsidR="00415DA9" w:rsidRDefault="00415DA9">
          <w:pPr>
            <w:pStyle w:val="TOC2"/>
            <w:tabs>
              <w:tab w:val="right" w:leader="dot" w:pos="9350"/>
            </w:tabs>
            <w:rPr>
              <w:noProof/>
            </w:rPr>
          </w:pPr>
          <w:hyperlink w:anchor="_Toc239065943" w:history="1">
            <w:r w:rsidRPr="00C10DDD">
              <w:rPr>
                <w:rStyle w:val="Hyperlink"/>
                <w:noProof/>
              </w:rPr>
              <w:t>13.1 Data flow characterisation</w:t>
            </w:r>
            <w:r>
              <w:rPr>
                <w:noProof/>
              </w:rPr>
              <w:tab/>
            </w:r>
            <w:r>
              <w:rPr>
                <w:noProof/>
              </w:rPr>
              <w:fldChar w:fldCharType="begin"/>
            </w:r>
            <w:r>
              <w:rPr>
                <w:noProof/>
              </w:rPr>
              <w:instrText xml:space="preserve"> PAGEREF _Toc239065943 \h </w:instrText>
            </w:r>
            <w:r>
              <w:rPr>
                <w:noProof/>
              </w:rPr>
            </w:r>
            <w:r>
              <w:rPr>
                <w:noProof/>
              </w:rPr>
              <w:fldChar w:fldCharType="separate"/>
            </w:r>
            <w:r>
              <w:rPr>
                <w:noProof/>
              </w:rPr>
              <w:t>12</w:t>
            </w:r>
            <w:r>
              <w:rPr>
                <w:noProof/>
              </w:rPr>
              <w:fldChar w:fldCharType="end"/>
            </w:r>
          </w:hyperlink>
        </w:p>
        <w:p w14:paraId="7B63F48A" w14:textId="730AF5E3" w:rsidR="00415DA9" w:rsidRDefault="00415DA9">
          <w:pPr>
            <w:pStyle w:val="TOC2"/>
            <w:tabs>
              <w:tab w:val="right" w:leader="dot" w:pos="9350"/>
            </w:tabs>
            <w:rPr>
              <w:noProof/>
            </w:rPr>
          </w:pPr>
          <w:hyperlink w:anchor="_Toc239065944" w:history="1">
            <w:r w:rsidRPr="00C10DDD">
              <w:rPr>
                <w:rStyle w:val="Hyperlink"/>
                <w:noProof/>
              </w:rPr>
              <w:t>13.2 Control mapping (NIST SP 800-171 R2 / CMMC L2)</w:t>
            </w:r>
            <w:r>
              <w:rPr>
                <w:noProof/>
              </w:rPr>
              <w:tab/>
            </w:r>
            <w:r>
              <w:rPr>
                <w:noProof/>
              </w:rPr>
              <w:fldChar w:fldCharType="begin"/>
            </w:r>
            <w:r>
              <w:rPr>
                <w:noProof/>
              </w:rPr>
              <w:instrText xml:space="preserve"> PAGEREF _Toc239065944 \h </w:instrText>
            </w:r>
            <w:r>
              <w:rPr>
                <w:noProof/>
              </w:rPr>
            </w:r>
            <w:r>
              <w:rPr>
                <w:noProof/>
              </w:rPr>
              <w:fldChar w:fldCharType="separate"/>
            </w:r>
            <w:r>
              <w:rPr>
                <w:noProof/>
              </w:rPr>
              <w:t>12</w:t>
            </w:r>
            <w:r>
              <w:rPr>
                <w:noProof/>
              </w:rPr>
              <w:fldChar w:fldCharType="end"/>
            </w:r>
          </w:hyperlink>
        </w:p>
        <w:p w14:paraId="44A9496B" w14:textId="288562F1" w:rsidR="00415DA9" w:rsidRDefault="00415DA9">
          <w:pPr>
            <w:pStyle w:val="TOC2"/>
            <w:tabs>
              <w:tab w:val="right" w:leader="dot" w:pos="9350"/>
            </w:tabs>
            <w:rPr>
              <w:noProof/>
            </w:rPr>
          </w:pPr>
          <w:hyperlink w:anchor="_Toc239065945" w:history="1">
            <w:r w:rsidRPr="00C10DDD">
              <w:rPr>
                <w:rStyle w:val="Hyperlink"/>
                <w:noProof/>
              </w:rPr>
              <w:t>13.3 Residual risks</w:t>
            </w:r>
            <w:r>
              <w:rPr>
                <w:noProof/>
              </w:rPr>
              <w:tab/>
            </w:r>
            <w:r>
              <w:rPr>
                <w:noProof/>
              </w:rPr>
              <w:fldChar w:fldCharType="begin"/>
            </w:r>
            <w:r>
              <w:rPr>
                <w:noProof/>
              </w:rPr>
              <w:instrText xml:space="preserve"> PAGEREF _Toc239065945 \h </w:instrText>
            </w:r>
            <w:r>
              <w:rPr>
                <w:noProof/>
              </w:rPr>
            </w:r>
            <w:r>
              <w:rPr>
                <w:noProof/>
              </w:rPr>
              <w:fldChar w:fldCharType="separate"/>
            </w:r>
            <w:r>
              <w:rPr>
                <w:noProof/>
              </w:rPr>
              <w:t>13</w:t>
            </w:r>
            <w:r>
              <w:rPr>
                <w:noProof/>
              </w:rPr>
              <w:fldChar w:fldCharType="end"/>
            </w:r>
          </w:hyperlink>
        </w:p>
        <w:p w14:paraId="2D726E4E" w14:textId="278CA78C" w:rsidR="00415DA9" w:rsidRDefault="00415DA9">
          <w:pPr>
            <w:pStyle w:val="TOC1"/>
            <w:tabs>
              <w:tab w:val="right" w:leader="dot" w:pos="9350"/>
            </w:tabs>
            <w:rPr>
              <w:noProof/>
            </w:rPr>
          </w:pPr>
          <w:hyperlink w:anchor="_Toc239065946" w:history="1">
            <w:r w:rsidRPr="00C10DDD">
              <w:rPr>
                <w:rStyle w:val="Hyperlink"/>
                <w:noProof/>
              </w:rPr>
              <w:t>14. Implementation plan</w:t>
            </w:r>
            <w:r>
              <w:rPr>
                <w:noProof/>
              </w:rPr>
              <w:tab/>
            </w:r>
            <w:r>
              <w:rPr>
                <w:noProof/>
              </w:rPr>
              <w:fldChar w:fldCharType="begin"/>
            </w:r>
            <w:r>
              <w:rPr>
                <w:noProof/>
              </w:rPr>
              <w:instrText xml:space="preserve"> PAGEREF _Toc239065946 \h </w:instrText>
            </w:r>
            <w:r>
              <w:rPr>
                <w:noProof/>
              </w:rPr>
            </w:r>
            <w:r>
              <w:rPr>
                <w:noProof/>
              </w:rPr>
              <w:fldChar w:fldCharType="separate"/>
            </w:r>
            <w:r>
              <w:rPr>
                <w:noProof/>
              </w:rPr>
              <w:t>13</w:t>
            </w:r>
            <w:r>
              <w:rPr>
                <w:noProof/>
              </w:rPr>
              <w:fldChar w:fldCharType="end"/>
            </w:r>
          </w:hyperlink>
        </w:p>
        <w:p w14:paraId="19FE7769" w14:textId="763CCEE2" w:rsidR="00415DA9" w:rsidRDefault="00415DA9">
          <w:pPr>
            <w:pStyle w:val="TOC2"/>
            <w:tabs>
              <w:tab w:val="right" w:leader="dot" w:pos="9350"/>
            </w:tabs>
            <w:rPr>
              <w:noProof/>
            </w:rPr>
          </w:pPr>
          <w:hyperlink w:anchor="_Toc239065947" w:history="1">
            <w:r w:rsidRPr="00C10DDD">
              <w:rPr>
                <w:rStyle w:val="Hyperlink"/>
                <w:noProof/>
              </w:rPr>
              <w:t>Acceptance criteria</w:t>
            </w:r>
            <w:r>
              <w:rPr>
                <w:noProof/>
              </w:rPr>
              <w:tab/>
            </w:r>
            <w:r>
              <w:rPr>
                <w:noProof/>
              </w:rPr>
              <w:fldChar w:fldCharType="begin"/>
            </w:r>
            <w:r>
              <w:rPr>
                <w:noProof/>
              </w:rPr>
              <w:instrText xml:space="preserve"> PAGEREF _Toc239065947 \h </w:instrText>
            </w:r>
            <w:r>
              <w:rPr>
                <w:noProof/>
              </w:rPr>
            </w:r>
            <w:r>
              <w:rPr>
                <w:noProof/>
              </w:rPr>
              <w:fldChar w:fldCharType="separate"/>
            </w:r>
            <w:r>
              <w:rPr>
                <w:noProof/>
              </w:rPr>
              <w:t>14</w:t>
            </w:r>
            <w:r>
              <w:rPr>
                <w:noProof/>
              </w:rPr>
              <w:fldChar w:fldCharType="end"/>
            </w:r>
          </w:hyperlink>
        </w:p>
        <w:p w14:paraId="5237BF26" w14:textId="593DA4CF" w:rsidR="00415DA9" w:rsidRDefault="00415DA9">
          <w:pPr>
            <w:pStyle w:val="TOC1"/>
            <w:tabs>
              <w:tab w:val="right" w:leader="dot" w:pos="9350"/>
            </w:tabs>
            <w:rPr>
              <w:noProof/>
            </w:rPr>
          </w:pPr>
          <w:hyperlink w:anchor="_Toc239065948" w:history="1">
            <w:r w:rsidRPr="00C10DDD">
              <w:rPr>
                <w:rStyle w:val="Hyperlink"/>
                <w:noProof/>
              </w:rPr>
              <w:t>15. Operations</w:t>
            </w:r>
            <w:r>
              <w:rPr>
                <w:noProof/>
              </w:rPr>
              <w:tab/>
            </w:r>
            <w:r>
              <w:rPr>
                <w:noProof/>
              </w:rPr>
              <w:fldChar w:fldCharType="begin"/>
            </w:r>
            <w:r>
              <w:rPr>
                <w:noProof/>
              </w:rPr>
              <w:instrText xml:space="preserve"> PAGEREF _Toc239065948 \h </w:instrText>
            </w:r>
            <w:r>
              <w:rPr>
                <w:noProof/>
              </w:rPr>
            </w:r>
            <w:r>
              <w:rPr>
                <w:noProof/>
              </w:rPr>
              <w:fldChar w:fldCharType="separate"/>
            </w:r>
            <w:r>
              <w:rPr>
                <w:noProof/>
              </w:rPr>
              <w:t>15</w:t>
            </w:r>
            <w:r>
              <w:rPr>
                <w:noProof/>
              </w:rPr>
              <w:fldChar w:fldCharType="end"/>
            </w:r>
          </w:hyperlink>
        </w:p>
        <w:p w14:paraId="3FAD0400" w14:textId="6B7B44D9" w:rsidR="00415DA9" w:rsidRDefault="00415DA9">
          <w:pPr>
            <w:pStyle w:val="TOC1"/>
            <w:tabs>
              <w:tab w:val="right" w:leader="dot" w:pos="9350"/>
            </w:tabs>
            <w:rPr>
              <w:noProof/>
            </w:rPr>
          </w:pPr>
          <w:hyperlink w:anchor="_Toc239065949" w:history="1">
            <w:r w:rsidRPr="00C10DDD">
              <w:rPr>
                <w:rStyle w:val="Hyperlink"/>
                <w:noProof/>
              </w:rPr>
              <w:t>Appendix A — Endpoints</w:t>
            </w:r>
            <w:r>
              <w:rPr>
                <w:noProof/>
              </w:rPr>
              <w:tab/>
            </w:r>
            <w:r>
              <w:rPr>
                <w:noProof/>
              </w:rPr>
              <w:fldChar w:fldCharType="begin"/>
            </w:r>
            <w:r>
              <w:rPr>
                <w:noProof/>
              </w:rPr>
              <w:instrText xml:space="preserve"> PAGEREF _Toc239065949 \h </w:instrText>
            </w:r>
            <w:r>
              <w:rPr>
                <w:noProof/>
              </w:rPr>
            </w:r>
            <w:r>
              <w:rPr>
                <w:noProof/>
              </w:rPr>
              <w:fldChar w:fldCharType="separate"/>
            </w:r>
            <w:r>
              <w:rPr>
                <w:noProof/>
              </w:rPr>
              <w:t>15</w:t>
            </w:r>
            <w:r>
              <w:rPr>
                <w:noProof/>
              </w:rPr>
              <w:fldChar w:fldCharType="end"/>
            </w:r>
          </w:hyperlink>
        </w:p>
        <w:p w14:paraId="6B7F3CC1" w14:textId="59EAE720" w:rsidR="00415DA9" w:rsidRDefault="00415DA9">
          <w:pPr>
            <w:pStyle w:val="TOC1"/>
            <w:tabs>
              <w:tab w:val="right" w:leader="dot" w:pos="9350"/>
            </w:tabs>
            <w:rPr>
              <w:noProof/>
            </w:rPr>
          </w:pPr>
          <w:hyperlink w:anchor="_Toc239065950" w:history="1">
            <w:r w:rsidRPr="00C10DDD">
              <w:rPr>
                <w:rStyle w:val="Hyperlink"/>
                <w:noProof/>
              </w:rPr>
              <w:t>Appendix B — Repository layout</w:t>
            </w:r>
            <w:r>
              <w:rPr>
                <w:noProof/>
              </w:rPr>
              <w:tab/>
            </w:r>
            <w:r>
              <w:rPr>
                <w:noProof/>
              </w:rPr>
              <w:fldChar w:fldCharType="begin"/>
            </w:r>
            <w:r>
              <w:rPr>
                <w:noProof/>
              </w:rPr>
              <w:instrText xml:space="preserve"> PAGEREF _Toc239065950 \h </w:instrText>
            </w:r>
            <w:r>
              <w:rPr>
                <w:noProof/>
              </w:rPr>
            </w:r>
            <w:r>
              <w:rPr>
                <w:noProof/>
              </w:rPr>
              <w:fldChar w:fldCharType="separate"/>
            </w:r>
            <w:r>
              <w:rPr>
                <w:noProof/>
              </w:rPr>
              <w:t>15</w:t>
            </w:r>
            <w:r>
              <w:rPr>
                <w:noProof/>
              </w:rPr>
              <w:fldChar w:fldCharType="end"/>
            </w:r>
          </w:hyperlink>
        </w:p>
        <w:p w14:paraId="0B4AA044" w14:textId="71195335" w:rsidR="00415DA9" w:rsidRDefault="00415DA9">
          <w:pPr>
            <w:pStyle w:val="TOC1"/>
            <w:tabs>
              <w:tab w:val="right" w:leader="dot" w:pos="9350"/>
            </w:tabs>
            <w:rPr>
              <w:noProof/>
            </w:rPr>
          </w:pPr>
          <w:hyperlink w:anchor="_Toc239065951" w:history="1">
            <w:r w:rsidRPr="00C10DDD">
              <w:rPr>
                <w:rStyle w:val="Hyperlink"/>
                <w:noProof/>
              </w:rPr>
              <w:t>Appendix C — References</w:t>
            </w:r>
            <w:r>
              <w:rPr>
                <w:noProof/>
              </w:rPr>
              <w:tab/>
            </w:r>
            <w:r>
              <w:rPr>
                <w:noProof/>
              </w:rPr>
              <w:fldChar w:fldCharType="begin"/>
            </w:r>
            <w:r>
              <w:rPr>
                <w:noProof/>
              </w:rPr>
              <w:instrText xml:space="preserve"> PAGEREF _Toc239065951 \h </w:instrText>
            </w:r>
            <w:r>
              <w:rPr>
                <w:noProof/>
              </w:rPr>
            </w:r>
            <w:r>
              <w:rPr>
                <w:noProof/>
              </w:rPr>
              <w:fldChar w:fldCharType="separate"/>
            </w:r>
            <w:r>
              <w:rPr>
                <w:noProof/>
              </w:rPr>
              <w:t>15</w:t>
            </w:r>
            <w:r>
              <w:rPr>
                <w:noProof/>
              </w:rPr>
              <w:fldChar w:fldCharType="end"/>
            </w:r>
          </w:hyperlink>
        </w:p>
        <w:p w14:paraId="44DE9B4C" w14:textId="48F316C3" w:rsidR="0085380A" w:rsidRDefault="00000000">
          <w:r>
            <w:fldChar w:fldCharType="end"/>
          </w:r>
        </w:p>
      </w:sdtContent>
    </w:sdt>
    <w:p w14:paraId="44DE9B4D" w14:textId="77777777" w:rsidR="0085380A" w:rsidRDefault="00000000">
      <w:r>
        <w:br w:type="page"/>
      </w:r>
    </w:p>
    <w:p w14:paraId="44DE9B4E" w14:textId="77777777" w:rsidR="0085380A" w:rsidRDefault="00000000">
      <w:pPr>
        <w:spacing w:after="120" w:line="276" w:lineRule="auto"/>
      </w:pPr>
      <w:r>
        <w:lastRenderedPageBreak/>
        <w:t>Users in the GCC High tenant and users in the Commercial tenant cannot see each other in the Global Address List, cannot resolve each other's availability, and cannot start a Teams chat without knowing an address by heart. The two tenants sit in different Microsoft clouds, so none of the native single-cloud mechanisms — Entra cross-tenant synchronisation, B2B direct connect, a shared on-premises forest — bridge them.</w:t>
      </w:r>
    </w:p>
    <w:p w14:paraId="44DE9B4F" w14:textId="77777777" w:rsidR="0085380A" w:rsidRDefault="00000000">
      <w:pPr>
        <w:spacing w:after="120" w:line="276" w:lineRule="auto"/>
      </w:pPr>
      <w:r>
        <w:t>This design delivers three things:</w:t>
      </w:r>
    </w:p>
    <w:p w14:paraId="44DE9B50" w14:textId="77777777" w:rsidR="0085380A" w:rsidRDefault="00000000">
      <w:pPr>
        <w:pStyle w:val="ListParagraph"/>
        <w:numPr>
          <w:ilvl w:val="0"/>
          <w:numId w:val="2"/>
        </w:numPr>
        <w:spacing w:after="60" w:line="276" w:lineRule="auto"/>
      </w:pPr>
      <w:r>
        <w:rPr>
          <w:b/>
          <w:bCs/>
        </w:rPr>
        <w:t>A bidirectional GAL</w:t>
      </w:r>
      <w:r>
        <w:t xml:space="preserve"> — in-scope mailbox users in each tenant appear as mail contacts in the other, refreshed hourly, driven by a purpose-built synchronisation service running entirely inside Azure Government.</w:t>
      </w:r>
    </w:p>
    <w:p w14:paraId="44DE9B51" w14:textId="77777777" w:rsidR="0085380A" w:rsidRDefault="00000000">
      <w:pPr>
        <w:pStyle w:val="ListParagraph"/>
        <w:numPr>
          <w:ilvl w:val="0"/>
          <w:numId w:val="2"/>
        </w:numPr>
        <w:spacing w:after="60" w:line="276" w:lineRule="auto"/>
      </w:pPr>
      <w:r>
        <w:rPr>
          <w:b/>
          <w:bCs/>
        </w:rPr>
        <w:t>Cross-cloud availability</w:t>
      </w:r>
      <w:r>
        <w:t xml:space="preserve"> — free/busy, MailTips and calendar sharing, configured on the Microsoft 365 Cross-Tenant Access Policy path that replaces the retiring Exchange Web Services mechanism.</w:t>
      </w:r>
    </w:p>
    <w:p w14:paraId="44DE9B52" w14:textId="77777777" w:rsidR="0085380A" w:rsidRDefault="00000000">
      <w:pPr>
        <w:pStyle w:val="ListParagraph"/>
        <w:numPr>
          <w:ilvl w:val="0"/>
          <w:numId w:val="2"/>
        </w:numPr>
        <w:spacing w:after="60" w:line="276" w:lineRule="auto"/>
      </w:pPr>
      <w:r>
        <w:rPr>
          <w:b/>
          <w:bCs/>
        </w:rPr>
        <w:t>Allow-listed Teams federation</w:t>
      </w:r>
      <w:r>
        <w:t xml:space="preserve"> — external access between the two tenants restricted to each other's domains, with no open federation and no consumer Teams.</w:t>
      </w:r>
    </w:p>
    <w:p w14:paraId="44DE9B53" w14:textId="77777777" w:rsidR="0085380A" w:rsidRDefault="00000000">
      <w:pPr>
        <w:spacing w:after="120" w:line="276" w:lineRule="auto"/>
      </w:pPr>
      <w:r>
        <w:t>The design is deliberately conservative about what crosses the boundary. Seven directory attributes are published, by name, from an explicit allow list. Membership is opt-in by security group, with a second security group and an Entra custom security attribute available as export-control exclusions. Every write is preceded by a hash comparison, so a steady-state run performs zero writes; every run emits structured audit evidence to an immutable store; and a circuit breaker refuses any run that would create or delete beyond a configured envelope.</w:t>
      </w:r>
    </w:p>
    <w:p w14:paraId="44DE9B54" w14:textId="77777777" w:rsidR="0085380A" w:rsidRDefault="00000000">
      <w:pPr>
        <w:spacing w:after="120" w:line="276" w:lineRule="auto"/>
      </w:pPr>
      <w:r>
        <w:t>No third-party service is introduced. No credential, token, or source directory object leaves the Azure Government boundary. The only egress is outbound TLS from Azure Government to two named Microsoft endpoints in the worldwide cloud.</w:t>
      </w:r>
    </w:p>
    <w:p w14:paraId="44DE9B55" w14:textId="77777777" w:rsidR="0085380A" w:rsidRDefault="0085380A">
      <w:pPr>
        <w:pBdr>
          <w:bottom w:val="single" w:sz="6" w:space="6" w:color="BFBFBF"/>
        </w:pBdr>
        <w:spacing w:before="100" w:after="200"/>
      </w:pPr>
    </w:p>
    <w:p w14:paraId="44DE9B56" w14:textId="77777777" w:rsidR="0085380A" w:rsidRDefault="00000000">
      <w:pPr>
        <w:pStyle w:val="Heading1"/>
        <w:keepNext/>
        <w:spacing w:before="360" w:after="140"/>
      </w:pPr>
      <w:bookmarkStart w:id="0" w:name="_Toc239065922"/>
      <w:r>
        <w:t>2. Requirements</w:t>
      </w:r>
      <w:bookmarkEnd w:id="0"/>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04"/>
        <w:gridCol w:w="4227"/>
        <w:gridCol w:w="4529"/>
      </w:tblGrid>
      <w:tr w:rsidR="0085380A" w14:paraId="44DE9B5A" w14:textId="77777777">
        <w:tblPrEx>
          <w:tblCellMar>
            <w:top w:w="0" w:type="dxa"/>
            <w:bottom w:w="0" w:type="dxa"/>
          </w:tblCellMar>
        </w:tblPrEx>
        <w:trPr>
          <w:tblHeader/>
        </w:trPr>
        <w:tc>
          <w:tcPr>
            <w:tcW w:w="604" w:type="dxa"/>
            <w:shd w:val="clear" w:color="auto" w:fill="1F4E79"/>
            <w:tcMar>
              <w:top w:w="60" w:type="dxa"/>
              <w:left w:w="110" w:type="dxa"/>
              <w:bottom w:w="60" w:type="dxa"/>
              <w:right w:w="110" w:type="dxa"/>
            </w:tcMar>
          </w:tcPr>
          <w:p w14:paraId="44DE9B57" w14:textId="77777777" w:rsidR="0085380A" w:rsidRDefault="00000000">
            <w:r>
              <w:rPr>
                <w:b/>
                <w:bCs/>
                <w:color w:val="FFFFFF"/>
                <w:sz w:val="19"/>
                <w:szCs w:val="19"/>
              </w:rPr>
              <w:t>#</w:t>
            </w:r>
          </w:p>
        </w:tc>
        <w:tc>
          <w:tcPr>
            <w:tcW w:w="4227" w:type="dxa"/>
            <w:shd w:val="clear" w:color="auto" w:fill="1F4E79"/>
            <w:tcMar>
              <w:top w:w="60" w:type="dxa"/>
              <w:left w:w="110" w:type="dxa"/>
              <w:bottom w:w="60" w:type="dxa"/>
              <w:right w:w="110" w:type="dxa"/>
            </w:tcMar>
          </w:tcPr>
          <w:p w14:paraId="44DE9B58" w14:textId="77777777" w:rsidR="0085380A" w:rsidRDefault="00000000">
            <w:r>
              <w:rPr>
                <w:b/>
                <w:bCs/>
                <w:color w:val="FFFFFF"/>
                <w:sz w:val="19"/>
                <w:szCs w:val="19"/>
              </w:rPr>
              <w:t>Requirement</w:t>
            </w:r>
          </w:p>
        </w:tc>
        <w:tc>
          <w:tcPr>
            <w:tcW w:w="4529" w:type="dxa"/>
            <w:shd w:val="clear" w:color="auto" w:fill="1F4E79"/>
            <w:tcMar>
              <w:top w:w="60" w:type="dxa"/>
              <w:left w:w="110" w:type="dxa"/>
              <w:bottom w:w="60" w:type="dxa"/>
              <w:right w:w="110" w:type="dxa"/>
            </w:tcMar>
          </w:tcPr>
          <w:p w14:paraId="44DE9B59" w14:textId="77777777" w:rsidR="0085380A" w:rsidRDefault="00000000">
            <w:r>
              <w:rPr>
                <w:b/>
                <w:bCs/>
                <w:color w:val="FFFFFF"/>
                <w:sz w:val="19"/>
                <w:szCs w:val="19"/>
              </w:rPr>
              <w:t>How it is met</w:t>
            </w:r>
          </w:p>
        </w:tc>
      </w:tr>
      <w:tr w:rsidR="0085380A" w14:paraId="44DE9B5E" w14:textId="77777777">
        <w:tblPrEx>
          <w:tblCellMar>
            <w:top w:w="0" w:type="dxa"/>
            <w:bottom w:w="0" w:type="dxa"/>
          </w:tblCellMar>
        </w:tblPrEx>
        <w:tc>
          <w:tcPr>
            <w:tcW w:w="604" w:type="dxa"/>
            <w:tcMar>
              <w:top w:w="60" w:type="dxa"/>
              <w:left w:w="110" w:type="dxa"/>
              <w:bottom w:w="60" w:type="dxa"/>
              <w:right w:w="110" w:type="dxa"/>
            </w:tcMar>
          </w:tcPr>
          <w:p w14:paraId="44DE9B5B" w14:textId="77777777" w:rsidR="0085380A" w:rsidRDefault="00000000">
            <w:r>
              <w:rPr>
                <w:sz w:val="19"/>
                <w:szCs w:val="19"/>
              </w:rPr>
              <w:t>R1</w:t>
            </w:r>
          </w:p>
        </w:tc>
        <w:tc>
          <w:tcPr>
            <w:tcW w:w="4227" w:type="dxa"/>
            <w:tcMar>
              <w:top w:w="60" w:type="dxa"/>
              <w:left w:w="110" w:type="dxa"/>
              <w:bottom w:w="60" w:type="dxa"/>
              <w:right w:w="110" w:type="dxa"/>
            </w:tcMar>
          </w:tcPr>
          <w:p w14:paraId="44DE9B5C" w14:textId="77777777" w:rsidR="0085380A" w:rsidRDefault="00000000">
            <w:r>
              <w:rPr>
                <w:sz w:val="19"/>
                <w:szCs w:val="19"/>
              </w:rPr>
              <w:t>Users in each tenant find users of the other in the GAL</w:t>
            </w:r>
          </w:p>
        </w:tc>
        <w:tc>
          <w:tcPr>
            <w:tcW w:w="4529" w:type="dxa"/>
            <w:tcMar>
              <w:top w:w="60" w:type="dxa"/>
              <w:left w:w="110" w:type="dxa"/>
              <w:bottom w:w="60" w:type="dxa"/>
              <w:right w:w="110" w:type="dxa"/>
            </w:tcMar>
          </w:tcPr>
          <w:p w14:paraId="44DE9B5D" w14:textId="77777777" w:rsidR="0085380A" w:rsidRDefault="00000000">
            <w:r>
              <w:rPr>
                <w:sz w:val="19"/>
                <w:szCs w:val="19"/>
              </w:rPr>
              <w:t>Mail contacts created and maintained by the sync service (§5)</w:t>
            </w:r>
          </w:p>
        </w:tc>
      </w:tr>
      <w:tr w:rsidR="0085380A" w14:paraId="44DE9B62" w14:textId="77777777">
        <w:tblPrEx>
          <w:tblCellMar>
            <w:top w:w="0" w:type="dxa"/>
            <w:bottom w:w="0" w:type="dxa"/>
          </w:tblCellMar>
        </w:tblPrEx>
        <w:tc>
          <w:tcPr>
            <w:tcW w:w="604" w:type="dxa"/>
            <w:tcMar>
              <w:top w:w="60" w:type="dxa"/>
              <w:left w:w="110" w:type="dxa"/>
              <w:bottom w:w="60" w:type="dxa"/>
              <w:right w:w="110" w:type="dxa"/>
            </w:tcMar>
          </w:tcPr>
          <w:p w14:paraId="44DE9B5F" w14:textId="77777777" w:rsidR="0085380A" w:rsidRDefault="00000000">
            <w:r>
              <w:rPr>
                <w:sz w:val="19"/>
                <w:szCs w:val="19"/>
              </w:rPr>
              <w:t>R2</w:t>
            </w:r>
          </w:p>
        </w:tc>
        <w:tc>
          <w:tcPr>
            <w:tcW w:w="4227" w:type="dxa"/>
            <w:tcMar>
              <w:top w:w="60" w:type="dxa"/>
              <w:left w:w="110" w:type="dxa"/>
              <w:bottom w:w="60" w:type="dxa"/>
              <w:right w:w="110" w:type="dxa"/>
            </w:tcMar>
          </w:tcPr>
          <w:p w14:paraId="44DE9B60" w14:textId="77777777" w:rsidR="0085380A" w:rsidRDefault="00000000">
            <w:r>
              <w:rPr>
                <w:sz w:val="19"/>
                <w:szCs w:val="19"/>
              </w:rPr>
              <w:t>Synchronisation is bidirectional, users only</w:t>
            </w:r>
          </w:p>
        </w:tc>
        <w:tc>
          <w:tcPr>
            <w:tcW w:w="4529" w:type="dxa"/>
            <w:tcMar>
              <w:top w:w="60" w:type="dxa"/>
              <w:left w:w="110" w:type="dxa"/>
              <w:bottom w:w="60" w:type="dxa"/>
              <w:right w:w="110" w:type="dxa"/>
            </w:tcMar>
          </w:tcPr>
          <w:p w14:paraId="44DE9B61" w14:textId="77777777" w:rsidR="0085380A" w:rsidRDefault="00000000">
            <w:r>
              <w:rPr>
                <w:sz w:val="19"/>
                <w:szCs w:val="19"/>
              </w:rPr>
              <w:t>Two directional flows; groups, rooms and equipment are out of scope by configuration</w:t>
            </w:r>
          </w:p>
        </w:tc>
      </w:tr>
      <w:tr w:rsidR="0085380A" w14:paraId="44DE9B66" w14:textId="77777777">
        <w:tblPrEx>
          <w:tblCellMar>
            <w:top w:w="0" w:type="dxa"/>
            <w:bottom w:w="0" w:type="dxa"/>
          </w:tblCellMar>
        </w:tblPrEx>
        <w:tc>
          <w:tcPr>
            <w:tcW w:w="604" w:type="dxa"/>
            <w:tcMar>
              <w:top w:w="60" w:type="dxa"/>
              <w:left w:w="110" w:type="dxa"/>
              <w:bottom w:w="60" w:type="dxa"/>
              <w:right w:w="110" w:type="dxa"/>
            </w:tcMar>
          </w:tcPr>
          <w:p w14:paraId="44DE9B63" w14:textId="77777777" w:rsidR="0085380A" w:rsidRDefault="00000000">
            <w:r>
              <w:rPr>
                <w:sz w:val="19"/>
                <w:szCs w:val="19"/>
              </w:rPr>
              <w:t>R3</w:t>
            </w:r>
          </w:p>
        </w:tc>
        <w:tc>
          <w:tcPr>
            <w:tcW w:w="4227" w:type="dxa"/>
            <w:tcMar>
              <w:top w:w="60" w:type="dxa"/>
              <w:left w:w="110" w:type="dxa"/>
              <w:bottom w:w="60" w:type="dxa"/>
              <w:right w:w="110" w:type="dxa"/>
            </w:tcMar>
          </w:tcPr>
          <w:p w14:paraId="44DE9B64" w14:textId="77777777" w:rsidR="0085380A" w:rsidRDefault="00000000">
            <w:r>
              <w:rPr>
                <w:sz w:val="19"/>
                <w:szCs w:val="19"/>
              </w:rPr>
              <w:t>Only approved directory attributes cross the boundary</w:t>
            </w:r>
          </w:p>
        </w:tc>
        <w:tc>
          <w:tcPr>
            <w:tcW w:w="4529" w:type="dxa"/>
            <w:tcMar>
              <w:top w:w="60" w:type="dxa"/>
              <w:left w:w="110" w:type="dxa"/>
              <w:bottom w:w="60" w:type="dxa"/>
              <w:right w:w="110" w:type="dxa"/>
            </w:tcMar>
          </w:tcPr>
          <w:p w14:paraId="44DE9B65" w14:textId="77777777" w:rsidR="0085380A" w:rsidRDefault="00000000">
            <w:r>
              <w:rPr>
                <w:sz w:val="19"/>
                <w:szCs w:val="19"/>
              </w:rPr>
              <w:t>Attribute allow list enforced in a single code path (§7)</w:t>
            </w:r>
          </w:p>
        </w:tc>
      </w:tr>
      <w:tr w:rsidR="0085380A" w14:paraId="44DE9B6A" w14:textId="77777777">
        <w:tblPrEx>
          <w:tblCellMar>
            <w:top w:w="0" w:type="dxa"/>
            <w:bottom w:w="0" w:type="dxa"/>
          </w:tblCellMar>
        </w:tblPrEx>
        <w:tc>
          <w:tcPr>
            <w:tcW w:w="604" w:type="dxa"/>
            <w:tcMar>
              <w:top w:w="60" w:type="dxa"/>
              <w:left w:w="110" w:type="dxa"/>
              <w:bottom w:w="60" w:type="dxa"/>
              <w:right w:w="110" w:type="dxa"/>
            </w:tcMar>
          </w:tcPr>
          <w:p w14:paraId="44DE9B67" w14:textId="77777777" w:rsidR="0085380A" w:rsidRDefault="00000000">
            <w:r>
              <w:rPr>
                <w:sz w:val="19"/>
                <w:szCs w:val="19"/>
              </w:rPr>
              <w:t>R4</w:t>
            </w:r>
          </w:p>
        </w:tc>
        <w:tc>
          <w:tcPr>
            <w:tcW w:w="4227" w:type="dxa"/>
            <w:tcMar>
              <w:top w:w="60" w:type="dxa"/>
              <w:left w:w="110" w:type="dxa"/>
              <w:bottom w:w="60" w:type="dxa"/>
              <w:right w:w="110" w:type="dxa"/>
            </w:tcMar>
          </w:tcPr>
          <w:p w14:paraId="44DE9B68" w14:textId="77777777" w:rsidR="0085380A" w:rsidRDefault="00000000">
            <w:r>
              <w:rPr>
                <w:sz w:val="19"/>
                <w:szCs w:val="19"/>
              </w:rPr>
              <w:t>Individuals can be withheld from publication</w:t>
            </w:r>
          </w:p>
        </w:tc>
        <w:tc>
          <w:tcPr>
            <w:tcW w:w="4529" w:type="dxa"/>
            <w:tcMar>
              <w:top w:w="60" w:type="dxa"/>
              <w:left w:w="110" w:type="dxa"/>
              <w:bottom w:w="60" w:type="dxa"/>
              <w:right w:w="110" w:type="dxa"/>
            </w:tcMar>
          </w:tcPr>
          <w:p w14:paraId="44DE9B69" w14:textId="77777777" w:rsidR="0085380A" w:rsidRDefault="00000000">
            <w:r>
              <w:rPr>
                <w:sz w:val="19"/>
                <w:szCs w:val="19"/>
              </w:rPr>
              <w:t>Include group, exclude group, and export-control custom security attribute (§8)</w:t>
            </w:r>
          </w:p>
        </w:tc>
      </w:tr>
      <w:tr w:rsidR="0085380A" w14:paraId="44DE9B6E" w14:textId="77777777">
        <w:tblPrEx>
          <w:tblCellMar>
            <w:top w:w="0" w:type="dxa"/>
            <w:bottom w:w="0" w:type="dxa"/>
          </w:tblCellMar>
        </w:tblPrEx>
        <w:tc>
          <w:tcPr>
            <w:tcW w:w="604" w:type="dxa"/>
            <w:tcMar>
              <w:top w:w="60" w:type="dxa"/>
              <w:left w:w="110" w:type="dxa"/>
              <w:bottom w:w="60" w:type="dxa"/>
              <w:right w:w="110" w:type="dxa"/>
            </w:tcMar>
          </w:tcPr>
          <w:p w14:paraId="44DE9B6B" w14:textId="77777777" w:rsidR="0085380A" w:rsidRDefault="00000000">
            <w:r>
              <w:rPr>
                <w:sz w:val="19"/>
                <w:szCs w:val="19"/>
              </w:rPr>
              <w:t>R5</w:t>
            </w:r>
          </w:p>
        </w:tc>
        <w:tc>
          <w:tcPr>
            <w:tcW w:w="4227" w:type="dxa"/>
            <w:tcMar>
              <w:top w:w="60" w:type="dxa"/>
              <w:left w:w="110" w:type="dxa"/>
              <w:bottom w:w="60" w:type="dxa"/>
              <w:right w:w="110" w:type="dxa"/>
            </w:tcMar>
          </w:tcPr>
          <w:p w14:paraId="44DE9B6C" w14:textId="77777777" w:rsidR="0085380A" w:rsidRDefault="00000000">
            <w:r>
              <w:rPr>
                <w:sz w:val="19"/>
                <w:szCs w:val="19"/>
              </w:rPr>
              <w:t>Free/busy and Teams chat work across the two tenants</w:t>
            </w:r>
          </w:p>
        </w:tc>
        <w:tc>
          <w:tcPr>
            <w:tcW w:w="4529" w:type="dxa"/>
            <w:tcMar>
              <w:top w:w="60" w:type="dxa"/>
              <w:left w:w="110" w:type="dxa"/>
              <w:bottom w:w="60" w:type="dxa"/>
              <w:right w:w="110" w:type="dxa"/>
            </w:tcMar>
          </w:tcPr>
          <w:p w14:paraId="44DE9B6D" w14:textId="77777777" w:rsidR="0085380A" w:rsidRDefault="00000000">
            <w:r>
              <w:rPr>
                <w:sz w:val="19"/>
                <w:szCs w:val="19"/>
              </w:rPr>
              <w:t>Cross-Tenant Access Policy capabilities and allow-listed external access (§10, §11)</w:t>
            </w:r>
          </w:p>
        </w:tc>
      </w:tr>
      <w:tr w:rsidR="0085380A" w14:paraId="44DE9B72" w14:textId="77777777">
        <w:tblPrEx>
          <w:tblCellMar>
            <w:top w:w="0" w:type="dxa"/>
            <w:bottom w:w="0" w:type="dxa"/>
          </w:tblCellMar>
        </w:tblPrEx>
        <w:tc>
          <w:tcPr>
            <w:tcW w:w="604" w:type="dxa"/>
            <w:tcMar>
              <w:top w:w="60" w:type="dxa"/>
              <w:left w:w="110" w:type="dxa"/>
              <w:bottom w:w="60" w:type="dxa"/>
              <w:right w:w="110" w:type="dxa"/>
            </w:tcMar>
          </w:tcPr>
          <w:p w14:paraId="44DE9B6F" w14:textId="77777777" w:rsidR="0085380A" w:rsidRDefault="00000000">
            <w:r>
              <w:rPr>
                <w:sz w:val="19"/>
                <w:szCs w:val="19"/>
              </w:rPr>
              <w:t>R6</w:t>
            </w:r>
          </w:p>
        </w:tc>
        <w:tc>
          <w:tcPr>
            <w:tcW w:w="4227" w:type="dxa"/>
            <w:tcMar>
              <w:top w:w="60" w:type="dxa"/>
              <w:left w:w="110" w:type="dxa"/>
              <w:bottom w:w="60" w:type="dxa"/>
              <w:right w:w="110" w:type="dxa"/>
            </w:tcMar>
          </w:tcPr>
          <w:p w14:paraId="44DE9B70" w14:textId="77777777" w:rsidR="0085380A" w:rsidRDefault="00000000">
            <w:r>
              <w:rPr>
                <w:sz w:val="19"/>
                <w:szCs w:val="19"/>
              </w:rPr>
              <w:t>The connection is auditable and defensible under CMMC L2</w:t>
            </w:r>
          </w:p>
        </w:tc>
        <w:tc>
          <w:tcPr>
            <w:tcW w:w="4529" w:type="dxa"/>
            <w:tcMar>
              <w:top w:w="60" w:type="dxa"/>
              <w:left w:w="110" w:type="dxa"/>
              <w:bottom w:w="60" w:type="dxa"/>
              <w:right w:w="110" w:type="dxa"/>
            </w:tcMar>
          </w:tcPr>
          <w:p w14:paraId="44DE9B71" w14:textId="77777777" w:rsidR="0085380A" w:rsidRDefault="00000000">
            <w:r>
              <w:rPr>
                <w:sz w:val="19"/>
                <w:szCs w:val="19"/>
              </w:rPr>
              <w:t>Structured logging, immutable run reports, control mapping (§12, §13)</w:t>
            </w:r>
          </w:p>
        </w:tc>
      </w:tr>
      <w:tr w:rsidR="0085380A" w14:paraId="44DE9B76" w14:textId="77777777">
        <w:tblPrEx>
          <w:tblCellMar>
            <w:top w:w="0" w:type="dxa"/>
            <w:bottom w:w="0" w:type="dxa"/>
          </w:tblCellMar>
        </w:tblPrEx>
        <w:tc>
          <w:tcPr>
            <w:tcW w:w="604" w:type="dxa"/>
            <w:tcMar>
              <w:top w:w="60" w:type="dxa"/>
              <w:left w:w="110" w:type="dxa"/>
              <w:bottom w:w="60" w:type="dxa"/>
              <w:right w:w="110" w:type="dxa"/>
            </w:tcMar>
          </w:tcPr>
          <w:p w14:paraId="44DE9B73" w14:textId="77777777" w:rsidR="0085380A" w:rsidRDefault="00000000">
            <w:r>
              <w:rPr>
                <w:sz w:val="19"/>
                <w:szCs w:val="19"/>
              </w:rPr>
              <w:t>R7</w:t>
            </w:r>
          </w:p>
        </w:tc>
        <w:tc>
          <w:tcPr>
            <w:tcW w:w="4227" w:type="dxa"/>
            <w:tcMar>
              <w:top w:w="60" w:type="dxa"/>
              <w:left w:w="110" w:type="dxa"/>
              <w:bottom w:w="60" w:type="dxa"/>
              <w:right w:w="110" w:type="dxa"/>
            </w:tcMar>
          </w:tcPr>
          <w:p w14:paraId="44DE9B74" w14:textId="77777777" w:rsidR="0085380A" w:rsidRDefault="00000000">
            <w:r>
              <w:rPr>
                <w:sz w:val="19"/>
                <w:szCs w:val="19"/>
              </w:rPr>
              <w:t>Failure is safe, not silent</w:t>
            </w:r>
          </w:p>
        </w:tc>
        <w:tc>
          <w:tcPr>
            <w:tcW w:w="4529" w:type="dxa"/>
            <w:tcMar>
              <w:top w:w="60" w:type="dxa"/>
              <w:left w:w="110" w:type="dxa"/>
              <w:bottom w:w="60" w:type="dxa"/>
              <w:right w:w="110" w:type="dxa"/>
            </w:tcMar>
          </w:tcPr>
          <w:p w14:paraId="44DE9B75" w14:textId="77777777" w:rsidR="0085380A" w:rsidRDefault="00000000">
            <w:r>
              <w:rPr>
                <w:sz w:val="19"/>
                <w:szCs w:val="19"/>
              </w:rPr>
              <w:t>Circuit breaker, soft-delete grace period, alerting on failure and on staleness (§9, §12)</w:t>
            </w:r>
          </w:p>
        </w:tc>
      </w:tr>
      <w:tr w:rsidR="0085380A" w14:paraId="44DE9B7A" w14:textId="77777777">
        <w:tblPrEx>
          <w:tblCellMar>
            <w:top w:w="0" w:type="dxa"/>
            <w:bottom w:w="0" w:type="dxa"/>
          </w:tblCellMar>
        </w:tblPrEx>
        <w:tc>
          <w:tcPr>
            <w:tcW w:w="604" w:type="dxa"/>
            <w:tcMar>
              <w:top w:w="60" w:type="dxa"/>
              <w:left w:w="110" w:type="dxa"/>
              <w:bottom w:w="60" w:type="dxa"/>
              <w:right w:w="110" w:type="dxa"/>
            </w:tcMar>
          </w:tcPr>
          <w:p w14:paraId="44DE9B77" w14:textId="77777777" w:rsidR="0085380A" w:rsidRDefault="00000000">
            <w:r>
              <w:rPr>
                <w:sz w:val="19"/>
                <w:szCs w:val="19"/>
              </w:rPr>
              <w:lastRenderedPageBreak/>
              <w:t>R8</w:t>
            </w:r>
          </w:p>
        </w:tc>
        <w:tc>
          <w:tcPr>
            <w:tcW w:w="4227" w:type="dxa"/>
            <w:tcMar>
              <w:top w:w="60" w:type="dxa"/>
              <w:left w:w="110" w:type="dxa"/>
              <w:bottom w:w="60" w:type="dxa"/>
              <w:right w:w="110" w:type="dxa"/>
            </w:tcMar>
          </w:tcPr>
          <w:p w14:paraId="44DE9B78" w14:textId="77777777" w:rsidR="0085380A" w:rsidRDefault="00000000">
            <w:r>
              <w:rPr>
                <w:sz w:val="19"/>
                <w:szCs w:val="19"/>
              </w:rPr>
              <w:t>Operable by the M365 team without bespoke knowledge</w:t>
            </w:r>
          </w:p>
        </w:tc>
        <w:tc>
          <w:tcPr>
            <w:tcW w:w="4529" w:type="dxa"/>
            <w:tcMar>
              <w:top w:w="60" w:type="dxa"/>
              <w:left w:w="110" w:type="dxa"/>
              <w:bottom w:w="60" w:type="dxa"/>
              <w:right w:w="110" w:type="dxa"/>
            </w:tcMar>
          </w:tcPr>
          <w:p w14:paraId="44DE9B79" w14:textId="77777777" w:rsidR="0085380A" w:rsidRDefault="00000000">
            <w:r>
              <w:rPr>
                <w:sz w:val="19"/>
                <w:szCs w:val="19"/>
              </w:rPr>
              <w:t>Runbook, pre-flight validation script, preview mode (§14)</w:t>
            </w:r>
          </w:p>
        </w:tc>
      </w:tr>
    </w:tbl>
    <w:p w14:paraId="44DE9B7B" w14:textId="77777777" w:rsidR="0085380A" w:rsidRDefault="0085380A">
      <w:pPr>
        <w:spacing w:after="160"/>
      </w:pPr>
    </w:p>
    <w:p w14:paraId="44DE9B7C" w14:textId="77777777" w:rsidR="0085380A" w:rsidRDefault="00000000">
      <w:pPr>
        <w:spacing w:after="120" w:line="276" w:lineRule="auto"/>
      </w:pPr>
      <w:r>
        <w:rPr>
          <w:b/>
          <w:bCs/>
        </w:rPr>
        <w:t>Out of scope:</w:t>
      </w:r>
      <w:r>
        <w:t xml:space="preserve"> mailbox or content migration; SharePoint or Teams file sharing across the tenants; guest (B2B) account provisioning; distribution group, room and equipment synchronisation; photo synchronisation; on-premises Active Directory integration.</w:t>
      </w:r>
    </w:p>
    <w:p w14:paraId="44DE9B7D" w14:textId="77777777" w:rsidR="0085380A" w:rsidRDefault="0085380A">
      <w:pPr>
        <w:pBdr>
          <w:bottom w:val="single" w:sz="6" w:space="6" w:color="BFBFBF"/>
        </w:pBdr>
        <w:spacing w:before="100" w:after="200"/>
      </w:pPr>
    </w:p>
    <w:p w14:paraId="44DE9B7E" w14:textId="77777777" w:rsidR="0085380A" w:rsidRDefault="00000000">
      <w:pPr>
        <w:pStyle w:val="Heading1"/>
        <w:keepNext/>
        <w:spacing w:before="360" w:after="140"/>
      </w:pPr>
      <w:bookmarkStart w:id="1" w:name="_Toc239065923"/>
      <w:r>
        <w:t>3. Constraints that shape the design</w:t>
      </w:r>
      <w:bookmarkEnd w:id="1"/>
    </w:p>
    <w:p w14:paraId="44DE9B7F" w14:textId="77777777" w:rsidR="0085380A" w:rsidRDefault="00000000">
      <w:pPr>
        <w:spacing w:after="120" w:line="276" w:lineRule="auto"/>
      </w:pPr>
      <w:r>
        <w:t>These are the platform facts that rule out the obvious approaches. They are the reason this design looks the way it does.</w:t>
      </w:r>
    </w:p>
    <w:p w14:paraId="44DE9B80" w14:textId="77777777" w:rsidR="0085380A" w:rsidRDefault="00000000">
      <w:pPr>
        <w:spacing w:after="120" w:line="276" w:lineRule="auto"/>
      </w:pPr>
      <w:r>
        <w:rPr>
          <w:b/>
          <w:bCs/>
        </w:rPr>
        <w:t>Entra cross-tenant synchronisation is not GAL synchronisation.</w:t>
      </w:r>
      <w:r>
        <w:t xml:space="preserve"> It provisions B2B users, not mail contacts, and cross-cloud B2B </w:t>
      </w:r>
      <w:r>
        <w:rPr>
          <w:i/>
          <w:iCs/>
        </w:rPr>
        <w:t>member</w:t>
      </w:r>
      <w:r>
        <w:t xml:space="preserve"> accounts are not supported — only guests. A guest object in the GAL is a different, more privileged thing than a mail contact, and it carries a sign-in surface. Rejected.</w:t>
      </w:r>
    </w:p>
    <w:p w14:paraId="44DE9B81" w14:textId="77777777" w:rsidR="0085380A" w:rsidRDefault="00000000">
      <w:pPr>
        <w:spacing w:after="120" w:line="276" w:lineRule="auto"/>
      </w:pPr>
      <w:r>
        <w:rPr>
          <w:b/>
          <w:bCs/>
        </w:rPr>
        <w:t>Organisational contacts are read-only in Microsoft Graph.</w:t>
      </w:r>
      <w:r>
        <w:t xml:space="preserve"> </w:t>
      </w:r>
      <w:r>
        <w:rPr>
          <w:rFonts w:ascii="Consolas" w:eastAsia="Consolas" w:hAnsi="Consolas" w:cs="Consolas"/>
          <w:sz w:val="19"/>
          <w:szCs w:val="19"/>
        </w:rPr>
        <w:t>orgContact</w:t>
      </w:r>
      <w:r>
        <w:t xml:space="preserve"> supports list, get and delta, but has no create, update or delete. The only supported write path for a mail contact is Exchange Online PowerShell (</w:t>
      </w:r>
      <w:r>
        <w:rPr>
          <w:rFonts w:ascii="Consolas" w:eastAsia="Consolas" w:hAnsi="Consolas" w:cs="Consolas"/>
          <w:sz w:val="19"/>
          <w:szCs w:val="19"/>
        </w:rPr>
        <w:t>New-MailContact</w:t>
      </w:r>
      <w:r>
        <w:t xml:space="preserve">, </w:t>
      </w:r>
      <w:r>
        <w:rPr>
          <w:rFonts w:ascii="Consolas" w:eastAsia="Consolas" w:hAnsi="Consolas" w:cs="Consolas"/>
          <w:sz w:val="19"/>
          <w:szCs w:val="19"/>
        </w:rPr>
        <w:t>Set-MailContact</w:t>
      </w:r>
      <w:r>
        <w:t xml:space="preserve">, </w:t>
      </w:r>
      <w:r>
        <w:rPr>
          <w:rFonts w:ascii="Consolas" w:eastAsia="Consolas" w:hAnsi="Consolas" w:cs="Consolas"/>
          <w:sz w:val="19"/>
          <w:szCs w:val="19"/>
        </w:rPr>
        <w:t>Set-Contact</w:t>
      </w:r>
      <w:r>
        <w:t>), which therefore anchors the whole design: the service reads with Graph and writes with Exchange Online PowerShell v3, app-only with a certificate.</w:t>
      </w:r>
    </w:p>
    <w:p w14:paraId="44DE9B82" w14:textId="77777777" w:rsidR="0085380A" w:rsidRDefault="00000000">
      <w:pPr>
        <w:spacing w:after="120" w:line="276" w:lineRule="auto"/>
      </w:pPr>
      <w:r>
        <w:rPr>
          <w:b/>
          <w:bCs/>
        </w:rPr>
        <w:t>Application registrations do not span clouds.</w:t>
      </w:r>
      <w:r>
        <w:t xml:space="preserve"> An app registered in the GCC High tenant is unknown to the worldwide cloud, and vice versa. The service therefore holds two independent single-tenant applications, each with its own certificate, each scoped to its own tenant. There is no multi-tenant app and no shared credential.</w:t>
      </w:r>
    </w:p>
    <w:p w14:paraId="44DE9B83" w14:textId="77777777" w:rsidR="0085380A" w:rsidRDefault="00000000">
      <w:pPr>
        <w:spacing w:after="120" w:line="276" w:lineRule="auto"/>
      </w:pPr>
      <w:r>
        <w:rPr>
          <w:b/>
          <w:bCs/>
        </w:rPr>
        <w:t>B2B direct connect is not supported cross-cloud.</w:t>
      </w:r>
      <w:r>
        <w:t xml:space="preserve"> Shared Channels between GCC High and Commercial are not available. Teams interoperability is external access (federation), which is why §11 configures a domain allow list rather than a trust.</w:t>
      </w:r>
    </w:p>
    <w:p w14:paraId="44DE9B84" w14:textId="77777777" w:rsidR="0085380A" w:rsidRDefault="00000000">
      <w:pPr>
        <w:spacing w:after="120" w:line="276" w:lineRule="auto"/>
      </w:pPr>
      <w:r>
        <w:rPr>
          <w:b/>
          <w:bCs/>
        </w:rPr>
        <w:t>Cross-cloud collaboration must be enabled explicitly on both sides.</w:t>
      </w:r>
      <w:r>
        <w:t xml:space="preserve"> Microsoft cloud settings must name the partner cloud (</w:t>
      </w:r>
      <w:r>
        <w:rPr>
          <w:rFonts w:ascii="Consolas" w:eastAsia="Consolas" w:hAnsi="Consolas" w:cs="Consolas"/>
          <w:sz w:val="19"/>
          <w:szCs w:val="19"/>
        </w:rPr>
        <w:t>microsoftonline.us</w:t>
      </w:r>
      <w:r>
        <w:t xml:space="preserve"> from the Commercial side, </w:t>
      </w:r>
      <w:r>
        <w:rPr>
          <w:rFonts w:ascii="Consolas" w:eastAsia="Consolas" w:hAnsi="Consolas" w:cs="Consolas"/>
          <w:sz w:val="19"/>
          <w:szCs w:val="19"/>
        </w:rPr>
        <w:t>microsoftonline.com</w:t>
      </w:r>
      <w:r>
        <w:t xml:space="preserve"> from the GCC High side), and the partner organisation must be added by tenant ID — domain lookup does not work cross-cloud.</w:t>
      </w:r>
    </w:p>
    <w:p w14:paraId="44DE9B85" w14:textId="77777777" w:rsidR="0085380A" w:rsidRDefault="00000000">
      <w:pPr>
        <w:spacing w:after="120" w:line="276" w:lineRule="auto"/>
      </w:pPr>
      <w:r>
        <w:rPr>
          <w:b/>
          <w:bCs/>
        </w:rPr>
        <w:t>Exchange Web Services is being retired, and cross-tenant sharing moved with it.</w:t>
      </w:r>
      <w:r>
        <w:t xml:space="preserve"> Free/busy, MailTips and calendar sharing have moved from organisation relationships, availability address spaces and sharing policies onto the Microsoft 365 Cross-Tenant Access Policy. EWS-backed sharing began gradual disablement on 1 October 2026, with full shutdown on 1 April 2027; the replacement capability reached GCC High and DoD during September 2026. This design targets the new path and treats the organisation relationship as a bridge only (§10).</w:t>
      </w:r>
    </w:p>
    <w:p w14:paraId="44DE9B86" w14:textId="77777777" w:rsidR="0085380A" w:rsidRDefault="00000000">
      <w:pPr>
        <w:spacing w:after="120" w:line="276" w:lineRule="auto"/>
      </w:pPr>
      <w:r>
        <w:rPr>
          <w:b/>
          <w:bCs/>
        </w:rPr>
        <w:t>Exchange Online PowerShell app-only authentication requires a CSP-based certificate.</w:t>
      </w:r>
      <w:r>
        <w:t xml:space="preserve"> CNG keys are not supported. The provisioning script pins </w:t>
      </w:r>
      <w:r>
        <w:rPr>
          <w:rFonts w:ascii="Consolas" w:eastAsia="Consolas" w:hAnsi="Consolas" w:cs="Consolas"/>
          <w:sz w:val="19"/>
          <w:szCs w:val="19"/>
        </w:rPr>
        <w:t>Microsoft Enhanced RSA and AES Cryptographic Provider</w:t>
      </w:r>
      <w:r>
        <w:t xml:space="preserve"> for this reason.</w:t>
      </w:r>
    </w:p>
    <w:p w14:paraId="44DE9B87" w14:textId="77777777" w:rsidR="0085380A" w:rsidRDefault="0085380A">
      <w:pPr>
        <w:pBdr>
          <w:bottom w:val="single" w:sz="6" w:space="6" w:color="BFBFBF"/>
        </w:pBdr>
        <w:spacing w:before="100" w:after="200"/>
      </w:pPr>
    </w:p>
    <w:p w14:paraId="44DE9B88" w14:textId="77777777" w:rsidR="0085380A" w:rsidRDefault="00000000">
      <w:pPr>
        <w:pStyle w:val="Heading1"/>
        <w:keepNext/>
        <w:spacing w:before="360" w:after="140"/>
      </w:pPr>
      <w:bookmarkStart w:id="2" w:name="_Toc239065924"/>
      <w:r>
        <w:t>4. Solution architecture</w:t>
      </w:r>
      <w:bookmarkEnd w:id="2"/>
    </w:p>
    <w:p w14:paraId="44DE9B89" w14:textId="77777777" w:rsidR="0085380A" w:rsidRDefault="00000000">
      <w:pPr>
        <w:pStyle w:val="Heading2"/>
        <w:keepNext/>
        <w:spacing w:before="260" w:after="140"/>
      </w:pPr>
      <w:bookmarkStart w:id="3" w:name="_Toc239065925"/>
      <w:r>
        <w:t>4.1 Component view</w:t>
      </w:r>
      <w:bookmarkEnd w:id="3"/>
    </w:p>
    <w:p w14:paraId="44DE9B8A" w14:textId="77777777" w:rsidR="0085380A" w:rsidRDefault="00000000">
      <w:pPr>
        <w:shd w:val="clear" w:color="auto" w:fill="F2F4F7"/>
        <w:spacing w:before="60"/>
        <w:ind w:left="180" w:right="180"/>
      </w:pPr>
      <w:r>
        <w:rPr>
          <w:rFonts w:ascii="Consolas" w:eastAsia="Consolas" w:hAnsi="Consolas" w:cs="Consolas"/>
          <w:sz w:val="17"/>
          <w:szCs w:val="17"/>
        </w:rPr>
        <w:t xml:space="preserve">                    AZURE GOVERNMENT  (FedRAMP High / IL4)</w:t>
      </w:r>
    </w:p>
    <w:p w14:paraId="44DE9B8B" w14:textId="77777777" w:rsidR="0085380A" w:rsidRDefault="00000000">
      <w:pPr>
        <w:shd w:val="clear" w:color="auto" w:fill="F2F4F7"/>
        <w:ind w:left="180" w:right="180"/>
      </w:pPr>
      <w:r>
        <w:rPr>
          <w:rFonts w:ascii="Consolas" w:eastAsia="Consolas" w:hAnsi="Consolas" w:cs="Consolas"/>
          <w:sz w:val="17"/>
          <w:szCs w:val="17"/>
        </w:rPr>
        <w:t xml:space="preserve">   +-------------------------------------------------------------------+</w:t>
      </w:r>
    </w:p>
    <w:p w14:paraId="44DE9B8C" w14:textId="77777777" w:rsidR="0085380A" w:rsidRDefault="00000000">
      <w:pPr>
        <w:shd w:val="clear" w:color="auto" w:fill="F2F4F7"/>
        <w:ind w:left="180" w:right="180"/>
      </w:pPr>
      <w:r>
        <w:rPr>
          <w:rFonts w:ascii="Consolas" w:eastAsia="Consolas" w:hAnsi="Consolas" w:cs="Consolas"/>
          <w:sz w:val="17"/>
          <w:szCs w:val="17"/>
        </w:rPr>
        <w:t xml:space="preserve">   |                                                                   |</w:t>
      </w:r>
    </w:p>
    <w:p w14:paraId="44DE9B8D" w14:textId="77777777" w:rsidR="0085380A" w:rsidRDefault="00000000">
      <w:pPr>
        <w:shd w:val="clear" w:color="auto" w:fill="F2F4F7"/>
        <w:ind w:left="180" w:right="180"/>
      </w:pPr>
      <w:r>
        <w:rPr>
          <w:rFonts w:ascii="Consolas" w:eastAsia="Consolas" w:hAnsi="Consolas" w:cs="Consolas"/>
          <w:sz w:val="17"/>
          <w:szCs w:val="17"/>
        </w:rPr>
        <w:t xml:space="preserve">   |   Automation Account  aa-galsync-prod                             |</w:t>
      </w:r>
    </w:p>
    <w:p w14:paraId="44DE9B8E" w14:textId="77777777" w:rsidR="0085380A" w:rsidRDefault="00000000">
      <w:pPr>
        <w:shd w:val="clear" w:color="auto" w:fill="F2F4F7"/>
        <w:ind w:left="180" w:right="180"/>
      </w:pPr>
      <w:r>
        <w:rPr>
          <w:rFonts w:ascii="Consolas" w:eastAsia="Consolas" w:hAnsi="Consolas" w:cs="Consolas"/>
          <w:sz w:val="17"/>
          <w:szCs w:val="17"/>
        </w:rPr>
        <w:t xml:space="preserve">   |     - PowerShell 7.2 runbook  Invoke-GalSync                      |</w:t>
      </w:r>
    </w:p>
    <w:p w14:paraId="44DE9B8F" w14:textId="77777777" w:rsidR="0085380A" w:rsidRDefault="00000000">
      <w:pPr>
        <w:shd w:val="clear" w:color="auto" w:fill="F2F4F7"/>
        <w:ind w:left="180" w:right="180"/>
      </w:pPr>
      <w:r>
        <w:rPr>
          <w:rFonts w:ascii="Consolas" w:eastAsia="Consolas" w:hAnsi="Consolas" w:cs="Consolas"/>
          <w:sz w:val="17"/>
          <w:szCs w:val="17"/>
        </w:rPr>
        <w:t xml:space="preserve">   |     - System-assigned managed identity                            |</w:t>
      </w:r>
    </w:p>
    <w:p w14:paraId="44DE9B90" w14:textId="77777777" w:rsidR="0085380A" w:rsidRDefault="00000000">
      <w:pPr>
        <w:shd w:val="clear" w:color="auto" w:fill="F2F4F7"/>
        <w:ind w:left="180" w:right="180"/>
      </w:pPr>
      <w:r>
        <w:rPr>
          <w:rFonts w:ascii="Consolas" w:eastAsia="Consolas" w:hAnsi="Consolas" w:cs="Consolas"/>
          <w:sz w:val="17"/>
          <w:szCs w:val="17"/>
        </w:rPr>
        <w:t xml:space="preserve">   |     - Hourly schedule                                             |</w:t>
      </w:r>
    </w:p>
    <w:p w14:paraId="44DE9B91" w14:textId="77777777" w:rsidR="0085380A" w:rsidRDefault="00000000">
      <w:pPr>
        <w:shd w:val="clear" w:color="auto" w:fill="F2F4F7"/>
        <w:ind w:left="180" w:right="180"/>
      </w:pPr>
      <w:r>
        <w:rPr>
          <w:rFonts w:ascii="Consolas" w:eastAsia="Consolas" w:hAnsi="Consolas" w:cs="Consolas"/>
          <w:sz w:val="17"/>
          <w:szCs w:val="17"/>
        </w:rPr>
        <w:t xml:space="preserve">   |          |                    |                    |              |</w:t>
      </w:r>
    </w:p>
    <w:p w14:paraId="44DE9B92" w14:textId="77777777" w:rsidR="0085380A" w:rsidRDefault="00000000">
      <w:pPr>
        <w:shd w:val="clear" w:color="auto" w:fill="F2F4F7"/>
        <w:ind w:left="180" w:right="180"/>
      </w:pPr>
      <w:r>
        <w:rPr>
          <w:rFonts w:ascii="Consolas" w:eastAsia="Consolas" w:hAnsi="Consolas" w:cs="Consolas"/>
          <w:sz w:val="17"/>
          <w:szCs w:val="17"/>
        </w:rPr>
        <w:t xml:space="preserve">   |          | RBAC               | RBAC               | diagnostics  |</w:t>
      </w:r>
    </w:p>
    <w:p w14:paraId="44DE9B93" w14:textId="77777777" w:rsidR="0085380A" w:rsidRDefault="00000000">
      <w:pPr>
        <w:shd w:val="clear" w:color="auto" w:fill="F2F4F7"/>
        <w:ind w:left="180" w:right="180"/>
      </w:pPr>
      <w:r>
        <w:rPr>
          <w:rFonts w:ascii="Consolas" w:eastAsia="Consolas" w:hAnsi="Consolas" w:cs="Consolas"/>
          <w:sz w:val="17"/>
          <w:szCs w:val="17"/>
        </w:rPr>
        <w:t xml:space="preserve">   |          v                    v                    v              |</w:t>
      </w:r>
    </w:p>
    <w:p w14:paraId="44DE9B94" w14:textId="77777777" w:rsidR="0085380A" w:rsidRDefault="00000000">
      <w:pPr>
        <w:shd w:val="clear" w:color="auto" w:fill="F2F4F7"/>
        <w:ind w:left="180" w:right="180"/>
      </w:pPr>
      <w:r>
        <w:rPr>
          <w:rFonts w:ascii="Consolas" w:eastAsia="Consolas" w:hAnsi="Consolas" w:cs="Consolas"/>
          <w:sz w:val="17"/>
          <w:szCs w:val="17"/>
        </w:rPr>
        <w:t xml:space="preserve">   |   Key Vault              Storage Account      Log Analytics       |</w:t>
      </w:r>
    </w:p>
    <w:p w14:paraId="44DE9B95" w14:textId="77777777" w:rsidR="0085380A" w:rsidRDefault="00000000">
      <w:pPr>
        <w:shd w:val="clear" w:color="auto" w:fill="F2F4F7"/>
        <w:ind w:left="180" w:right="180"/>
      </w:pPr>
      <w:r>
        <w:rPr>
          <w:rFonts w:ascii="Consolas" w:eastAsia="Consolas" w:hAnsi="Consolas" w:cs="Consolas"/>
          <w:sz w:val="17"/>
          <w:szCs w:val="17"/>
        </w:rPr>
        <w:t xml:space="preserve">   |   (2 app certs,          (config blob,        (job logs,          |</w:t>
      </w:r>
    </w:p>
    <w:p w14:paraId="44DE9B96" w14:textId="77777777" w:rsidR="0085380A" w:rsidRDefault="00000000">
      <w:pPr>
        <w:shd w:val="clear" w:color="auto" w:fill="F2F4F7"/>
        <w:ind w:left="180" w:right="180"/>
      </w:pPr>
      <w:r>
        <w:rPr>
          <w:rFonts w:ascii="Consolas" w:eastAsia="Consolas" w:hAnsi="Consolas" w:cs="Consolas"/>
          <w:sz w:val="17"/>
          <w:szCs w:val="17"/>
        </w:rPr>
        <w:t xml:space="preserve">   |    RBAC, purge           immutable run        job streams,        |</w:t>
      </w:r>
    </w:p>
    <w:p w14:paraId="44DE9B97" w14:textId="77777777" w:rsidR="0085380A" w:rsidRDefault="00000000">
      <w:pPr>
        <w:shd w:val="clear" w:color="auto" w:fill="F2F4F7"/>
        <w:ind w:left="180" w:right="180"/>
      </w:pPr>
      <w:r>
        <w:rPr>
          <w:rFonts w:ascii="Consolas" w:eastAsia="Consolas" w:hAnsi="Consolas" w:cs="Consolas"/>
          <w:sz w:val="17"/>
          <w:szCs w:val="17"/>
        </w:rPr>
        <w:t xml:space="preserve">   |    protection)           reports)             alerts)             |</w:t>
      </w:r>
    </w:p>
    <w:p w14:paraId="44DE9B98" w14:textId="77777777" w:rsidR="0085380A" w:rsidRDefault="00000000">
      <w:pPr>
        <w:shd w:val="clear" w:color="auto" w:fill="F2F4F7"/>
        <w:ind w:left="180" w:right="180"/>
      </w:pPr>
      <w:r>
        <w:rPr>
          <w:rFonts w:ascii="Consolas" w:eastAsia="Consolas" w:hAnsi="Consolas" w:cs="Consolas"/>
          <w:sz w:val="17"/>
          <w:szCs w:val="17"/>
        </w:rPr>
        <w:t xml:space="preserve">   +-------------------------------------------------------------------+</w:t>
      </w:r>
    </w:p>
    <w:p w14:paraId="44DE9B99" w14:textId="77777777" w:rsidR="0085380A" w:rsidRDefault="00000000">
      <w:pPr>
        <w:shd w:val="clear" w:color="auto" w:fill="F2F4F7"/>
        <w:ind w:left="180" w:right="180"/>
      </w:pPr>
      <w:r>
        <w:rPr>
          <w:rFonts w:ascii="Consolas" w:eastAsia="Consolas" w:hAnsi="Consolas" w:cs="Consolas"/>
          <w:sz w:val="17"/>
          <w:szCs w:val="17"/>
        </w:rPr>
        <w:t xml:space="preserve">             |  outbound TLS 1.2+, FQDN allow-listed, no inbound</w:t>
      </w:r>
    </w:p>
    <w:p w14:paraId="44DE9B9A" w14:textId="77777777" w:rsidR="0085380A" w:rsidRDefault="00000000">
      <w:pPr>
        <w:shd w:val="clear" w:color="auto" w:fill="F2F4F7"/>
        <w:ind w:left="180" w:right="180"/>
      </w:pPr>
      <w:r>
        <w:rPr>
          <w:rFonts w:ascii="Consolas" w:eastAsia="Consolas" w:hAnsi="Consolas" w:cs="Consolas"/>
          <w:sz w:val="17"/>
          <w:szCs w:val="17"/>
        </w:rPr>
        <w:t xml:space="preserve">             |</w:t>
      </w:r>
    </w:p>
    <w:p w14:paraId="44DE9B9B" w14:textId="77777777" w:rsidR="0085380A" w:rsidRDefault="00000000">
      <w:pPr>
        <w:shd w:val="clear" w:color="auto" w:fill="F2F4F7"/>
        <w:ind w:left="180" w:right="180"/>
      </w:pPr>
      <w:r>
        <w:rPr>
          <w:rFonts w:ascii="Consolas" w:eastAsia="Consolas" w:hAnsi="Consolas" w:cs="Consolas"/>
          <w:sz w:val="17"/>
          <w:szCs w:val="17"/>
        </w:rPr>
        <w:t xml:space="preserve">     +-------+-----------------------------+</w:t>
      </w:r>
    </w:p>
    <w:p w14:paraId="44DE9B9C" w14:textId="77777777" w:rsidR="0085380A" w:rsidRDefault="00000000">
      <w:pPr>
        <w:shd w:val="clear" w:color="auto" w:fill="F2F4F7"/>
        <w:ind w:left="180" w:right="180"/>
      </w:pPr>
      <w:r>
        <w:rPr>
          <w:rFonts w:ascii="Consolas" w:eastAsia="Consolas" w:hAnsi="Consolas" w:cs="Consolas"/>
          <w:sz w:val="17"/>
          <w:szCs w:val="17"/>
        </w:rPr>
        <w:t xml:space="preserve">     |                                     |</w:t>
      </w:r>
    </w:p>
    <w:p w14:paraId="44DE9B9D" w14:textId="77777777" w:rsidR="0085380A" w:rsidRDefault="00000000">
      <w:pPr>
        <w:shd w:val="clear" w:color="auto" w:fill="F2F4F7"/>
        <w:ind w:left="180" w:right="180"/>
      </w:pPr>
      <w:r>
        <w:rPr>
          <w:rFonts w:ascii="Consolas" w:eastAsia="Consolas" w:hAnsi="Consolas" w:cs="Consolas"/>
          <w:sz w:val="17"/>
          <w:szCs w:val="17"/>
        </w:rPr>
        <w:t xml:space="preserve">     v                                     v</w:t>
      </w:r>
    </w:p>
    <w:p w14:paraId="44DE9B9E" w14:textId="77777777" w:rsidR="0085380A" w:rsidRDefault="00000000">
      <w:pPr>
        <w:shd w:val="clear" w:color="auto" w:fill="F2F4F7"/>
        <w:ind w:left="180" w:right="180"/>
      </w:pPr>
      <w:r>
        <w:rPr>
          <w:rFonts w:ascii="Consolas" w:eastAsia="Consolas" w:hAnsi="Consolas" w:cs="Consolas"/>
          <w:sz w:val="17"/>
          <w:szCs w:val="17"/>
        </w:rPr>
        <w:t xml:space="preserve">  GCC HIGH TENANT                     COMMERCIAL TENANT</w:t>
      </w:r>
    </w:p>
    <w:p w14:paraId="44DE9B9F" w14:textId="77777777" w:rsidR="0085380A" w:rsidRDefault="00000000">
      <w:pPr>
        <w:shd w:val="clear" w:color="auto" w:fill="F2F4F7"/>
        <w:ind w:left="180" w:right="180"/>
      </w:pPr>
      <w:r>
        <w:rPr>
          <w:rFonts w:ascii="Consolas" w:eastAsia="Consolas" w:hAnsi="Consolas" w:cs="Consolas"/>
          <w:sz w:val="17"/>
          <w:szCs w:val="17"/>
        </w:rPr>
        <w:t xml:space="preserve">  login.microsoftonline.us            login.microsoftonline.com</w:t>
      </w:r>
    </w:p>
    <w:p w14:paraId="44DE9BA0" w14:textId="77777777" w:rsidR="0085380A" w:rsidRDefault="00000000">
      <w:pPr>
        <w:shd w:val="clear" w:color="auto" w:fill="F2F4F7"/>
        <w:ind w:left="180" w:right="180"/>
      </w:pPr>
      <w:r>
        <w:rPr>
          <w:rFonts w:ascii="Consolas" w:eastAsia="Consolas" w:hAnsi="Consolas" w:cs="Consolas"/>
          <w:sz w:val="17"/>
          <w:szCs w:val="17"/>
        </w:rPr>
        <w:t xml:space="preserve">  graph.microsoft.us      (read)      graph.microsoft.com      (read)</w:t>
      </w:r>
    </w:p>
    <w:p w14:paraId="44DE9BA1" w14:textId="77777777" w:rsidR="0085380A" w:rsidRDefault="00000000">
      <w:pPr>
        <w:shd w:val="clear" w:color="auto" w:fill="F2F4F7"/>
        <w:spacing w:after="160"/>
        <w:ind w:left="180" w:right="180"/>
      </w:pPr>
      <w:r>
        <w:rPr>
          <w:rFonts w:ascii="Consolas" w:eastAsia="Consolas" w:hAnsi="Consolas" w:cs="Consolas"/>
          <w:sz w:val="17"/>
          <w:szCs w:val="17"/>
        </w:rPr>
        <w:t xml:space="preserve">  outlook.office365.us    (write)     outlook.office365.com    (write)</w:t>
      </w:r>
    </w:p>
    <w:p w14:paraId="44DE9BA2" w14:textId="77777777" w:rsidR="0085380A" w:rsidRDefault="00000000">
      <w:pPr>
        <w:pStyle w:val="Heading2"/>
        <w:keepNext/>
        <w:spacing w:before="260" w:after="140"/>
      </w:pPr>
      <w:bookmarkStart w:id="4" w:name="_Toc239065926"/>
      <w:r>
        <w:t>4.2 Run sequence</w:t>
      </w:r>
      <w:bookmarkEnd w:id="4"/>
    </w:p>
    <w:p w14:paraId="44DE9BA3" w14:textId="77777777" w:rsidR="0085380A" w:rsidRDefault="00000000">
      <w:pPr>
        <w:pStyle w:val="ListParagraph"/>
        <w:numPr>
          <w:ilvl w:val="0"/>
          <w:numId w:val="3"/>
        </w:numPr>
        <w:spacing w:after="60" w:line="276" w:lineRule="auto"/>
      </w:pPr>
      <w:r>
        <w:t>The runbook starts on schedule and signs in to Azure Government with its managed identity. No secret is stored in the Automation account.</w:t>
      </w:r>
    </w:p>
    <w:p w14:paraId="44DE9BA4" w14:textId="77777777" w:rsidR="0085380A" w:rsidRDefault="00000000">
      <w:pPr>
        <w:pStyle w:val="ListParagraph"/>
        <w:numPr>
          <w:ilvl w:val="0"/>
          <w:numId w:val="3"/>
        </w:numPr>
        <w:spacing w:after="60" w:line="276" w:lineRule="auto"/>
      </w:pPr>
      <w:r>
        <w:t>It reads both application certificates from Key Vault into memory, using an ephemeral key set — nothing is written to disk.</w:t>
      </w:r>
    </w:p>
    <w:p w14:paraId="44DE9BA5" w14:textId="77777777" w:rsidR="0085380A" w:rsidRDefault="00000000">
      <w:pPr>
        <w:pStyle w:val="ListParagraph"/>
        <w:numPr>
          <w:ilvl w:val="0"/>
          <w:numId w:val="3"/>
        </w:numPr>
        <w:spacing w:after="60" w:line="276" w:lineRule="auto"/>
      </w:pPr>
      <w:r>
        <w:t xml:space="preserve">It opens </w:t>
      </w:r>
      <w:r>
        <w:rPr>
          <w:b/>
          <w:bCs/>
        </w:rPr>
        <w:t>both</w:t>
      </w:r>
      <w:r>
        <w:t xml:space="preserve"> Exchange Online sessions concurrently. This is possible because each session is loaded with a distinct cmdlet prefix (</w:t>
      </w:r>
      <w:r>
        <w:rPr>
          <w:rFonts w:ascii="Consolas" w:eastAsia="Consolas" w:hAnsi="Consolas" w:cs="Consolas"/>
          <w:sz w:val="19"/>
          <w:szCs w:val="19"/>
        </w:rPr>
        <w:t>Get-GcchMailContact</w:t>
      </w:r>
      <w:r>
        <w:t xml:space="preserve">, </w:t>
      </w:r>
      <w:r>
        <w:rPr>
          <w:rFonts w:ascii="Consolas" w:eastAsia="Consolas" w:hAnsi="Consolas" w:cs="Consolas"/>
          <w:sz w:val="19"/>
          <w:szCs w:val="19"/>
        </w:rPr>
        <w:t>Get-CommMailContact</w:t>
      </w:r>
      <w:r>
        <w:t>), which is what keeps a single-process design honest about which tenant it is talking to.</w:t>
      </w:r>
    </w:p>
    <w:p w14:paraId="44DE9BA6" w14:textId="77777777" w:rsidR="0085380A" w:rsidRDefault="00000000">
      <w:pPr>
        <w:pStyle w:val="ListParagraph"/>
        <w:numPr>
          <w:ilvl w:val="0"/>
          <w:numId w:val="3"/>
        </w:numPr>
        <w:spacing w:after="60" w:line="276" w:lineRule="auto"/>
      </w:pPr>
      <w:r>
        <w:t>It builds, per tenant, the set of primary SMTP addresses that correspond to real user mailboxes. A directory object without a mailbox is never published.</w:t>
      </w:r>
    </w:p>
    <w:p w14:paraId="44DE9BA7" w14:textId="77777777" w:rsidR="0085380A" w:rsidRDefault="00000000">
      <w:pPr>
        <w:pStyle w:val="ListParagraph"/>
        <w:numPr>
          <w:ilvl w:val="0"/>
          <w:numId w:val="3"/>
        </w:numPr>
        <w:spacing w:after="60" w:line="276" w:lineRule="auto"/>
      </w:pPr>
      <w:r>
        <w:t>For each source tenant in turn it connects Graph — one context at a time, which the Graph SDK enforces — enumerates in-scope users, projects each onto the allow-listed attribute set, computes a content hash, and caches the result. Then it disconnects.</w:t>
      </w:r>
    </w:p>
    <w:p w14:paraId="44DE9BA8" w14:textId="1CB098D6" w:rsidR="0085380A" w:rsidRDefault="00000000">
      <w:pPr>
        <w:pStyle w:val="ListParagraph"/>
        <w:numPr>
          <w:ilvl w:val="0"/>
          <w:numId w:val="3"/>
        </w:numPr>
        <w:spacing w:after="60" w:line="276" w:lineRule="auto"/>
      </w:pPr>
      <w:r>
        <w:t>For each enabled flow</w:t>
      </w:r>
      <w:r w:rsidR="00415DA9">
        <w:t>, it reads the existing synchronized</w:t>
      </w:r>
      <w:r>
        <w:t xml:space="preserve"> contacts in the target tenant, computes a reconciliation plan, submits the plan to the safety gate, and applies it.</w:t>
      </w:r>
    </w:p>
    <w:p w14:paraId="44DE9BA9" w14:textId="77777777" w:rsidR="0085380A" w:rsidRDefault="00000000">
      <w:pPr>
        <w:pStyle w:val="ListParagraph"/>
        <w:numPr>
          <w:ilvl w:val="0"/>
          <w:numId w:val="3"/>
        </w:numPr>
        <w:spacing w:after="60" w:line="276" w:lineRule="auto"/>
      </w:pPr>
      <w:r>
        <w:t>It writes a per-run CSV report to the immutable audit container and emits a structured summary.</w:t>
      </w:r>
    </w:p>
    <w:p w14:paraId="44DE9BAA" w14:textId="77777777" w:rsidR="0085380A" w:rsidRDefault="00000000">
      <w:pPr>
        <w:pStyle w:val="Heading2"/>
        <w:keepNext/>
        <w:spacing w:before="260" w:after="140"/>
      </w:pPr>
      <w:bookmarkStart w:id="5" w:name="_Toc239065927"/>
      <w:r>
        <w:lastRenderedPageBreak/>
        <w:t>4.3 Hosting decision</w:t>
      </w:r>
      <w:bookmarkEnd w:id="5"/>
    </w:p>
    <w:p w14:paraId="44DE9BAB" w14:textId="79907042" w:rsidR="0085380A" w:rsidRDefault="00000000">
      <w:pPr>
        <w:spacing w:after="120" w:line="276" w:lineRule="auto"/>
      </w:pPr>
      <w:r>
        <w:t xml:space="preserve">Azure Automation in Azure Government, rather than a Function App or a container, for three reasons: the managed identity and Key Vault integration are native; the job stream is a first-class, retained audit </w:t>
      </w:r>
      <w:r w:rsidR="00214BA5">
        <w:t>artifact</w:t>
      </w:r>
      <w:r>
        <w:t xml:space="preserve"> that diagnostic settings forward to Log Analytics without additional code; and the operational model (job history, re-run, schedule) is one the M365 operations team already uses. A Hybrid Runbook Worker in a spoke subnet is supported by the same code where egress must be forced through the hub firewall — </w:t>
      </w:r>
      <w:r>
        <w:rPr>
          <w:rFonts w:ascii="Consolas" w:eastAsia="Consolas" w:hAnsi="Consolas" w:cs="Consolas"/>
          <w:sz w:val="19"/>
          <w:szCs w:val="19"/>
        </w:rPr>
        <w:t>infra/network.bicep</w:t>
      </w:r>
      <w:r>
        <w:t xml:space="preserve"> carries that policy.</w:t>
      </w:r>
    </w:p>
    <w:p w14:paraId="44DE9BAC" w14:textId="77777777" w:rsidR="0085380A" w:rsidRDefault="0085380A">
      <w:pPr>
        <w:pBdr>
          <w:bottom w:val="single" w:sz="6" w:space="6" w:color="BFBFBF"/>
        </w:pBdr>
        <w:spacing w:before="100" w:after="200"/>
      </w:pPr>
    </w:p>
    <w:p w14:paraId="44DE9BAD" w14:textId="77777777" w:rsidR="0085380A" w:rsidRDefault="00000000">
      <w:pPr>
        <w:pStyle w:val="Heading1"/>
        <w:keepNext/>
        <w:spacing w:before="360" w:after="140"/>
      </w:pPr>
      <w:bookmarkStart w:id="6" w:name="_Toc239065928"/>
      <w:r>
        <w:t>5. Object model</w:t>
      </w:r>
      <w:bookmarkEnd w:id="6"/>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51"/>
        <w:gridCol w:w="7109"/>
      </w:tblGrid>
      <w:tr w:rsidR="0085380A" w14:paraId="44DE9BB0" w14:textId="77777777">
        <w:tblPrEx>
          <w:tblCellMar>
            <w:top w:w="0" w:type="dxa"/>
            <w:bottom w:w="0" w:type="dxa"/>
          </w:tblCellMar>
        </w:tblPrEx>
        <w:trPr>
          <w:tblHeader/>
        </w:trPr>
        <w:tc>
          <w:tcPr>
            <w:tcW w:w="2251" w:type="dxa"/>
            <w:shd w:val="clear" w:color="auto" w:fill="1F4E79"/>
            <w:tcMar>
              <w:top w:w="60" w:type="dxa"/>
              <w:left w:w="110" w:type="dxa"/>
              <w:bottom w:w="60" w:type="dxa"/>
              <w:right w:w="110" w:type="dxa"/>
            </w:tcMar>
          </w:tcPr>
          <w:p w14:paraId="44DE9BAE" w14:textId="77777777" w:rsidR="0085380A" w:rsidRDefault="00000000">
            <w:r>
              <w:rPr>
                <w:b/>
                <w:bCs/>
                <w:color w:val="FFFFFF"/>
                <w:sz w:val="19"/>
                <w:szCs w:val="19"/>
              </w:rPr>
              <w:t>Concern</w:t>
            </w:r>
          </w:p>
        </w:tc>
        <w:tc>
          <w:tcPr>
            <w:tcW w:w="7109" w:type="dxa"/>
            <w:shd w:val="clear" w:color="auto" w:fill="1F4E79"/>
            <w:tcMar>
              <w:top w:w="60" w:type="dxa"/>
              <w:left w:w="110" w:type="dxa"/>
              <w:bottom w:w="60" w:type="dxa"/>
              <w:right w:w="110" w:type="dxa"/>
            </w:tcMar>
          </w:tcPr>
          <w:p w14:paraId="44DE9BAF" w14:textId="77777777" w:rsidR="0085380A" w:rsidRDefault="00000000">
            <w:r>
              <w:rPr>
                <w:b/>
                <w:bCs/>
                <w:color w:val="FFFFFF"/>
                <w:sz w:val="19"/>
                <w:szCs w:val="19"/>
              </w:rPr>
              <w:t>Decision</w:t>
            </w:r>
          </w:p>
        </w:tc>
      </w:tr>
      <w:tr w:rsidR="0085380A" w14:paraId="44DE9BB3" w14:textId="77777777">
        <w:tblPrEx>
          <w:tblCellMar>
            <w:top w:w="0" w:type="dxa"/>
            <w:bottom w:w="0" w:type="dxa"/>
          </w:tblCellMar>
        </w:tblPrEx>
        <w:tc>
          <w:tcPr>
            <w:tcW w:w="2251" w:type="dxa"/>
            <w:tcMar>
              <w:top w:w="60" w:type="dxa"/>
              <w:left w:w="110" w:type="dxa"/>
              <w:bottom w:w="60" w:type="dxa"/>
              <w:right w:w="110" w:type="dxa"/>
            </w:tcMar>
          </w:tcPr>
          <w:p w14:paraId="44DE9BB1" w14:textId="77777777" w:rsidR="0085380A" w:rsidRDefault="00000000">
            <w:r>
              <w:rPr>
                <w:sz w:val="19"/>
                <w:szCs w:val="19"/>
              </w:rPr>
              <w:t>Target object type</w:t>
            </w:r>
          </w:p>
        </w:tc>
        <w:tc>
          <w:tcPr>
            <w:tcW w:w="7109" w:type="dxa"/>
            <w:tcMar>
              <w:top w:w="60" w:type="dxa"/>
              <w:left w:w="110" w:type="dxa"/>
              <w:bottom w:w="60" w:type="dxa"/>
              <w:right w:w="110" w:type="dxa"/>
            </w:tcMar>
          </w:tcPr>
          <w:p w14:paraId="44DE9BB2" w14:textId="16ECB053" w:rsidR="0085380A" w:rsidRDefault="00000000">
            <w:r>
              <w:rPr>
                <w:rFonts w:ascii="Consolas" w:eastAsia="Consolas" w:hAnsi="Consolas" w:cs="Consolas"/>
                <w:sz w:val="19"/>
                <w:szCs w:val="19"/>
              </w:rPr>
              <w:t>MailContact</w:t>
            </w:r>
            <w:r>
              <w:rPr>
                <w:sz w:val="19"/>
                <w:szCs w:val="19"/>
              </w:rPr>
              <w:t xml:space="preserve"> — appears in the GAL, is resolvable by Outlook and Teams, </w:t>
            </w:r>
            <w:r w:rsidR="00687924">
              <w:rPr>
                <w:sz w:val="19"/>
                <w:szCs w:val="19"/>
              </w:rPr>
              <w:t xml:space="preserve">and </w:t>
            </w:r>
            <w:r>
              <w:rPr>
                <w:sz w:val="19"/>
                <w:szCs w:val="19"/>
              </w:rPr>
              <w:t>carries no sign-in surface</w:t>
            </w:r>
          </w:p>
        </w:tc>
      </w:tr>
      <w:tr w:rsidR="0085380A" w14:paraId="44DE9BB6" w14:textId="77777777">
        <w:tblPrEx>
          <w:tblCellMar>
            <w:top w:w="0" w:type="dxa"/>
            <w:bottom w:w="0" w:type="dxa"/>
          </w:tblCellMar>
        </w:tblPrEx>
        <w:tc>
          <w:tcPr>
            <w:tcW w:w="2251" w:type="dxa"/>
            <w:tcMar>
              <w:top w:w="60" w:type="dxa"/>
              <w:left w:w="110" w:type="dxa"/>
              <w:bottom w:w="60" w:type="dxa"/>
              <w:right w:w="110" w:type="dxa"/>
            </w:tcMar>
          </w:tcPr>
          <w:p w14:paraId="44DE9BB4" w14:textId="77777777" w:rsidR="0085380A" w:rsidRDefault="00000000">
            <w:r>
              <w:rPr>
                <w:sz w:val="19"/>
                <w:szCs w:val="19"/>
              </w:rPr>
              <w:t>Immutable anchor</w:t>
            </w:r>
          </w:p>
        </w:tc>
        <w:tc>
          <w:tcPr>
            <w:tcW w:w="7109" w:type="dxa"/>
            <w:tcMar>
              <w:top w:w="60" w:type="dxa"/>
              <w:left w:w="110" w:type="dxa"/>
              <w:bottom w:w="60" w:type="dxa"/>
              <w:right w:w="110" w:type="dxa"/>
            </w:tcMar>
          </w:tcPr>
          <w:p w14:paraId="44DE9BB5" w14:textId="77777777" w:rsidR="0085380A" w:rsidRDefault="00000000">
            <w:r>
              <w:rPr>
                <w:sz w:val="19"/>
                <w:szCs w:val="19"/>
              </w:rPr>
              <w:t xml:space="preserve">Source user </w:t>
            </w:r>
            <w:r>
              <w:rPr>
                <w:rFonts w:ascii="Consolas" w:eastAsia="Consolas" w:hAnsi="Consolas" w:cs="Consolas"/>
                <w:sz w:val="19"/>
                <w:szCs w:val="19"/>
              </w:rPr>
              <w:t>id</w:t>
            </w:r>
            <w:r>
              <w:rPr>
                <w:sz w:val="19"/>
                <w:szCs w:val="19"/>
              </w:rPr>
              <w:t xml:space="preserve"> (Entra object ID), stored on the contact in </w:t>
            </w:r>
            <w:r>
              <w:rPr>
                <w:rFonts w:ascii="Consolas" w:eastAsia="Consolas" w:hAnsi="Consolas" w:cs="Consolas"/>
                <w:sz w:val="19"/>
                <w:szCs w:val="19"/>
              </w:rPr>
              <w:t>CustomAttribute13</w:t>
            </w:r>
          </w:p>
        </w:tc>
      </w:tr>
      <w:tr w:rsidR="0085380A" w14:paraId="44DE9BB9" w14:textId="77777777">
        <w:tblPrEx>
          <w:tblCellMar>
            <w:top w:w="0" w:type="dxa"/>
            <w:bottom w:w="0" w:type="dxa"/>
          </w:tblCellMar>
        </w:tblPrEx>
        <w:tc>
          <w:tcPr>
            <w:tcW w:w="2251" w:type="dxa"/>
            <w:tcMar>
              <w:top w:w="60" w:type="dxa"/>
              <w:left w:w="110" w:type="dxa"/>
              <w:bottom w:w="60" w:type="dxa"/>
              <w:right w:w="110" w:type="dxa"/>
            </w:tcMar>
          </w:tcPr>
          <w:p w14:paraId="44DE9BB7" w14:textId="77777777" w:rsidR="0085380A" w:rsidRDefault="00000000">
            <w:r>
              <w:rPr>
                <w:sz w:val="19"/>
                <w:szCs w:val="19"/>
              </w:rPr>
              <w:t>Provenance stamp</w:t>
            </w:r>
          </w:p>
        </w:tc>
        <w:tc>
          <w:tcPr>
            <w:tcW w:w="7109" w:type="dxa"/>
            <w:tcMar>
              <w:top w:w="60" w:type="dxa"/>
              <w:left w:w="110" w:type="dxa"/>
              <w:bottom w:w="60" w:type="dxa"/>
              <w:right w:w="110" w:type="dxa"/>
            </w:tcMar>
          </w:tcPr>
          <w:p w14:paraId="44DE9BB8" w14:textId="77777777" w:rsidR="0085380A" w:rsidRDefault="00000000">
            <w:r>
              <w:rPr>
                <w:rFonts w:ascii="Consolas" w:eastAsia="Consolas" w:hAnsi="Consolas" w:cs="Consolas"/>
                <w:sz w:val="19"/>
                <w:szCs w:val="19"/>
              </w:rPr>
              <w:t>CustomAttribute15 = GALSYNC</w:t>
            </w:r>
            <w:r>
              <w:rPr>
                <w:sz w:val="19"/>
                <w:szCs w:val="19"/>
              </w:rPr>
              <w:t xml:space="preserve">, </w:t>
            </w:r>
            <w:r>
              <w:rPr>
                <w:rFonts w:ascii="Consolas" w:eastAsia="Consolas" w:hAnsi="Consolas" w:cs="Consolas"/>
                <w:sz w:val="19"/>
                <w:szCs w:val="19"/>
              </w:rPr>
              <w:t>CustomAttribute14 = &lt;source tenant tag&gt;</w:t>
            </w:r>
          </w:p>
        </w:tc>
      </w:tr>
      <w:tr w:rsidR="0085380A" w14:paraId="44DE9BBC" w14:textId="77777777">
        <w:tblPrEx>
          <w:tblCellMar>
            <w:top w:w="0" w:type="dxa"/>
            <w:bottom w:w="0" w:type="dxa"/>
          </w:tblCellMar>
        </w:tblPrEx>
        <w:tc>
          <w:tcPr>
            <w:tcW w:w="2251" w:type="dxa"/>
            <w:tcMar>
              <w:top w:w="60" w:type="dxa"/>
              <w:left w:w="110" w:type="dxa"/>
              <w:bottom w:w="60" w:type="dxa"/>
              <w:right w:w="110" w:type="dxa"/>
            </w:tcMar>
          </w:tcPr>
          <w:p w14:paraId="44DE9BBA" w14:textId="77777777" w:rsidR="0085380A" w:rsidRDefault="00000000">
            <w:r>
              <w:rPr>
                <w:sz w:val="19"/>
                <w:szCs w:val="19"/>
              </w:rPr>
              <w:t>Change detection</w:t>
            </w:r>
          </w:p>
        </w:tc>
        <w:tc>
          <w:tcPr>
            <w:tcW w:w="7109" w:type="dxa"/>
            <w:tcMar>
              <w:top w:w="60" w:type="dxa"/>
              <w:left w:w="110" w:type="dxa"/>
              <w:bottom w:w="60" w:type="dxa"/>
              <w:right w:w="110" w:type="dxa"/>
            </w:tcMar>
          </w:tcPr>
          <w:p w14:paraId="44DE9BBB" w14:textId="77777777" w:rsidR="0085380A" w:rsidRDefault="00000000">
            <w:r>
              <w:rPr>
                <w:sz w:val="19"/>
                <w:szCs w:val="19"/>
              </w:rPr>
              <w:t xml:space="preserve">SHA-256 over the projected attribute set, stored in </w:t>
            </w:r>
            <w:r>
              <w:rPr>
                <w:rFonts w:ascii="Consolas" w:eastAsia="Consolas" w:hAnsi="Consolas" w:cs="Consolas"/>
                <w:sz w:val="19"/>
                <w:szCs w:val="19"/>
              </w:rPr>
              <w:t>CustomAttribute12</w:t>
            </w:r>
          </w:p>
        </w:tc>
      </w:tr>
      <w:tr w:rsidR="0085380A" w14:paraId="44DE9BBF" w14:textId="77777777">
        <w:tblPrEx>
          <w:tblCellMar>
            <w:top w:w="0" w:type="dxa"/>
            <w:bottom w:w="0" w:type="dxa"/>
          </w:tblCellMar>
        </w:tblPrEx>
        <w:tc>
          <w:tcPr>
            <w:tcW w:w="2251" w:type="dxa"/>
            <w:tcMar>
              <w:top w:w="60" w:type="dxa"/>
              <w:left w:w="110" w:type="dxa"/>
              <w:bottom w:w="60" w:type="dxa"/>
              <w:right w:w="110" w:type="dxa"/>
            </w:tcMar>
          </w:tcPr>
          <w:p w14:paraId="44DE9BBD" w14:textId="77777777" w:rsidR="0085380A" w:rsidRDefault="00000000">
            <w:r>
              <w:rPr>
                <w:sz w:val="19"/>
                <w:szCs w:val="19"/>
              </w:rPr>
              <w:t>Deletion staging</w:t>
            </w:r>
          </w:p>
        </w:tc>
        <w:tc>
          <w:tcPr>
            <w:tcW w:w="7109" w:type="dxa"/>
            <w:tcMar>
              <w:top w:w="60" w:type="dxa"/>
              <w:left w:w="110" w:type="dxa"/>
              <w:bottom w:w="60" w:type="dxa"/>
              <w:right w:w="110" w:type="dxa"/>
            </w:tcMar>
          </w:tcPr>
          <w:p w14:paraId="44DE9BBE" w14:textId="77777777" w:rsidR="0085380A" w:rsidRDefault="00000000">
            <w:r>
              <w:rPr>
                <w:rFonts w:ascii="Consolas" w:eastAsia="Consolas" w:hAnsi="Consolas" w:cs="Consolas"/>
                <w:sz w:val="19"/>
                <w:szCs w:val="19"/>
              </w:rPr>
              <w:t>CustomAttribute11 = PENDINGDELETE:yyyyMMdd</w:t>
            </w:r>
          </w:p>
        </w:tc>
      </w:tr>
      <w:tr w:rsidR="0085380A" w14:paraId="44DE9BC2" w14:textId="77777777">
        <w:tblPrEx>
          <w:tblCellMar>
            <w:top w:w="0" w:type="dxa"/>
            <w:bottom w:w="0" w:type="dxa"/>
          </w:tblCellMar>
        </w:tblPrEx>
        <w:tc>
          <w:tcPr>
            <w:tcW w:w="2251" w:type="dxa"/>
            <w:tcMar>
              <w:top w:w="60" w:type="dxa"/>
              <w:left w:w="110" w:type="dxa"/>
              <w:bottom w:w="60" w:type="dxa"/>
              <w:right w:w="110" w:type="dxa"/>
            </w:tcMar>
          </w:tcPr>
          <w:p w14:paraId="44DE9BC0" w14:textId="77777777" w:rsidR="0085380A" w:rsidRDefault="00000000">
            <w:r>
              <w:rPr>
                <w:sz w:val="19"/>
                <w:szCs w:val="19"/>
              </w:rPr>
              <w:t xml:space="preserve">Contact </w:t>
            </w:r>
            <w:r>
              <w:rPr>
                <w:rFonts w:ascii="Consolas" w:eastAsia="Consolas" w:hAnsi="Consolas" w:cs="Consolas"/>
                <w:sz w:val="19"/>
                <w:szCs w:val="19"/>
              </w:rPr>
              <w:t>Name</w:t>
            </w:r>
            <w:r>
              <w:rPr>
                <w:sz w:val="19"/>
                <w:szCs w:val="19"/>
              </w:rPr>
              <w:t xml:space="preserve"> (CN)</w:t>
            </w:r>
          </w:p>
        </w:tc>
        <w:tc>
          <w:tcPr>
            <w:tcW w:w="7109" w:type="dxa"/>
            <w:tcMar>
              <w:top w:w="60" w:type="dxa"/>
              <w:left w:w="110" w:type="dxa"/>
              <w:bottom w:w="60" w:type="dxa"/>
              <w:right w:w="110" w:type="dxa"/>
            </w:tcMar>
          </w:tcPr>
          <w:p w14:paraId="44DE9BC1" w14:textId="77777777" w:rsidR="0085380A" w:rsidRDefault="00000000">
            <w:r>
              <w:rPr>
                <w:rFonts w:ascii="Consolas" w:eastAsia="Consolas" w:hAnsi="Consolas" w:cs="Consolas"/>
                <w:sz w:val="19"/>
                <w:szCs w:val="19"/>
              </w:rPr>
              <w:t>gs-&lt;tag&gt;-&lt;first 12 hex of anchor&gt;</w:t>
            </w:r>
            <w:r>
              <w:rPr>
                <w:sz w:val="19"/>
                <w:szCs w:val="19"/>
              </w:rPr>
              <w:t xml:space="preserve"> — deterministic and collision-free</w:t>
            </w:r>
          </w:p>
        </w:tc>
      </w:tr>
      <w:tr w:rsidR="0085380A" w14:paraId="44DE9BC5" w14:textId="77777777">
        <w:tblPrEx>
          <w:tblCellMar>
            <w:top w:w="0" w:type="dxa"/>
            <w:bottom w:w="0" w:type="dxa"/>
          </w:tblCellMar>
        </w:tblPrEx>
        <w:tc>
          <w:tcPr>
            <w:tcW w:w="2251" w:type="dxa"/>
            <w:tcMar>
              <w:top w:w="60" w:type="dxa"/>
              <w:left w:w="110" w:type="dxa"/>
              <w:bottom w:w="60" w:type="dxa"/>
              <w:right w:w="110" w:type="dxa"/>
            </w:tcMar>
          </w:tcPr>
          <w:p w14:paraId="44DE9BC3" w14:textId="77777777" w:rsidR="0085380A" w:rsidRDefault="00000000">
            <w:r>
              <w:rPr>
                <w:sz w:val="19"/>
                <w:szCs w:val="19"/>
              </w:rPr>
              <w:t xml:space="preserve">Contact </w:t>
            </w:r>
            <w:r>
              <w:rPr>
                <w:rFonts w:ascii="Consolas" w:eastAsia="Consolas" w:hAnsi="Consolas" w:cs="Consolas"/>
                <w:sz w:val="19"/>
                <w:szCs w:val="19"/>
              </w:rPr>
              <w:t>Alias</w:t>
            </w:r>
          </w:p>
        </w:tc>
        <w:tc>
          <w:tcPr>
            <w:tcW w:w="7109" w:type="dxa"/>
            <w:tcMar>
              <w:top w:w="60" w:type="dxa"/>
              <w:left w:w="110" w:type="dxa"/>
              <w:bottom w:w="60" w:type="dxa"/>
              <w:right w:w="110" w:type="dxa"/>
            </w:tcMar>
          </w:tcPr>
          <w:p w14:paraId="44DE9BC4" w14:textId="77777777" w:rsidR="0085380A" w:rsidRDefault="00000000">
            <w:r>
              <w:rPr>
                <w:rFonts w:ascii="Consolas" w:eastAsia="Consolas" w:hAnsi="Consolas" w:cs="Consolas"/>
                <w:sz w:val="19"/>
                <w:szCs w:val="19"/>
              </w:rPr>
              <w:t>gs_&lt;tag&gt;_&lt;first 12 hex of anchor&gt;</w:t>
            </w:r>
          </w:p>
        </w:tc>
      </w:tr>
      <w:tr w:rsidR="0085380A" w14:paraId="44DE9BC8" w14:textId="77777777">
        <w:tblPrEx>
          <w:tblCellMar>
            <w:top w:w="0" w:type="dxa"/>
            <w:bottom w:w="0" w:type="dxa"/>
          </w:tblCellMar>
        </w:tblPrEx>
        <w:tc>
          <w:tcPr>
            <w:tcW w:w="2251" w:type="dxa"/>
            <w:tcMar>
              <w:top w:w="60" w:type="dxa"/>
              <w:left w:w="110" w:type="dxa"/>
              <w:bottom w:w="60" w:type="dxa"/>
              <w:right w:w="110" w:type="dxa"/>
            </w:tcMar>
          </w:tcPr>
          <w:p w14:paraId="44DE9BC6" w14:textId="77777777" w:rsidR="0085380A" w:rsidRDefault="00000000">
            <w:r>
              <w:rPr>
                <w:rFonts w:ascii="Consolas" w:eastAsia="Consolas" w:hAnsi="Consolas" w:cs="Consolas"/>
                <w:sz w:val="19"/>
                <w:szCs w:val="19"/>
              </w:rPr>
              <w:t>DisplayName</w:t>
            </w:r>
          </w:p>
        </w:tc>
        <w:tc>
          <w:tcPr>
            <w:tcW w:w="7109" w:type="dxa"/>
            <w:tcMar>
              <w:top w:w="60" w:type="dxa"/>
              <w:left w:w="110" w:type="dxa"/>
              <w:bottom w:w="60" w:type="dxa"/>
              <w:right w:w="110" w:type="dxa"/>
            </w:tcMar>
          </w:tcPr>
          <w:p w14:paraId="44DE9BC7" w14:textId="77777777" w:rsidR="0085380A" w:rsidRDefault="00000000">
            <w:r>
              <w:rPr>
                <w:sz w:val="19"/>
                <w:szCs w:val="19"/>
              </w:rPr>
              <w:t xml:space="preserve">Source display name plus a configurable tenant suffix, e.g. </w:t>
            </w:r>
            <w:r>
              <w:rPr>
                <w:rFonts w:ascii="Consolas" w:eastAsia="Consolas" w:hAnsi="Consolas" w:cs="Consolas"/>
                <w:sz w:val="19"/>
                <w:szCs w:val="19"/>
              </w:rPr>
              <w:t>Jane Doe (Contoso Defense)</w:t>
            </w:r>
          </w:p>
        </w:tc>
      </w:tr>
    </w:tbl>
    <w:p w14:paraId="44DE9BC9" w14:textId="77777777" w:rsidR="0085380A" w:rsidRDefault="0085380A">
      <w:pPr>
        <w:spacing w:after="160"/>
      </w:pPr>
    </w:p>
    <w:p w14:paraId="44DE9BCA" w14:textId="77777777" w:rsidR="0085380A" w:rsidRDefault="00000000">
      <w:pPr>
        <w:spacing w:after="120" w:line="276" w:lineRule="auto"/>
      </w:pPr>
      <w:r>
        <w:t>The provenance stamp is load-bearing. Every read of the target tenant is filtered on it, so a mail contact created by any other means — a partner contact, a vendor, a legacy import — is invisible to this service and can never be modified or deleted by it. Only objects this service created are objects this service manages.</w:t>
      </w:r>
    </w:p>
    <w:p w14:paraId="44DE9BCB" w14:textId="77777777" w:rsidR="0085380A" w:rsidRDefault="0085380A">
      <w:pPr>
        <w:pBdr>
          <w:bottom w:val="single" w:sz="6" w:space="6" w:color="BFBFBF"/>
        </w:pBdr>
        <w:spacing w:before="100" w:after="200"/>
      </w:pPr>
    </w:p>
    <w:p w14:paraId="44DE9BCC" w14:textId="77777777" w:rsidR="0085380A" w:rsidRDefault="00000000">
      <w:pPr>
        <w:pStyle w:val="Heading1"/>
        <w:keepNext/>
        <w:spacing w:before="360" w:after="140"/>
      </w:pPr>
      <w:bookmarkStart w:id="7" w:name="_Toc239065929"/>
      <w:r>
        <w:t>6. Identity and least privilege</w:t>
      </w:r>
      <w:bookmarkEnd w:id="7"/>
    </w:p>
    <w:p w14:paraId="44DE9BCD" w14:textId="77777777" w:rsidR="0085380A" w:rsidRDefault="00000000">
      <w:pPr>
        <w:spacing w:after="120" w:line="276" w:lineRule="auto"/>
      </w:pPr>
      <w:r>
        <w:t>Two single-tenant applications, one per tenant, each with a certificate credential only. No client secrets.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73"/>
        <w:gridCol w:w="4086"/>
        <w:gridCol w:w="3501"/>
      </w:tblGrid>
      <w:tr w:rsidR="0085380A" w14:paraId="44DE9BD1" w14:textId="77777777">
        <w:tblPrEx>
          <w:tblCellMar>
            <w:top w:w="0" w:type="dxa"/>
            <w:bottom w:w="0" w:type="dxa"/>
          </w:tblCellMar>
        </w:tblPrEx>
        <w:trPr>
          <w:tblHeader/>
        </w:trPr>
        <w:tc>
          <w:tcPr>
            <w:tcW w:w="2064" w:type="dxa"/>
            <w:shd w:val="clear" w:color="auto" w:fill="1F4E79"/>
            <w:tcMar>
              <w:top w:w="60" w:type="dxa"/>
              <w:left w:w="110" w:type="dxa"/>
              <w:bottom w:w="60" w:type="dxa"/>
              <w:right w:w="110" w:type="dxa"/>
            </w:tcMar>
          </w:tcPr>
          <w:p w14:paraId="44DE9BCE" w14:textId="77777777" w:rsidR="0085380A" w:rsidRDefault="00000000">
            <w:r>
              <w:rPr>
                <w:b/>
                <w:bCs/>
                <w:color w:val="FFFFFF"/>
                <w:sz w:val="19"/>
                <w:szCs w:val="19"/>
              </w:rPr>
              <w:t>Grant</w:t>
            </w:r>
          </w:p>
        </w:tc>
        <w:tc>
          <w:tcPr>
            <w:tcW w:w="2874" w:type="dxa"/>
            <w:shd w:val="clear" w:color="auto" w:fill="1F4E79"/>
            <w:tcMar>
              <w:top w:w="60" w:type="dxa"/>
              <w:left w:w="110" w:type="dxa"/>
              <w:bottom w:w="60" w:type="dxa"/>
              <w:right w:w="110" w:type="dxa"/>
            </w:tcMar>
          </w:tcPr>
          <w:p w14:paraId="44DE9BCF" w14:textId="77777777" w:rsidR="0085380A" w:rsidRDefault="00000000">
            <w:r>
              <w:rPr>
                <w:b/>
                <w:bCs/>
                <w:color w:val="FFFFFF"/>
                <w:sz w:val="19"/>
                <w:szCs w:val="19"/>
              </w:rPr>
              <w:t>Value</w:t>
            </w:r>
          </w:p>
        </w:tc>
        <w:tc>
          <w:tcPr>
            <w:tcW w:w="4422" w:type="dxa"/>
            <w:shd w:val="clear" w:color="auto" w:fill="1F4E79"/>
            <w:tcMar>
              <w:top w:w="60" w:type="dxa"/>
              <w:left w:w="110" w:type="dxa"/>
              <w:bottom w:w="60" w:type="dxa"/>
              <w:right w:w="110" w:type="dxa"/>
            </w:tcMar>
          </w:tcPr>
          <w:p w14:paraId="44DE9BD0" w14:textId="77777777" w:rsidR="0085380A" w:rsidRDefault="00000000">
            <w:r>
              <w:rPr>
                <w:b/>
                <w:bCs/>
                <w:color w:val="FFFFFF"/>
                <w:sz w:val="19"/>
                <w:szCs w:val="19"/>
              </w:rPr>
              <w:t>Why</w:t>
            </w:r>
          </w:p>
        </w:tc>
      </w:tr>
      <w:tr w:rsidR="0085380A" w14:paraId="44DE9BD5" w14:textId="77777777">
        <w:tblPrEx>
          <w:tblCellMar>
            <w:top w:w="0" w:type="dxa"/>
            <w:bottom w:w="0" w:type="dxa"/>
          </w:tblCellMar>
        </w:tblPrEx>
        <w:tc>
          <w:tcPr>
            <w:tcW w:w="2064" w:type="dxa"/>
            <w:tcMar>
              <w:top w:w="60" w:type="dxa"/>
              <w:left w:w="110" w:type="dxa"/>
              <w:bottom w:w="60" w:type="dxa"/>
              <w:right w:w="110" w:type="dxa"/>
            </w:tcMar>
          </w:tcPr>
          <w:p w14:paraId="44DE9BD2" w14:textId="77777777" w:rsidR="0085380A" w:rsidRDefault="00000000">
            <w:r>
              <w:rPr>
                <w:sz w:val="19"/>
                <w:szCs w:val="19"/>
              </w:rPr>
              <w:t>Graph application permission</w:t>
            </w:r>
          </w:p>
        </w:tc>
        <w:tc>
          <w:tcPr>
            <w:tcW w:w="2874" w:type="dxa"/>
            <w:tcMar>
              <w:top w:w="60" w:type="dxa"/>
              <w:left w:w="110" w:type="dxa"/>
              <w:bottom w:w="60" w:type="dxa"/>
              <w:right w:w="110" w:type="dxa"/>
            </w:tcMar>
          </w:tcPr>
          <w:p w14:paraId="44DE9BD3" w14:textId="77777777" w:rsidR="0085380A" w:rsidRDefault="00000000">
            <w:r>
              <w:rPr>
                <w:rFonts w:ascii="Consolas" w:eastAsia="Consolas" w:hAnsi="Consolas" w:cs="Consolas"/>
                <w:sz w:val="19"/>
                <w:szCs w:val="19"/>
              </w:rPr>
              <w:t>User.Read.All</w:t>
            </w:r>
          </w:p>
        </w:tc>
        <w:tc>
          <w:tcPr>
            <w:tcW w:w="4422" w:type="dxa"/>
            <w:tcMar>
              <w:top w:w="60" w:type="dxa"/>
              <w:left w:w="110" w:type="dxa"/>
              <w:bottom w:w="60" w:type="dxa"/>
              <w:right w:w="110" w:type="dxa"/>
            </w:tcMar>
          </w:tcPr>
          <w:p w14:paraId="44DE9BD4" w14:textId="77777777" w:rsidR="0085380A" w:rsidRDefault="00000000">
            <w:r>
              <w:rPr>
                <w:sz w:val="19"/>
                <w:szCs w:val="19"/>
              </w:rPr>
              <w:t>Enumerate source users</w:t>
            </w:r>
          </w:p>
        </w:tc>
      </w:tr>
      <w:tr w:rsidR="0085380A" w14:paraId="44DE9BD9" w14:textId="77777777">
        <w:tblPrEx>
          <w:tblCellMar>
            <w:top w:w="0" w:type="dxa"/>
            <w:bottom w:w="0" w:type="dxa"/>
          </w:tblCellMar>
        </w:tblPrEx>
        <w:tc>
          <w:tcPr>
            <w:tcW w:w="2064" w:type="dxa"/>
            <w:tcMar>
              <w:top w:w="60" w:type="dxa"/>
              <w:left w:w="110" w:type="dxa"/>
              <w:bottom w:w="60" w:type="dxa"/>
              <w:right w:w="110" w:type="dxa"/>
            </w:tcMar>
          </w:tcPr>
          <w:p w14:paraId="44DE9BD6" w14:textId="77777777" w:rsidR="0085380A" w:rsidRDefault="00000000">
            <w:r>
              <w:rPr>
                <w:sz w:val="19"/>
                <w:szCs w:val="19"/>
              </w:rPr>
              <w:t>Graph application permission</w:t>
            </w:r>
          </w:p>
        </w:tc>
        <w:tc>
          <w:tcPr>
            <w:tcW w:w="2874" w:type="dxa"/>
            <w:tcMar>
              <w:top w:w="60" w:type="dxa"/>
              <w:left w:w="110" w:type="dxa"/>
              <w:bottom w:w="60" w:type="dxa"/>
              <w:right w:w="110" w:type="dxa"/>
            </w:tcMar>
          </w:tcPr>
          <w:p w14:paraId="44DE9BD7" w14:textId="77777777" w:rsidR="0085380A" w:rsidRDefault="00000000">
            <w:r>
              <w:rPr>
                <w:rFonts w:ascii="Consolas" w:eastAsia="Consolas" w:hAnsi="Consolas" w:cs="Consolas"/>
                <w:sz w:val="19"/>
                <w:szCs w:val="19"/>
              </w:rPr>
              <w:t>GroupMember.Read.All</w:t>
            </w:r>
          </w:p>
        </w:tc>
        <w:tc>
          <w:tcPr>
            <w:tcW w:w="4422" w:type="dxa"/>
            <w:tcMar>
              <w:top w:w="60" w:type="dxa"/>
              <w:left w:w="110" w:type="dxa"/>
              <w:bottom w:w="60" w:type="dxa"/>
              <w:right w:w="110" w:type="dxa"/>
            </w:tcMar>
          </w:tcPr>
          <w:p w14:paraId="44DE9BD8" w14:textId="77777777" w:rsidR="0085380A" w:rsidRDefault="00000000">
            <w:r>
              <w:rPr>
                <w:sz w:val="19"/>
                <w:szCs w:val="19"/>
              </w:rPr>
              <w:t>Expand the include and exclude scoping groups</w:t>
            </w:r>
          </w:p>
        </w:tc>
      </w:tr>
      <w:tr w:rsidR="0085380A" w14:paraId="44DE9BDD" w14:textId="77777777">
        <w:tblPrEx>
          <w:tblCellMar>
            <w:top w:w="0" w:type="dxa"/>
            <w:bottom w:w="0" w:type="dxa"/>
          </w:tblCellMar>
        </w:tblPrEx>
        <w:tc>
          <w:tcPr>
            <w:tcW w:w="2064" w:type="dxa"/>
            <w:tcMar>
              <w:top w:w="60" w:type="dxa"/>
              <w:left w:w="110" w:type="dxa"/>
              <w:bottom w:w="60" w:type="dxa"/>
              <w:right w:w="110" w:type="dxa"/>
            </w:tcMar>
          </w:tcPr>
          <w:p w14:paraId="44DE9BDA" w14:textId="77777777" w:rsidR="0085380A" w:rsidRDefault="00000000">
            <w:r>
              <w:rPr>
                <w:sz w:val="19"/>
                <w:szCs w:val="19"/>
              </w:rPr>
              <w:t>Graph application permission</w:t>
            </w:r>
          </w:p>
        </w:tc>
        <w:tc>
          <w:tcPr>
            <w:tcW w:w="2874" w:type="dxa"/>
            <w:tcMar>
              <w:top w:w="60" w:type="dxa"/>
              <w:left w:w="110" w:type="dxa"/>
              <w:bottom w:w="60" w:type="dxa"/>
              <w:right w:w="110" w:type="dxa"/>
            </w:tcMar>
          </w:tcPr>
          <w:p w14:paraId="44DE9BDB" w14:textId="77777777" w:rsidR="0085380A" w:rsidRDefault="00000000">
            <w:r>
              <w:rPr>
                <w:rFonts w:ascii="Consolas" w:eastAsia="Consolas" w:hAnsi="Consolas" w:cs="Consolas"/>
                <w:sz w:val="19"/>
                <w:szCs w:val="19"/>
              </w:rPr>
              <w:t>CustomSecAttributeAssignment.Read.All</w:t>
            </w:r>
          </w:p>
        </w:tc>
        <w:tc>
          <w:tcPr>
            <w:tcW w:w="4422" w:type="dxa"/>
            <w:tcMar>
              <w:top w:w="60" w:type="dxa"/>
              <w:left w:w="110" w:type="dxa"/>
              <w:bottom w:w="60" w:type="dxa"/>
              <w:right w:w="110" w:type="dxa"/>
            </w:tcMar>
          </w:tcPr>
          <w:p w14:paraId="44DE9BDC" w14:textId="77777777" w:rsidR="0085380A" w:rsidRDefault="00000000">
            <w:r>
              <w:rPr>
                <w:sz w:val="19"/>
                <w:szCs w:val="19"/>
              </w:rPr>
              <w:t>Evaluate the export-control exclusion attribute</w:t>
            </w:r>
          </w:p>
        </w:tc>
      </w:tr>
      <w:tr w:rsidR="0085380A" w14:paraId="44DE9BE1" w14:textId="77777777">
        <w:tblPrEx>
          <w:tblCellMar>
            <w:top w:w="0" w:type="dxa"/>
            <w:bottom w:w="0" w:type="dxa"/>
          </w:tblCellMar>
        </w:tblPrEx>
        <w:tc>
          <w:tcPr>
            <w:tcW w:w="2064" w:type="dxa"/>
            <w:tcMar>
              <w:top w:w="60" w:type="dxa"/>
              <w:left w:w="110" w:type="dxa"/>
              <w:bottom w:w="60" w:type="dxa"/>
              <w:right w:w="110" w:type="dxa"/>
            </w:tcMar>
          </w:tcPr>
          <w:p w14:paraId="44DE9BDE" w14:textId="77777777" w:rsidR="0085380A" w:rsidRDefault="00000000">
            <w:r>
              <w:rPr>
                <w:sz w:val="19"/>
                <w:szCs w:val="19"/>
              </w:rPr>
              <w:lastRenderedPageBreak/>
              <w:t>Office 365 Exchange Online</w:t>
            </w:r>
          </w:p>
        </w:tc>
        <w:tc>
          <w:tcPr>
            <w:tcW w:w="2874" w:type="dxa"/>
            <w:tcMar>
              <w:top w:w="60" w:type="dxa"/>
              <w:left w:w="110" w:type="dxa"/>
              <w:bottom w:w="60" w:type="dxa"/>
              <w:right w:w="110" w:type="dxa"/>
            </w:tcMar>
          </w:tcPr>
          <w:p w14:paraId="44DE9BDF" w14:textId="77777777" w:rsidR="0085380A" w:rsidRDefault="00000000">
            <w:r>
              <w:rPr>
                <w:rFonts w:ascii="Consolas" w:eastAsia="Consolas" w:hAnsi="Consolas" w:cs="Consolas"/>
                <w:sz w:val="19"/>
                <w:szCs w:val="19"/>
              </w:rPr>
              <w:t>Exchange.ManageAsApp</w:t>
            </w:r>
          </w:p>
        </w:tc>
        <w:tc>
          <w:tcPr>
            <w:tcW w:w="4422" w:type="dxa"/>
            <w:tcMar>
              <w:top w:w="60" w:type="dxa"/>
              <w:left w:w="110" w:type="dxa"/>
              <w:bottom w:w="60" w:type="dxa"/>
              <w:right w:w="110" w:type="dxa"/>
            </w:tcMar>
          </w:tcPr>
          <w:p w14:paraId="44DE9BE0" w14:textId="77777777" w:rsidR="0085380A" w:rsidRDefault="00000000">
            <w:r>
              <w:rPr>
                <w:sz w:val="19"/>
                <w:szCs w:val="19"/>
              </w:rPr>
              <w:t>Required for app-only Exchange Online PowerShell</w:t>
            </w:r>
          </w:p>
        </w:tc>
      </w:tr>
      <w:tr w:rsidR="0085380A" w14:paraId="44DE9BE5" w14:textId="77777777">
        <w:tblPrEx>
          <w:tblCellMar>
            <w:top w:w="0" w:type="dxa"/>
            <w:bottom w:w="0" w:type="dxa"/>
          </w:tblCellMar>
        </w:tblPrEx>
        <w:tc>
          <w:tcPr>
            <w:tcW w:w="2064" w:type="dxa"/>
            <w:tcMar>
              <w:top w:w="60" w:type="dxa"/>
              <w:left w:w="110" w:type="dxa"/>
              <w:bottom w:w="60" w:type="dxa"/>
              <w:right w:w="110" w:type="dxa"/>
            </w:tcMar>
          </w:tcPr>
          <w:p w14:paraId="44DE9BE2" w14:textId="77777777" w:rsidR="0085380A" w:rsidRDefault="00000000">
            <w:r>
              <w:rPr>
                <w:sz w:val="19"/>
                <w:szCs w:val="19"/>
              </w:rPr>
              <w:t>Entra directory role</w:t>
            </w:r>
          </w:p>
        </w:tc>
        <w:tc>
          <w:tcPr>
            <w:tcW w:w="2874" w:type="dxa"/>
            <w:tcMar>
              <w:top w:w="60" w:type="dxa"/>
              <w:left w:w="110" w:type="dxa"/>
              <w:bottom w:w="60" w:type="dxa"/>
              <w:right w:w="110" w:type="dxa"/>
            </w:tcMar>
          </w:tcPr>
          <w:p w14:paraId="44DE9BE3" w14:textId="77777777" w:rsidR="0085380A" w:rsidRDefault="00000000">
            <w:r>
              <w:rPr>
                <w:b/>
                <w:bCs/>
                <w:sz w:val="19"/>
                <w:szCs w:val="19"/>
              </w:rPr>
              <w:t>Exchange Recipient Administrator</w:t>
            </w:r>
          </w:p>
        </w:tc>
        <w:tc>
          <w:tcPr>
            <w:tcW w:w="4422" w:type="dxa"/>
            <w:tcMar>
              <w:top w:w="60" w:type="dxa"/>
              <w:left w:w="110" w:type="dxa"/>
              <w:bottom w:w="60" w:type="dxa"/>
              <w:right w:w="110" w:type="dxa"/>
            </w:tcMar>
          </w:tcPr>
          <w:p w14:paraId="44DE9BE4" w14:textId="77777777" w:rsidR="0085380A" w:rsidRDefault="00000000">
            <w:r>
              <w:rPr>
                <w:sz w:val="19"/>
                <w:szCs w:val="19"/>
              </w:rPr>
              <w:t>Least-privileged supported role that can create and manage mail contacts. Exchange Administrator and Global Administrator are both supported and both over-privileged for this workload</w:t>
            </w:r>
          </w:p>
        </w:tc>
      </w:tr>
    </w:tbl>
    <w:p w14:paraId="44DE9BE6" w14:textId="77777777" w:rsidR="0085380A" w:rsidRDefault="0085380A">
      <w:pPr>
        <w:spacing w:after="160"/>
      </w:pPr>
    </w:p>
    <w:p w14:paraId="44DE9BE7" w14:textId="77777777" w:rsidR="0085380A" w:rsidRDefault="00000000">
      <w:pPr>
        <w:spacing w:after="120" w:line="276" w:lineRule="auto"/>
      </w:pPr>
      <w:r>
        <w:t xml:space="preserve">Certificates: RSA 2048, SHA-256, CSP-based (CNG is not supported by Exchange Online app-only auth), 12-month lifetime, stored in the Azure Government Key Vault with soft delete and purge protection. The Automation account's managed identity holds </w:t>
      </w:r>
      <w:r>
        <w:rPr>
          <w:i/>
          <w:iCs/>
        </w:rPr>
        <w:t>Key Vault Secrets User</w:t>
      </w:r>
      <w:r>
        <w:t xml:space="preserve"> and </w:t>
      </w:r>
      <w:r>
        <w:rPr>
          <w:i/>
          <w:iCs/>
        </w:rPr>
        <w:t>Key Vault Certificate User</w:t>
      </w:r>
      <w:r>
        <w:t xml:space="preserve"> — read only. Human certificate administration is a separate, PIM-eligible role assignment.</w:t>
      </w:r>
    </w:p>
    <w:p w14:paraId="44DE9BE8" w14:textId="77777777" w:rsidR="0085380A" w:rsidRDefault="00000000">
      <w:pPr>
        <w:spacing w:after="120" w:line="276" w:lineRule="auto"/>
      </w:pPr>
      <w:r>
        <w:t>Rotation is scheduled at nine months, giving a 90-day window. The service warns in its run log from 30 days out and the pre-flight script warns from 45 days out.</w:t>
      </w:r>
    </w:p>
    <w:p w14:paraId="44DE9BE9" w14:textId="77777777" w:rsidR="0085380A" w:rsidRDefault="0085380A">
      <w:pPr>
        <w:pBdr>
          <w:bottom w:val="single" w:sz="6" w:space="6" w:color="BFBFBF"/>
        </w:pBdr>
        <w:spacing w:before="100" w:after="200"/>
      </w:pPr>
    </w:p>
    <w:p w14:paraId="44DE9BEA" w14:textId="77777777" w:rsidR="0085380A" w:rsidRDefault="00000000">
      <w:pPr>
        <w:pStyle w:val="Heading1"/>
        <w:keepNext/>
        <w:spacing w:before="360" w:after="140"/>
      </w:pPr>
      <w:bookmarkStart w:id="8" w:name="_Toc239065930"/>
      <w:r>
        <w:t>7. Attribute allow list — what actually crosses the boundary</w:t>
      </w:r>
      <w:bookmarkEnd w:id="8"/>
    </w:p>
    <w:p w14:paraId="44DE9BEB" w14:textId="77777777" w:rsidR="0085380A" w:rsidRDefault="00000000">
      <w:pPr>
        <w:spacing w:after="120" w:line="276" w:lineRule="auto"/>
      </w:pPr>
      <w:r>
        <w:t>This is the control that matters most, and it is enforced in exactly one function (</w:t>
      </w:r>
      <w:r>
        <w:rPr>
          <w:rFonts w:ascii="Consolas" w:eastAsia="Consolas" w:hAnsi="Consolas" w:cs="Consolas"/>
          <w:sz w:val="19"/>
          <w:szCs w:val="19"/>
        </w:rPr>
        <w:t>ConvertTo-GalSyncContactModel</w:t>
      </w:r>
      <w:r>
        <w:t>). Nothing else in the codebase reads a source attribute.</w:t>
      </w:r>
    </w:p>
    <w:p w14:paraId="44DE9BEC" w14:textId="77777777" w:rsidR="0085380A" w:rsidRDefault="00000000">
      <w:pPr>
        <w:spacing w:after="120" w:line="276" w:lineRule="auto"/>
      </w:pPr>
      <w:r>
        <w:rPr>
          <w:b/>
          <w:bCs/>
        </w:rPr>
        <w:t>Published by default: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415"/>
        <w:gridCol w:w="2394"/>
        <w:gridCol w:w="5551"/>
      </w:tblGrid>
      <w:tr w:rsidR="0085380A" w14:paraId="44DE9BF0" w14:textId="77777777">
        <w:tblPrEx>
          <w:tblCellMar>
            <w:top w:w="0" w:type="dxa"/>
            <w:bottom w:w="0" w:type="dxa"/>
          </w:tblCellMar>
        </w:tblPrEx>
        <w:trPr>
          <w:tblHeader/>
        </w:trPr>
        <w:tc>
          <w:tcPr>
            <w:tcW w:w="1415" w:type="dxa"/>
            <w:shd w:val="clear" w:color="auto" w:fill="1F4E79"/>
            <w:tcMar>
              <w:top w:w="60" w:type="dxa"/>
              <w:left w:w="110" w:type="dxa"/>
              <w:bottom w:w="60" w:type="dxa"/>
              <w:right w:w="110" w:type="dxa"/>
            </w:tcMar>
          </w:tcPr>
          <w:p w14:paraId="44DE9BED" w14:textId="77777777" w:rsidR="0085380A" w:rsidRDefault="00000000">
            <w:r>
              <w:rPr>
                <w:b/>
                <w:bCs/>
                <w:color w:val="FFFFFF"/>
                <w:sz w:val="19"/>
                <w:szCs w:val="19"/>
              </w:rPr>
              <w:t>Attribute</w:t>
            </w:r>
          </w:p>
        </w:tc>
        <w:tc>
          <w:tcPr>
            <w:tcW w:w="2394" w:type="dxa"/>
            <w:shd w:val="clear" w:color="auto" w:fill="1F4E79"/>
            <w:tcMar>
              <w:top w:w="60" w:type="dxa"/>
              <w:left w:w="110" w:type="dxa"/>
              <w:bottom w:w="60" w:type="dxa"/>
              <w:right w:w="110" w:type="dxa"/>
            </w:tcMar>
          </w:tcPr>
          <w:p w14:paraId="44DE9BEE" w14:textId="77777777" w:rsidR="0085380A" w:rsidRDefault="00000000">
            <w:r>
              <w:rPr>
                <w:b/>
                <w:bCs/>
                <w:color w:val="FFFFFF"/>
                <w:sz w:val="19"/>
                <w:szCs w:val="19"/>
              </w:rPr>
              <w:t>Written to</w:t>
            </w:r>
          </w:p>
        </w:tc>
        <w:tc>
          <w:tcPr>
            <w:tcW w:w="5551" w:type="dxa"/>
            <w:shd w:val="clear" w:color="auto" w:fill="1F4E79"/>
            <w:tcMar>
              <w:top w:w="60" w:type="dxa"/>
              <w:left w:w="110" w:type="dxa"/>
              <w:bottom w:w="60" w:type="dxa"/>
              <w:right w:w="110" w:type="dxa"/>
            </w:tcMar>
          </w:tcPr>
          <w:p w14:paraId="44DE9BEF" w14:textId="77777777" w:rsidR="0085380A" w:rsidRDefault="00000000">
            <w:r>
              <w:rPr>
                <w:b/>
                <w:bCs/>
                <w:color w:val="FFFFFF"/>
                <w:sz w:val="19"/>
                <w:szCs w:val="19"/>
              </w:rPr>
              <w:t>Rationale</w:t>
            </w:r>
          </w:p>
        </w:tc>
      </w:tr>
      <w:tr w:rsidR="0085380A" w14:paraId="44DE9BF4" w14:textId="77777777">
        <w:tblPrEx>
          <w:tblCellMar>
            <w:top w:w="0" w:type="dxa"/>
            <w:bottom w:w="0" w:type="dxa"/>
          </w:tblCellMar>
        </w:tblPrEx>
        <w:tc>
          <w:tcPr>
            <w:tcW w:w="1415" w:type="dxa"/>
            <w:tcMar>
              <w:top w:w="60" w:type="dxa"/>
              <w:left w:w="110" w:type="dxa"/>
              <w:bottom w:w="60" w:type="dxa"/>
              <w:right w:w="110" w:type="dxa"/>
            </w:tcMar>
          </w:tcPr>
          <w:p w14:paraId="44DE9BF1" w14:textId="77777777" w:rsidR="0085380A" w:rsidRDefault="00000000">
            <w:r>
              <w:rPr>
                <w:rFonts w:ascii="Consolas" w:eastAsia="Consolas" w:hAnsi="Consolas" w:cs="Consolas"/>
                <w:sz w:val="19"/>
                <w:szCs w:val="19"/>
              </w:rPr>
              <w:t>displayName</w:t>
            </w:r>
          </w:p>
        </w:tc>
        <w:tc>
          <w:tcPr>
            <w:tcW w:w="2394" w:type="dxa"/>
            <w:tcMar>
              <w:top w:w="60" w:type="dxa"/>
              <w:left w:w="110" w:type="dxa"/>
              <w:bottom w:w="60" w:type="dxa"/>
              <w:right w:w="110" w:type="dxa"/>
            </w:tcMar>
          </w:tcPr>
          <w:p w14:paraId="44DE9BF2" w14:textId="77777777" w:rsidR="0085380A" w:rsidRDefault="00000000">
            <w:r>
              <w:rPr>
                <w:rFonts w:ascii="Consolas" w:eastAsia="Consolas" w:hAnsi="Consolas" w:cs="Consolas"/>
                <w:sz w:val="19"/>
                <w:szCs w:val="19"/>
              </w:rPr>
              <w:t>DisplayName</w:t>
            </w:r>
          </w:p>
        </w:tc>
        <w:tc>
          <w:tcPr>
            <w:tcW w:w="5551" w:type="dxa"/>
            <w:tcMar>
              <w:top w:w="60" w:type="dxa"/>
              <w:left w:w="110" w:type="dxa"/>
              <w:bottom w:w="60" w:type="dxa"/>
              <w:right w:w="110" w:type="dxa"/>
            </w:tcMar>
          </w:tcPr>
          <w:p w14:paraId="44DE9BF3" w14:textId="77777777" w:rsidR="0085380A" w:rsidRDefault="00000000">
            <w:r>
              <w:rPr>
                <w:sz w:val="19"/>
                <w:szCs w:val="19"/>
              </w:rPr>
              <w:t>Required for a usable GAL entry</w:t>
            </w:r>
          </w:p>
        </w:tc>
      </w:tr>
      <w:tr w:rsidR="0085380A" w14:paraId="44DE9BF8" w14:textId="77777777">
        <w:tblPrEx>
          <w:tblCellMar>
            <w:top w:w="0" w:type="dxa"/>
            <w:bottom w:w="0" w:type="dxa"/>
          </w:tblCellMar>
        </w:tblPrEx>
        <w:tc>
          <w:tcPr>
            <w:tcW w:w="1415" w:type="dxa"/>
            <w:tcMar>
              <w:top w:w="60" w:type="dxa"/>
              <w:left w:w="110" w:type="dxa"/>
              <w:bottom w:w="60" w:type="dxa"/>
              <w:right w:w="110" w:type="dxa"/>
            </w:tcMar>
          </w:tcPr>
          <w:p w14:paraId="44DE9BF5" w14:textId="77777777" w:rsidR="0085380A" w:rsidRDefault="00000000">
            <w:r>
              <w:rPr>
                <w:rFonts w:ascii="Consolas" w:eastAsia="Consolas" w:hAnsi="Consolas" w:cs="Consolas"/>
                <w:sz w:val="19"/>
                <w:szCs w:val="19"/>
              </w:rPr>
              <w:t>givenName</w:t>
            </w:r>
          </w:p>
        </w:tc>
        <w:tc>
          <w:tcPr>
            <w:tcW w:w="2394" w:type="dxa"/>
            <w:tcMar>
              <w:top w:w="60" w:type="dxa"/>
              <w:left w:w="110" w:type="dxa"/>
              <w:bottom w:w="60" w:type="dxa"/>
              <w:right w:w="110" w:type="dxa"/>
            </w:tcMar>
          </w:tcPr>
          <w:p w14:paraId="44DE9BF6" w14:textId="77777777" w:rsidR="0085380A" w:rsidRDefault="00000000">
            <w:r>
              <w:rPr>
                <w:rFonts w:ascii="Consolas" w:eastAsia="Consolas" w:hAnsi="Consolas" w:cs="Consolas"/>
                <w:sz w:val="19"/>
                <w:szCs w:val="19"/>
              </w:rPr>
              <w:t>FirstName</w:t>
            </w:r>
          </w:p>
        </w:tc>
        <w:tc>
          <w:tcPr>
            <w:tcW w:w="5551" w:type="dxa"/>
            <w:tcMar>
              <w:top w:w="60" w:type="dxa"/>
              <w:left w:w="110" w:type="dxa"/>
              <w:bottom w:w="60" w:type="dxa"/>
              <w:right w:w="110" w:type="dxa"/>
            </w:tcMar>
          </w:tcPr>
          <w:p w14:paraId="44DE9BF7" w14:textId="77777777" w:rsidR="0085380A" w:rsidRDefault="00000000">
            <w:r>
              <w:rPr>
                <w:sz w:val="19"/>
                <w:szCs w:val="19"/>
              </w:rPr>
              <w:t>Name resolution and sorting</w:t>
            </w:r>
          </w:p>
        </w:tc>
      </w:tr>
      <w:tr w:rsidR="0085380A" w14:paraId="44DE9BFC" w14:textId="77777777">
        <w:tblPrEx>
          <w:tblCellMar>
            <w:top w:w="0" w:type="dxa"/>
            <w:bottom w:w="0" w:type="dxa"/>
          </w:tblCellMar>
        </w:tblPrEx>
        <w:tc>
          <w:tcPr>
            <w:tcW w:w="1415" w:type="dxa"/>
            <w:tcMar>
              <w:top w:w="60" w:type="dxa"/>
              <w:left w:w="110" w:type="dxa"/>
              <w:bottom w:w="60" w:type="dxa"/>
              <w:right w:w="110" w:type="dxa"/>
            </w:tcMar>
          </w:tcPr>
          <w:p w14:paraId="44DE9BF9" w14:textId="77777777" w:rsidR="0085380A" w:rsidRDefault="00000000">
            <w:r>
              <w:rPr>
                <w:rFonts w:ascii="Consolas" w:eastAsia="Consolas" w:hAnsi="Consolas" w:cs="Consolas"/>
                <w:sz w:val="19"/>
                <w:szCs w:val="19"/>
              </w:rPr>
              <w:t>surname</w:t>
            </w:r>
          </w:p>
        </w:tc>
        <w:tc>
          <w:tcPr>
            <w:tcW w:w="2394" w:type="dxa"/>
            <w:tcMar>
              <w:top w:w="60" w:type="dxa"/>
              <w:left w:w="110" w:type="dxa"/>
              <w:bottom w:w="60" w:type="dxa"/>
              <w:right w:w="110" w:type="dxa"/>
            </w:tcMar>
          </w:tcPr>
          <w:p w14:paraId="44DE9BFA" w14:textId="77777777" w:rsidR="0085380A" w:rsidRDefault="00000000">
            <w:r>
              <w:rPr>
                <w:rFonts w:ascii="Consolas" w:eastAsia="Consolas" w:hAnsi="Consolas" w:cs="Consolas"/>
                <w:sz w:val="19"/>
                <w:szCs w:val="19"/>
              </w:rPr>
              <w:t>LastName</w:t>
            </w:r>
          </w:p>
        </w:tc>
        <w:tc>
          <w:tcPr>
            <w:tcW w:w="5551" w:type="dxa"/>
            <w:tcMar>
              <w:top w:w="60" w:type="dxa"/>
              <w:left w:w="110" w:type="dxa"/>
              <w:bottom w:w="60" w:type="dxa"/>
              <w:right w:w="110" w:type="dxa"/>
            </w:tcMar>
          </w:tcPr>
          <w:p w14:paraId="44DE9BFB" w14:textId="77777777" w:rsidR="0085380A" w:rsidRDefault="00000000">
            <w:r>
              <w:rPr>
                <w:sz w:val="19"/>
                <w:szCs w:val="19"/>
              </w:rPr>
              <w:t>Name resolution and sorting</w:t>
            </w:r>
          </w:p>
        </w:tc>
      </w:tr>
      <w:tr w:rsidR="0085380A" w14:paraId="44DE9C00" w14:textId="77777777">
        <w:tblPrEx>
          <w:tblCellMar>
            <w:top w:w="0" w:type="dxa"/>
            <w:bottom w:w="0" w:type="dxa"/>
          </w:tblCellMar>
        </w:tblPrEx>
        <w:tc>
          <w:tcPr>
            <w:tcW w:w="1415" w:type="dxa"/>
            <w:tcMar>
              <w:top w:w="60" w:type="dxa"/>
              <w:left w:w="110" w:type="dxa"/>
              <w:bottom w:w="60" w:type="dxa"/>
              <w:right w:w="110" w:type="dxa"/>
            </w:tcMar>
          </w:tcPr>
          <w:p w14:paraId="44DE9BFD" w14:textId="77777777" w:rsidR="0085380A" w:rsidRDefault="00000000">
            <w:r>
              <w:rPr>
                <w:rFonts w:ascii="Consolas" w:eastAsia="Consolas" w:hAnsi="Consolas" w:cs="Consolas"/>
                <w:sz w:val="19"/>
                <w:szCs w:val="19"/>
              </w:rPr>
              <w:t>mail</w:t>
            </w:r>
          </w:p>
        </w:tc>
        <w:tc>
          <w:tcPr>
            <w:tcW w:w="2394" w:type="dxa"/>
            <w:tcMar>
              <w:top w:w="60" w:type="dxa"/>
              <w:left w:w="110" w:type="dxa"/>
              <w:bottom w:w="60" w:type="dxa"/>
              <w:right w:w="110" w:type="dxa"/>
            </w:tcMar>
          </w:tcPr>
          <w:p w14:paraId="44DE9BFE" w14:textId="77777777" w:rsidR="0085380A" w:rsidRDefault="00000000">
            <w:r>
              <w:rPr>
                <w:rFonts w:ascii="Consolas" w:eastAsia="Consolas" w:hAnsi="Consolas" w:cs="Consolas"/>
                <w:sz w:val="19"/>
                <w:szCs w:val="19"/>
              </w:rPr>
              <w:t>ExternalEmailAddress</w:t>
            </w:r>
          </w:p>
        </w:tc>
        <w:tc>
          <w:tcPr>
            <w:tcW w:w="5551" w:type="dxa"/>
            <w:tcMar>
              <w:top w:w="60" w:type="dxa"/>
              <w:left w:w="110" w:type="dxa"/>
              <w:bottom w:w="60" w:type="dxa"/>
              <w:right w:w="110" w:type="dxa"/>
            </w:tcMar>
          </w:tcPr>
          <w:p w14:paraId="44DE9BFF" w14:textId="77777777" w:rsidR="0085380A" w:rsidRDefault="00000000">
            <w:r>
              <w:rPr>
                <w:sz w:val="19"/>
                <w:szCs w:val="19"/>
              </w:rPr>
              <w:t>The routing address; the point of the exercise</w:t>
            </w:r>
          </w:p>
        </w:tc>
      </w:tr>
      <w:tr w:rsidR="0085380A" w14:paraId="44DE9C04" w14:textId="77777777">
        <w:tblPrEx>
          <w:tblCellMar>
            <w:top w:w="0" w:type="dxa"/>
            <w:bottom w:w="0" w:type="dxa"/>
          </w:tblCellMar>
        </w:tblPrEx>
        <w:tc>
          <w:tcPr>
            <w:tcW w:w="1415" w:type="dxa"/>
            <w:tcMar>
              <w:top w:w="60" w:type="dxa"/>
              <w:left w:w="110" w:type="dxa"/>
              <w:bottom w:w="60" w:type="dxa"/>
              <w:right w:w="110" w:type="dxa"/>
            </w:tcMar>
          </w:tcPr>
          <w:p w14:paraId="44DE9C01" w14:textId="77777777" w:rsidR="0085380A" w:rsidRDefault="00000000">
            <w:r>
              <w:rPr>
                <w:rFonts w:ascii="Consolas" w:eastAsia="Consolas" w:hAnsi="Consolas" w:cs="Consolas"/>
                <w:sz w:val="19"/>
                <w:szCs w:val="19"/>
              </w:rPr>
              <w:t>jobTitle</w:t>
            </w:r>
          </w:p>
        </w:tc>
        <w:tc>
          <w:tcPr>
            <w:tcW w:w="2394" w:type="dxa"/>
            <w:tcMar>
              <w:top w:w="60" w:type="dxa"/>
              <w:left w:w="110" w:type="dxa"/>
              <w:bottom w:w="60" w:type="dxa"/>
              <w:right w:w="110" w:type="dxa"/>
            </w:tcMar>
          </w:tcPr>
          <w:p w14:paraId="44DE9C02" w14:textId="77777777" w:rsidR="0085380A" w:rsidRDefault="00000000">
            <w:r>
              <w:rPr>
                <w:rFonts w:ascii="Consolas" w:eastAsia="Consolas" w:hAnsi="Consolas" w:cs="Consolas"/>
                <w:sz w:val="19"/>
                <w:szCs w:val="19"/>
              </w:rPr>
              <w:t>Title</w:t>
            </w:r>
          </w:p>
        </w:tc>
        <w:tc>
          <w:tcPr>
            <w:tcW w:w="5551" w:type="dxa"/>
            <w:tcMar>
              <w:top w:w="60" w:type="dxa"/>
              <w:left w:w="110" w:type="dxa"/>
              <w:bottom w:w="60" w:type="dxa"/>
              <w:right w:w="110" w:type="dxa"/>
            </w:tcMar>
          </w:tcPr>
          <w:p w14:paraId="44DE9C03" w14:textId="77777777" w:rsidR="0085380A" w:rsidRDefault="00000000">
            <w:r>
              <w:rPr>
                <w:sz w:val="19"/>
                <w:szCs w:val="19"/>
              </w:rPr>
              <w:t>Disambiguates people with common names</w:t>
            </w:r>
          </w:p>
        </w:tc>
      </w:tr>
      <w:tr w:rsidR="0085380A" w14:paraId="44DE9C08" w14:textId="77777777">
        <w:tblPrEx>
          <w:tblCellMar>
            <w:top w:w="0" w:type="dxa"/>
            <w:bottom w:w="0" w:type="dxa"/>
          </w:tblCellMar>
        </w:tblPrEx>
        <w:tc>
          <w:tcPr>
            <w:tcW w:w="1415" w:type="dxa"/>
            <w:tcMar>
              <w:top w:w="60" w:type="dxa"/>
              <w:left w:w="110" w:type="dxa"/>
              <w:bottom w:w="60" w:type="dxa"/>
              <w:right w:w="110" w:type="dxa"/>
            </w:tcMar>
          </w:tcPr>
          <w:p w14:paraId="44DE9C05" w14:textId="77777777" w:rsidR="0085380A" w:rsidRDefault="00000000">
            <w:r>
              <w:rPr>
                <w:rFonts w:ascii="Consolas" w:eastAsia="Consolas" w:hAnsi="Consolas" w:cs="Consolas"/>
                <w:sz w:val="19"/>
                <w:szCs w:val="19"/>
              </w:rPr>
              <w:t>department</w:t>
            </w:r>
          </w:p>
        </w:tc>
        <w:tc>
          <w:tcPr>
            <w:tcW w:w="2394" w:type="dxa"/>
            <w:tcMar>
              <w:top w:w="60" w:type="dxa"/>
              <w:left w:w="110" w:type="dxa"/>
              <w:bottom w:w="60" w:type="dxa"/>
              <w:right w:w="110" w:type="dxa"/>
            </w:tcMar>
          </w:tcPr>
          <w:p w14:paraId="44DE9C06" w14:textId="77777777" w:rsidR="0085380A" w:rsidRDefault="00000000">
            <w:r>
              <w:rPr>
                <w:rFonts w:ascii="Consolas" w:eastAsia="Consolas" w:hAnsi="Consolas" w:cs="Consolas"/>
                <w:sz w:val="19"/>
                <w:szCs w:val="19"/>
              </w:rPr>
              <w:t>Department</w:t>
            </w:r>
          </w:p>
        </w:tc>
        <w:tc>
          <w:tcPr>
            <w:tcW w:w="5551" w:type="dxa"/>
            <w:tcMar>
              <w:top w:w="60" w:type="dxa"/>
              <w:left w:w="110" w:type="dxa"/>
              <w:bottom w:w="60" w:type="dxa"/>
              <w:right w:w="110" w:type="dxa"/>
            </w:tcMar>
          </w:tcPr>
          <w:p w14:paraId="44DE9C07" w14:textId="77777777" w:rsidR="0085380A" w:rsidRDefault="00000000">
            <w:r>
              <w:rPr>
                <w:sz w:val="19"/>
                <w:szCs w:val="19"/>
              </w:rPr>
              <w:t>Disambiguation and routing</w:t>
            </w:r>
          </w:p>
        </w:tc>
      </w:tr>
      <w:tr w:rsidR="0085380A" w14:paraId="44DE9C0C" w14:textId="77777777">
        <w:tblPrEx>
          <w:tblCellMar>
            <w:top w:w="0" w:type="dxa"/>
            <w:bottom w:w="0" w:type="dxa"/>
          </w:tblCellMar>
        </w:tblPrEx>
        <w:tc>
          <w:tcPr>
            <w:tcW w:w="1415" w:type="dxa"/>
            <w:tcMar>
              <w:top w:w="60" w:type="dxa"/>
              <w:left w:w="110" w:type="dxa"/>
              <w:bottom w:w="60" w:type="dxa"/>
              <w:right w:w="110" w:type="dxa"/>
            </w:tcMar>
          </w:tcPr>
          <w:p w14:paraId="44DE9C09" w14:textId="77777777" w:rsidR="0085380A" w:rsidRDefault="00000000">
            <w:r>
              <w:rPr>
                <w:rFonts w:ascii="Consolas" w:eastAsia="Consolas" w:hAnsi="Consolas" w:cs="Consolas"/>
                <w:sz w:val="19"/>
                <w:szCs w:val="19"/>
              </w:rPr>
              <w:t>companyName</w:t>
            </w:r>
          </w:p>
        </w:tc>
        <w:tc>
          <w:tcPr>
            <w:tcW w:w="2394" w:type="dxa"/>
            <w:tcMar>
              <w:top w:w="60" w:type="dxa"/>
              <w:left w:w="110" w:type="dxa"/>
              <w:bottom w:w="60" w:type="dxa"/>
              <w:right w:w="110" w:type="dxa"/>
            </w:tcMar>
          </w:tcPr>
          <w:p w14:paraId="44DE9C0A" w14:textId="77777777" w:rsidR="0085380A" w:rsidRDefault="00000000">
            <w:r>
              <w:rPr>
                <w:rFonts w:ascii="Consolas" w:eastAsia="Consolas" w:hAnsi="Consolas" w:cs="Consolas"/>
                <w:sz w:val="19"/>
                <w:szCs w:val="19"/>
              </w:rPr>
              <w:t>Company</w:t>
            </w:r>
          </w:p>
        </w:tc>
        <w:tc>
          <w:tcPr>
            <w:tcW w:w="5551" w:type="dxa"/>
            <w:tcMar>
              <w:top w:w="60" w:type="dxa"/>
              <w:left w:w="110" w:type="dxa"/>
              <w:bottom w:w="60" w:type="dxa"/>
              <w:right w:w="110" w:type="dxa"/>
            </w:tcMar>
          </w:tcPr>
          <w:p w14:paraId="44DE9C0B" w14:textId="77777777" w:rsidR="0085380A" w:rsidRDefault="00000000">
            <w:r>
              <w:rPr>
                <w:sz w:val="19"/>
                <w:szCs w:val="19"/>
              </w:rPr>
              <w:t>Distinguishes the two organisations in a merged GAL</w:t>
            </w:r>
          </w:p>
        </w:tc>
      </w:tr>
    </w:tbl>
    <w:p w14:paraId="44DE9C0D" w14:textId="77777777" w:rsidR="0085380A" w:rsidRDefault="0085380A">
      <w:pPr>
        <w:spacing w:after="160"/>
      </w:pPr>
    </w:p>
    <w:p w14:paraId="44DE9C0E" w14:textId="77777777" w:rsidR="0085380A" w:rsidRDefault="00000000">
      <w:pPr>
        <w:spacing w:after="120" w:line="276" w:lineRule="auto"/>
      </w:pPr>
      <w:r>
        <w:rPr>
          <w:b/>
          <w:bCs/>
        </w:rPr>
        <w:t>Available but off by default</w:t>
      </w:r>
      <w:r>
        <w:t xml:space="preserve"> — each requires a documented decision before enabling: </w:t>
      </w:r>
      <w:r>
        <w:rPr>
          <w:rFonts w:ascii="Consolas" w:eastAsia="Consolas" w:hAnsi="Consolas" w:cs="Consolas"/>
          <w:sz w:val="19"/>
          <w:szCs w:val="19"/>
        </w:rPr>
        <w:t>officeLocation</w:t>
      </w:r>
      <w:r>
        <w:t xml:space="preserve">, </w:t>
      </w:r>
      <w:r>
        <w:rPr>
          <w:rFonts w:ascii="Consolas" w:eastAsia="Consolas" w:hAnsi="Consolas" w:cs="Consolas"/>
          <w:sz w:val="19"/>
          <w:szCs w:val="19"/>
        </w:rPr>
        <w:t>city</w:t>
      </w:r>
      <w:r>
        <w:t xml:space="preserve">, </w:t>
      </w:r>
      <w:r>
        <w:rPr>
          <w:rFonts w:ascii="Consolas" w:eastAsia="Consolas" w:hAnsi="Consolas" w:cs="Consolas"/>
          <w:sz w:val="19"/>
          <w:szCs w:val="19"/>
        </w:rPr>
        <w:t>state</w:t>
      </w:r>
      <w:r>
        <w:t xml:space="preserve">, </w:t>
      </w:r>
      <w:r>
        <w:rPr>
          <w:rFonts w:ascii="Consolas" w:eastAsia="Consolas" w:hAnsi="Consolas" w:cs="Consolas"/>
          <w:sz w:val="19"/>
          <w:szCs w:val="19"/>
        </w:rPr>
        <w:t>country</w:t>
      </w:r>
      <w:r>
        <w:t xml:space="preserve">, </w:t>
      </w:r>
      <w:r>
        <w:rPr>
          <w:rFonts w:ascii="Consolas" w:eastAsia="Consolas" w:hAnsi="Consolas" w:cs="Consolas"/>
          <w:sz w:val="19"/>
          <w:szCs w:val="19"/>
        </w:rPr>
        <w:t>businessPhones</w:t>
      </w:r>
      <w:r>
        <w:t xml:space="preserve">, </w:t>
      </w:r>
      <w:r>
        <w:rPr>
          <w:rFonts w:ascii="Consolas" w:eastAsia="Consolas" w:hAnsi="Consolas" w:cs="Consolas"/>
          <w:sz w:val="19"/>
          <w:szCs w:val="19"/>
        </w:rPr>
        <w:t>mobilePhone</w:t>
      </w:r>
      <w:r>
        <w:t xml:space="preserve">, </w:t>
      </w:r>
      <w:r>
        <w:rPr>
          <w:rFonts w:ascii="Consolas" w:eastAsia="Consolas" w:hAnsi="Consolas" w:cs="Consolas"/>
          <w:sz w:val="19"/>
          <w:szCs w:val="19"/>
        </w:rPr>
        <w:t>manager</w:t>
      </w:r>
      <w:r>
        <w:t>.</w:t>
      </w:r>
    </w:p>
    <w:p w14:paraId="44DE9C0F" w14:textId="77777777" w:rsidR="0085380A" w:rsidRDefault="00000000">
      <w:pPr>
        <w:spacing w:after="120" w:line="276" w:lineRule="auto"/>
      </w:pPr>
      <w:r>
        <w:rPr>
          <w:b/>
          <w:bCs/>
        </w:rPr>
        <w:t>Never published, enforced by configuration validation:</w:t>
      </w:r>
      <w:r>
        <w:t xml:space="preserve"> </w:t>
      </w:r>
      <w:r>
        <w:rPr>
          <w:rFonts w:ascii="Consolas" w:eastAsia="Consolas" w:hAnsi="Consolas" w:cs="Consolas"/>
          <w:sz w:val="19"/>
          <w:szCs w:val="19"/>
        </w:rPr>
        <w:t>userPrincipalName</w:t>
      </w:r>
      <w:r>
        <w:t xml:space="preserve">, </w:t>
      </w:r>
      <w:r>
        <w:rPr>
          <w:rFonts w:ascii="Consolas" w:eastAsia="Consolas" w:hAnsi="Consolas" w:cs="Consolas"/>
          <w:sz w:val="19"/>
          <w:szCs w:val="19"/>
        </w:rPr>
        <w:t>employeeId</w:t>
      </w:r>
      <w:r>
        <w:t xml:space="preserve">, </w:t>
      </w:r>
      <w:r>
        <w:rPr>
          <w:rFonts w:ascii="Consolas" w:eastAsia="Consolas" w:hAnsi="Consolas" w:cs="Consolas"/>
          <w:sz w:val="19"/>
          <w:szCs w:val="19"/>
        </w:rPr>
        <w:t>employeeHireDate</w:t>
      </w:r>
      <w:r>
        <w:t xml:space="preserve">, </w:t>
      </w:r>
      <w:r>
        <w:rPr>
          <w:rFonts w:ascii="Consolas" w:eastAsia="Consolas" w:hAnsi="Consolas" w:cs="Consolas"/>
          <w:sz w:val="19"/>
          <w:szCs w:val="19"/>
        </w:rPr>
        <w:t>onPremisesSamAccountName</w:t>
      </w:r>
      <w:r>
        <w:t xml:space="preserve">, </w:t>
      </w:r>
      <w:r>
        <w:rPr>
          <w:rFonts w:ascii="Consolas" w:eastAsia="Consolas" w:hAnsi="Consolas" w:cs="Consolas"/>
          <w:sz w:val="19"/>
          <w:szCs w:val="19"/>
        </w:rPr>
        <w:t>onPremisesImmutableId</w:t>
      </w:r>
      <w:r>
        <w:t xml:space="preserve">, </w:t>
      </w:r>
      <w:r>
        <w:rPr>
          <w:rFonts w:ascii="Consolas" w:eastAsia="Consolas" w:hAnsi="Consolas" w:cs="Consolas"/>
          <w:sz w:val="19"/>
          <w:szCs w:val="19"/>
        </w:rPr>
        <w:t>signInActivity</w:t>
      </w:r>
      <w:r>
        <w:t>, extension attributes, photos, assigned licences, custom security attributes.</w:t>
      </w:r>
    </w:p>
    <w:p w14:paraId="44DE9C10" w14:textId="77777777" w:rsidR="0085380A" w:rsidRDefault="00000000">
      <w:pPr>
        <w:spacing w:after="120" w:line="276" w:lineRule="auto"/>
      </w:pPr>
      <w:r>
        <w:t xml:space="preserve">Two notes on judgement rather than mechanics. First, </w:t>
      </w:r>
      <w:r>
        <w:rPr>
          <w:rFonts w:ascii="Consolas" w:eastAsia="Consolas" w:hAnsi="Consolas" w:cs="Consolas"/>
          <w:sz w:val="19"/>
          <w:szCs w:val="19"/>
        </w:rPr>
        <w:t>jobTitle</w:t>
      </w:r>
      <w:r>
        <w:t xml:space="preserve"> and </w:t>
      </w:r>
      <w:r>
        <w:rPr>
          <w:rFonts w:ascii="Consolas" w:eastAsia="Consolas" w:hAnsi="Consolas" w:cs="Consolas"/>
          <w:sz w:val="19"/>
          <w:szCs w:val="19"/>
        </w:rPr>
        <w:t>department</w:t>
      </w:r>
      <w:r>
        <w:t xml:space="preserve"> are the attributes most likely to leak programme information — a title like "F-35 Avionics Integration Lead" tells a reader in the Commercial tenant something the GCC High tenant may not have intended to say. Publishing them is the </w:t>
      </w:r>
      <w:r>
        <w:lastRenderedPageBreak/>
        <w:t>right default for usability, but the quarterly attribute review (§14) exists specifically to re-examine that call. Second, the configuration file refuses to load if any attribute appears in both the allow list and the never-sync list, so the two lists cannot silently drift apart.</w:t>
      </w:r>
    </w:p>
    <w:p w14:paraId="44DE9C11" w14:textId="77777777" w:rsidR="0085380A" w:rsidRDefault="0085380A">
      <w:pPr>
        <w:pBdr>
          <w:bottom w:val="single" w:sz="6" w:space="6" w:color="BFBFBF"/>
        </w:pBdr>
        <w:spacing w:before="100" w:after="200"/>
      </w:pPr>
    </w:p>
    <w:p w14:paraId="44DE9C12" w14:textId="77777777" w:rsidR="0085380A" w:rsidRDefault="00000000">
      <w:pPr>
        <w:pStyle w:val="Heading1"/>
        <w:keepNext/>
        <w:spacing w:before="360" w:after="140"/>
      </w:pPr>
      <w:bookmarkStart w:id="9" w:name="_Toc239065931"/>
      <w:r>
        <w:t>8. Scoping and exclusions</w:t>
      </w:r>
      <w:bookmarkEnd w:id="9"/>
    </w:p>
    <w:p w14:paraId="44DE9C13" w14:textId="77777777" w:rsidR="0085380A" w:rsidRDefault="00000000">
      <w:pPr>
        <w:spacing w:after="120" w:line="276" w:lineRule="auto"/>
      </w:pPr>
      <w:r>
        <w:t xml:space="preserve">Publication is </w:t>
      </w:r>
      <w:r>
        <w:rPr>
          <w:b/>
          <w:bCs/>
        </w:rPr>
        <w:t>opt-in</w:t>
      </w:r>
      <w:r>
        <w:t>. A user appears in the partner GAL only if every one of the following holds:</w:t>
      </w:r>
    </w:p>
    <w:p w14:paraId="44DE9C14" w14:textId="77777777" w:rsidR="0085380A" w:rsidRDefault="00000000">
      <w:pPr>
        <w:pStyle w:val="ListParagraph"/>
        <w:numPr>
          <w:ilvl w:val="0"/>
          <w:numId w:val="4"/>
        </w:numPr>
        <w:spacing w:after="60" w:line="276" w:lineRule="auto"/>
      </w:pPr>
      <w:r>
        <w:t xml:space="preserve">Member of the tenant's </w:t>
      </w:r>
      <w:r>
        <w:rPr>
          <w:b/>
          <w:bCs/>
        </w:rPr>
        <w:t>include</w:t>
      </w:r>
      <w:r>
        <w:t xml:space="preserve"> security group (</w:t>
      </w:r>
      <w:r>
        <w:rPr>
          <w:rFonts w:ascii="Consolas" w:eastAsia="Consolas" w:hAnsi="Consolas" w:cs="Consolas"/>
          <w:sz w:val="19"/>
          <w:szCs w:val="19"/>
        </w:rPr>
        <w:t>scope.includeGroupId</w:t>
      </w:r>
      <w:r>
        <w:t>)</w:t>
      </w:r>
    </w:p>
    <w:p w14:paraId="44DE9C15" w14:textId="77777777" w:rsidR="0085380A" w:rsidRDefault="00000000">
      <w:pPr>
        <w:pStyle w:val="ListParagraph"/>
        <w:numPr>
          <w:ilvl w:val="0"/>
          <w:numId w:val="4"/>
        </w:numPr>
        <w:spacing w:after="60" w:line="276" w:lineRule="auto"/>
      </w:pPr>
      <w:r>
        <w:rPr>
          <w:i/>
          <w:iCs/>
        </w:rPr>
        <w:t>Not</w:t>
      </w:r>
      <w:r>
        <w:t xml:space="preserve"> a member of the tenant's </w:t>
      </w:r>
      <w:r>
        <w:rPr>
          <w:b/>
          <w:bCs/>
        </w:rPr>
        <w:t>exclude</w:t>
      </w:r>
      <w:r>
        <w:t xml:space="preserve"> security group</w:t>
      </w:r>
    </w:p>
    <w:p w14:paraId="44DE9C16" w14:textId="77777777" w:rsidR="0085380A" w:rsidRDefault="00000000">
      <w:pPr>
        <w:pStyle w:val="ListParagraph"/>
        <w:numPr>
          <w:ilvl w:val="0"/>
          <w:numId w:val="4"/>
        </w:numPr>
        <w:spacing w:after="60" w:line="276" w:lineRule="auto"/>
      </w:pPr>
      <w:r>
        <w:t>Account is enabled</w:t>
      </w:r>
    </w:p>
    <w:p w14:paraId="44DE9C17" w14:textId="77777777" w:rsidR="0085380A" w:rsidRDefault="00000000">
      <w:pPr>
        <w:pStyle w:val="ListParagraph"/>
        <w:numPr>
          <w:ilvl w:val="0"/>
          <w:numId w:val="4"/>
        </w:numPr>
        <w:spacing w:after="60" w:line="276" w:lineRule="auto"/>
      </w:pPr>
      <w:r>
        <w:t>Not a guest</w:t>
      </w:r>
    </w:p>
    <w:p w14:paraId="44DE9C18" w14:textId="77777777" w:rsidR="0085380A" w:rsidRDefault="00000000">
      <w:pPr>
        <w:pStyle w:val="ListParagraph"/>
        <w:numPr>
          <w:ilvl w:val="0"/>
          <w:numId w:val="4"/>
        </w:numPr>
        <w:spacing w:after="60" w:line="276" w:lineRule="auto"/>
      </w:pPr>
      <w:r>
        <w:t xml:space="preserve">Has a </w:t>
      </w:r>
      <w:r>
        <w:rPr>
          <w:rFonts w:ascii="Consolas" w:eastAsia="Consolas" w:hAnsi="Consolas" w:cs="Consolas"/>
          <w:sz w:val="19"/>
          <w:szCs w:val="19"/>
        </w:rPr>
        <w:t>mail</w:t>
      </w:r>
      <w:r>
        <w:t xml:space="preserve"> value, and that value is not on a routing domain (</w:t>
      </w:r>
      <w:r>
        <w:rPr>
          <w:rFonts w:ascii="Consolas" w:eastAsia="Consolas" w:hAnsi="Consolas" w:cs="Consolas"/>
          <w:sz w:val="19"/>
          <w:szCs w:val="19"/>
        </w:rPr>
        <w:t>*.onmicrosoft.com</w:t>
      </w:r>
      <w:r>
        <w:t xml:space="preserve">, </w:t>
      </w:r>
      <w:r>
        <w:rPr>
          <w:rFonts w:ascii="Consolas" w:eastAsia="Consolas" w:hAnsi="Consolas" w:cs="Consolas"/>
          <w:sz w:val="19"/>
          <w:szCs w:val="19"/>
        </w:rPr>
        <w:t>*.onmicrosoft.us</w:t>
      </w:r>
      <w:r>
        <w:t>)</w:t>
      </w:r>
    </w:p>
    <w:p w14:paraId="44DE9C19" w14:textId="77777777" w:rsidR="0085380A" w:rsidRDefault="00000000">
      <w:pPr>
        <w:pStyle w:val="ListParagraph"/>
        <w:numPr>
          <w:ilvl w:val="0"/>
          <w:numId w:val="4"/>
        </w:numPr>
        <w:spacing w:after="60" w:line="276" w:lineRule="auto"/>
      </w:pPr>
      <w:r>
        <w:t>UPN does not match a service or privileged-account pattern (</w:t>
      </w:r>
      <w:r>
        <w:rPr>
          <w:rFonts w:ascii="Consolas" w:eastAsia="Consolas" w:hAnsi="Consolas" w:cs="Consolas"/>
          <w:sz w:val="19"/>
          <w:szCs w:val="19"/>
        </w:rPr>
        <w:t>svc-</w:t>
      </w:r>
      <w:r>
        <w:t xml:space="preserve">, </w:t>
      </w:r>
      <w:r>
        <w:rPr>
          <w:rFonts w:ascii="Consolas" w:eastAsia="Consolas" w:hAnsi="Consolas" w:cs="Consolas"/>
          <w:sz w:val="19"/>
          <w:szCs w:val="19"/>
        </w:rPr>
        <w:t>adm-</w:t>
      </w:r>
      <w:r>
        <w:t xml:space="preserve">, </w:t>
      </w:r>
      <w:r>
        <w:rPr>
          <w:rFonts w:ascii="Consolas" w:eastAsia="Consolas" w:hAnsi="Consolas" w:cs="Consolas"/>
          <w:sz w:val="19"/>
          <w:szCs w:val="19"/>
        </w:rPr>
        <w:t>admin*</w:t>
      </w:r>
      <w:r>
        <w:t xml:space="preserve">, </w:t>
      </w:r>
      <w:r>
        <w:rPr>
          <w:rFonts w:ascii="Consolas" w:eastAsia="Consolas" w:hAnsi="Consolas" w:cs="Consolas"/>
          <w:sz w:val="19"/>
          <w:szCs w:val="19"/>
        </w:rPr>
        <w:t>*.adm@</w:t>
      </w:r>
      <w:r>
        <w:t xml:space="preserve">, </w:t>
      </w:r>
      <w:r>
        <w:rPr>
          <w:rFonts w:ascii="Consolas" w:eastAsia="Consolas" w:hAnsi="Consolas" w:cs="Consolas"/>
          <w:sz w:val="19"/>
          <w:szCs w:val="19"/>
        </w:rPr>
        <w:t>break glass</w:t>
      </w:r>
      <w:r>
        <w:t>)</w:t>
      </w:r>
    </w:p>
    <w:p w14:paraId="44DE9C1A" w14:textId="77777777" w:rsidR="0085380A" w:rsidRDefault="00000000">
      <w:pPr>
        <w:pStyle w:val="ListParagraph"/>
        <w:numPr>
          <w:ilvl w:val="0"/>
          <w:numId w:val="4"/>
        </w:numPr>
        <w:spacing w:after="60" w:line="276" w:lineRule="auto"/>
      </w:pPr>
      <w:r>
        <w:t xml:space="preserve">The </w:t>
      </w:r>
      <w:r>
        <w:rPr>
          <w:rFonts w:ascii="Consolas" w:eastAsia="Consolas" w:hAnsi="Consolas" w:cs="Consolas"/>
          <w:sz w:val="19"/>
          <w:szCs w:val="19"/>
        </w:rPr>
        <w:t>mail</w:t>
      </w:r>
      <w:r>
        <w:t xml:space="preserve"> value corresponds to an actual </w:t>
      </w:r>
      <w:r>
        <w:rPr>
          <w:rFonts w:ascii="Consolas" w:eastAsia="Consolas" w:hAnsi="Consolas" w:cs="Consolas"/>
          <w:sz w:val="19"/>
          <w:szCs w:val="19"/>
        </w:rPr>
        <w:t>UserMailbox</w:t>
      </w:r>
      <w:r>
        <w:t xml:space="preserve"> in that tenant</w:t>
      </w:r>
    </w:p>
    <w:p w14:paraId="44DE9C1B" w14:textId="77777777" w:rsidR="0085380A" w:rsidRDefault="00000000">
      <w:pPr>
        <w:pStyle w:val="ListParagraph"/>
        <w:numPr>
          <w:ilvl w:val="0"/>
          <w:numId w:val="4"/>
        </w:numPr>
        <w:spacing w:after="60" w:line="276" w:lineRule="auto"/>
      </w:pPr>
      <w:r>
        <w:t>Not flagged by the export-control custom security attribute (</w:t>
      </w:r>
      <w:r>
        <w:rPr>
          <w:rFonts w:ascii="Consolas" w:eastAsia="Consolas" w:hAnsi="Consolas" w:cs="Consolas"/>
          <w:sz w:val="19"/>
          <w:szCs w:val="19"/>
        </w:rPr>
        <w:t>ExportControl / ItarRestricted = true</w:t>
      </w:r>
      <w:r>
        <w:t>)</w:t>
      </w:r>
    </w:p>
    <w:p w14:paraId="44DE9C1C" w14:textId="77777777" w:rsidR="0085380A" w:rsidRDefault="00000000">
      <w:pPr>
        <w:spacing w:after="120" w:line="276" w:lineRule="auto"/>
      </w:pPr>
      <w:r>
        <w:t xml:space="preserve">Rule 8 deserves emphasis. Entra custom security attributes are the right home for an export-control flag: they are separately permissioned (reading them needs </w:t>
      </w:r>
      <w:r>
        <w:rPr>
          <w:rFonts w:ascii="Consolas" w:eastAsia="Consolas" w:hAnsi="Consolas" w:cs="Consolas"/>
          <w:sz w:val="19"/>
          <w:szCs w:val="19"/>
        </w:rPr>
        <w:t>CustomSecAttributeAssignment.Read.All</w:t>
      </w:r>
      <w:r>
        <w:t xml:space="preserve">, which is not implied by </w:t>
      </w:r>
      <w:r>
        <w:rPr>
          <w:rFonts w:ascii="Consolas" w:eastAsia="Consolas" w:hAnsi="Consolas" w:cs="Consolas"/>
          <w:sz w:val="19"/>
          <w:szCs w:val="19"/>
        </w:rPr>
        <w:t>User.Read.All</w:t>
      </w:r>
      <w:r>
        <w:t xml:space="preserve">), they are auditable, and they can be maintained by the export-control function rather than by the M365 team. If the service cannot read them — permission revoked, API failure — the flow </w:t>
      </w:r>
      <w:r>
        <w:rPr>
          <w:b/>
          <w:bCs/>
        </w:rPr>
        <w:t>aborts</w:t>
      </w:r>
      <w:r>
        <w:t xml:space="preserve"> rather than proceeding without the exclusion. Failing open on an export-control control is not an option.</w:t>
      </w:r>
    </w:p>
    <w:p w14:paraId="44DE9C1D" w14:textId="77777777" w:rsidR="0085380A" w:rsidRDefault="00000000">
      <w:pPr>
        <w:spacing w:after="120" w:line="276" w:lineRule="auto"/>
      </w:pPr>
      <w:r>
        <w:t>Every exclusion is counted and logged by reason on every run, so "why is this person not in the GAL?" is answerable from the run log without re-running anything.</w:t>
      </w:r>
    </w:p>
    <w:p w14:paraId="44DE9C1E" w14:textId="77777777" w:rsidR="0085380A" w:rsidRDefault="0085380A">
      <w:pPr>
        <w:pBdr>
          <w:bottom w:val="single" w:sz="6" w:space="6" w:color="BFBFBF"/>
        </w:pBdr>
        <w:spacing w:before="100" w:after="200"/>
      </w:pPr>
    </w:p>
    <w:p w14:paraId="44DE9C1F" w14:textId="77777777" w:rsidR="0085380A" w:rsidRDefault="00000000">
      <w:pPr>
        <w:pStyle w:val="Heading1"/>
        <w:keepNext/>
        <w:spacing w:before="360" w:after="140"/>
      </w:pPr>
      <w:bookmarkStart w:id="10" w:name="_Toc239065932"/>
      <w:r>
        <w:t>9. Synchronisation semantics</w:t>
      </w:r>
      <w:bookmarkEnd w:id="10"/>
    </w:p>
    <w:p w14:paraId="44DE9C20" w14:textId="77777777" w:rsidR="0085380A" w:rsidRDefault="00000000">
      <w:pPr>
        <w:spacing w:after="120" w:line="276" w:lineRule="auto"/>
      </w:pPr>
      <w:r>
        <w:rPr>
          <w:b/>
          <w:bCs/>
        </w:rPr>
        <w:t>Change detection.</w:t>
      </w:r>
      <w:r>
        <w:t xml:space="preserve"> The projected attribute set is canonicalised and hashed. If the stored hash matches, the object is skipped entirely. A steady-state hourly run therefore performs zero write operations, which keeps the service well clear of Exchange Online throttling and keeps the audit log signal-to-noise high.</w:t>
      </w:r>
    </w:p>
    <w:p w14:paraId="44DE9C21" w14:textId="77777777" w:rsidR="0085380A" w:rsidRDefault="00000000">
      <w:pPr>
        <w:spacing w:after="120" w:line="276" w:lineRule="auto"/>
      </w:pPr>
      <w:r>
        <w:rPr>
          <w:b/>
          <w:bCs/>
        </w:rPr>
        <w:t>Lifecycle.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208"/>
        <w:gridCol w:w="5152"/>
      </w:tblGrid>
      <w:tr w:rsidR="0085380A" w14:paraId="44DE9C24" w14:textId="77777777">
        <w:tblPrEx>
          <w:tblCellMar>
            <w:top w:w="0" w:type="dxa"/>
            <w:bottom w:w="0" w:type="dxa"/>
          </w:tblCellMar>
        </w:tblPrEx>
        <w:trPr>
          <w:tblHeader/>
        </w:trPr>
        <w:tc>
          <w:tcPr>
            <w:tcW w:w="4208" w:type="dxa"/>
            <w:shd w:val="clear" w:color="auto" w:fill="1F4E79"/>
            <w:tcMar>
              <w:top w:w="60" w:type="dxa"/>
              <w:left w:w="110" w:type="dxa"/>
              <w:bottom w:w="60" w:type="dxa"/>
              <w:right w:w="110" w:type="dxa"/>
            </w:tcMar>
          </w:tcPr>
          <w:p w14:paraId="44DE9C22" w14:textId="77777777" w:rsidR="0085380A" w:rsidRDefault="00000000">
            <w:r>
              <w:rPr>
                <w:b/>
                <w:bCs/>
                <w:color w:val="FFFFFF"/>
                <w:sz w:val="19"/>
                <w:szCs w:val="19"/>
              </w:rPr>
              <w:t>Source state</w:t>
            </w:r>
          </w:p>
        </w:tc>
        <w:tc>
          <w:tcPr>
            <w:tcW w:w="5152" w:type="dxa"/>
            <w:shd w:val="clear" w:color="auto" w:fill="1F4E79"/>
            <w:tcMar>
              <w:top w:w="60" w:type="dxa"/>
              <w:left w:w="110" w:type="dxa"/>
              <w:bottom w:w="60" w:type="dxa"/>
              <w:right w:w="110" w:type="dxa"/>
            </w:tcMar>
          </w:tcPr>
          <w:p w14:paraId="44DE9C23" w14:textId="77777777" w:rsidR="0085380A" w:rsidRDefault="00000000">
            <w:r>
              <w:rPr>
                <w:b/>
                <w:bCs/>
                <w:color w:val="FFFFFF"/>
                <w:sz w:val="19"/>
                <w:szCs w:val="19"/>
              </w:rPr>
              <w:t>Target action</w:t>
            </w:r>
          </w:p>
        </w:tc>
      </w:tr>
      <w:tr w:rsidR="0085380A" w14:paraId="44DE9C27" w14:textId="77777777">
        <w:tblPrEx>
          <w:tblCellMar>
            <w:top w:w="0" w:type="dxa"/>
            <w:bottom w:w="0" w:type="dxa"/>
          </w:tblCellMar>
        </w:tblPrEx>
        <w:tc>
          <w:tcPr>
            <w:tcW w:w="4208" w:type="dxa"/>
            <w:tcMar>
              <w:top w:w="60" w:type="dxa"/>
              <w:left w:w="110" w:type="dxa"/>
              <w:bottom w:w="60" w:type="dxa"/>
              <w:right w:w="110" w:type="dxa"/>
            </w:tcMar>
          </w:tcPr>
          <w:p w14:paraId="44DE9C25" w14:textId="77777777" w:rsidR="0085380A" w:rsidRDefault="00000000">
            <w:r>
              <w:rPr>
                <w:sz w:val="19"/>
                <w:szCs w:val="19"/>
              </w:rPr>
              <w:t>New in scope</w:t>
            </w:r>
          </w:p>
        </w:tc>
        <w:tc>
          <w:tcPr>
            <w:tcW w:w="5152" w:type="dxa"/>
            <w:tcMar>
              <w:top w:w="60" w:type="dxa"/>
              <w:left w:w="110" w:type="dxa"/>
              <w:bottom w:w="60" w:type="dxa"/>
              <w:right w:w="110" w:type="dxa"/>
            </w:tcMar>
          </w:tcPr>
          <w:p w14:paraId="44DE9C26" w14:textId="77777777" w:rsidR="0085380A" w:rsidRDefault="00000000">
            <w:r>
              <w:rPr>
                <w:sz w:val="19"/>
                <w:szCs w:val="19"/>
              </w:rPr>
              <w:t>Create contact, stamp all control attributes</w:t>
            </w:r>
          </w:p>
        </w:tc>
      </w:tr>
      <w:tr w:rsidR="0085380A" w14:paraId="44DE9C2A" w14:textId="77777777">
        <w:tblPrEx>
          <w:tblCellMar>
            <w:top w:w="0" w:type="dxa"/>
            <w:bottom w:w="0" w:type="dxa"/>
          </w:tblCellMar>
        </w:tblPrEx>
        <w:tc>
          <w:tcPr>
            <w:tcW w:w="4208" w:type="dxa"/>
            <w:tcMar>
              <w:top w:w="60" w:type="dxa"/>
              <w:left w:w="110" w:type="dxa"/>
              <w:bottom w:w="60" w:type="dxa"/>
              <w:right w:w="110" w:type="dxa"/>
            </w:tcMar>
          </w:tcPr>
          <w:p w14:paraId="44DE9C28" w14:textId="77777777" w:rsidR="0085380A" w:rsidRDefault="00000000">
            <w:r>
              <w:rPr>
                <w:sz w:val="19"/>
                <w:szCs w:val="19"/>
              </w:rPr>
              <w:t>Attribute changed</w:t>
            </w:r>
          </w:p>
        </w:tc>
        <w:tc>
          <w:tcPr>
            <w:tcW w:w="5152" w:type="dxa"/>
            <w:tcMar>
              <w:top w:w="60" w:type="dxa"/>
              <w:left w:w="110" w:type="dxa"/>
              <w:bottom w:w="60" w:type="dxa"/>
              <w:right w:w="110" w:type="dxa"/>
            </w:tcMar>
          </w:tcPr>
          <w:p w14:paraId="44DE9C29" w14:textId="77777777" w:rsidR="0085380A" w:rsidRDefault="00000000">
            <w:r>
              <w:rPr>
                <w:sz w:val="19"/>
                <w:szCs w:val="19"/>
              </w:rPr>
              <w:t>Update contact and hash</w:t>
            </w:r>
          </w:p>
        </w:tc>
      </w:tr>
      <w:tr w:rsidR="0085380A" w14:paraId="44DE9C2D" w14:textId="77777777">
        <w:tblPrEx>
          <w:tblCellMar>
            <w:top w:w="0" w:type="dxa"/>
            <w:bottom w:w="0" w:type="dxa"/>
          </w:tblCellMar>
        </w:tblPrEx>
        <w:tc>
          <w:tcPr>
            <w:tcW w:w="4208" w:type="dxa"/>
            <w:tcMar>
              <w:top w:w="60" w:type="dxa"/>
              <w:left w:w="110" w:type="dxa"/>
              <w:bottom w:w="60" w:type="dxa"/>
              <w:right w:w="110" w:type="dxa"/>
            </w:tcMar>
          </w:tcPr>
          <w:p w14:paraId="44DE9C2B" w14:textId="77777777" w:rsidR="0085380A" w:rsidRDefault="00000000">
            <w:r>
              <w:rPr>
                <w:sz w:val="19"/>
                <w:szCs w:val="19"/>
              </w:rPr>
              <w:t>Out of scope or deleted</w:t>
            </w:r>
          </w:p>
        </w:tc>
        <w:tc>
          <w:tcPr>
            <w:tcW w:w="5152" w:type="dxa"/>
            <w:tcMar>
              <w:top w:w="60" w:type="dxa"/>
              <w:left w:w="110" w:type="dxa"/>
              <w:bottom w:w="60" w:type="dxa"/>
              <w:right w:w="110" w:type="dxa"/>
            </w:tcMar>
          </w:tcPr>
          <w:p w14:paraId="44DE9C2C" w14:textId="77777777" w:rsidR="0085380A" w:rsidRDefault="00000000">
            <w:r>
              <w:rPr>
                <w:b/>
                <w:bCs/>
                <w:sz w:val="19"/>
                <w:szCs w:val="19"/>
              </w:rPr>
              <w:t>Stage</w:t>
            </w:r>
            <w:r>
              <w:rPr>
                <w:sz w:val="19"/>
                <w:szCs w:val="19"/>
              </w:rPr>
              <w:t xml:space="preserve"> for deletion: stamp </w:t>
            </w:r>
            <w:r>
              <w:rPr>
                <w:rFonts w:ascii="Consolas" w:eastAsia="Consolas" w:hAnsi="Consolas" w:cs="Consolas"/>
                <w:sz w:val="19"/>
                <w:szCs w:val="19"/>
              </w:rPr>
              <w:t>PENDINGDELETE:&lt;date&gt;</w:t>
            </w:r>
            <w:r>
              <w:rPr>
                <w:sz w:val="19"/>
                <w:szCs w:val="19"/>
              </w:rPr>
              <w:t>, hide from address lists</w:t>
            </w:r>
          </w:p>
        </w:tc>
      </w:tr>
      <w:tr w:rsidR="0085380A" w14:paraId="44DE9C30" w14:textId="77777777">
        <w:tblPrEx>
          <w:tblCellMar>
            <w:top w:w="0" w:type="dxa"/>
            <w:bottom w:w="0" w:type="dxa"/>
          </w:tblCellMar>
        </w:tblPrEx>
        <w:tc>
          <w:tcPr>
            <w:tcW w:w="4208" w:type="dxa"/>
            <w:tcMar>
              <w:top w:w="60" w:type="dxa"/>
              <w:left w:w="110" w:type="dxa"/>
              <w:bottom w:w="60" w:type="dxa"/>
              <w:right w:w="110" w:type="dxa"/>
            </w:tcMar>
          </w:tcPr>
          <w:p w14:paraId="44DE9C2E" w14:textId="77777777" w:rsidR="0085380A" w:rsidRDefault="00000000">
            <w:r>
              <w:rPr>
                <w:sz w:val="19"/>
                <w:szCs w:val="19"/>
              </w:rPr>
              <w:lastRenderedPageBreak/>
              <w:t>Staged, then back in scope</w:t>
            </w:r>
          </w:p>
        </w:tc>
        <w:tc>
          <w:tcPr>
            <w:tcW w:w="5152" w:type="dxa"/>
            <w:tcMar>
              <w:top w:w="60" w:type="dxa"/>
              <w:left w:w="110" w:type="dxa"/>
              <w:bottom w:w="60" w:type="dxa"/>
              <w:right w:w="110" w:type="dxa"/>
            </w:tcMar>
          </w:tcPr>
          <w:p w14:paraId="44DE9C2F" w14:textId="77777777" w:rsidR="0085380A" w:rsidRDefault="00000000">
            <w:r>
              <w:rPr>
                <w:sz w:val="19"/>
                <w:szCs w:val="19"/>
              </w:rPr>
              <w:t>Restore: clear the stamp, unhide, refresh attributes</w:t>
            </w:r>
          </w:p>
        </w:tc>
      </w:tr>
      <w:tr w:rsidR="0085380A" w14:paraId="44DE9C33" w14:textId="77777777">
        <w:tblPrEx>
          <w:tblCellMar>
            <w:top w:w="0" w:type="dxa"/>
            <w:bottom w:w="0" w:type="dxa"/>
          </w:tblCellMar>
        </w:tblPrEx>
        <w:tc>
          <w:tcPr>
            <w:tcW w:w="4208" w:type="dxa"/>
            <w:tcMar>
              <w:top w:w="60" w:type="dxa"/>
              <w:left w:w="110" w:type="dxa"/>
              <w:bottom w:w="60" w:type="dxa"/>
              <w:right w:w="110" w:type="dxa"/>
            </w:tcMar>
          </w:tcPr>
          <w:p w14:paraId="44DE9C31" w14:textId="77777777" w:rsidR="0085380A" w:rsidRDefault="00000000">
            <w:r>
              <w:rPr>
                <w:sz w:val="19"/>
                <w:szCs w:val="19"/>
              </w:rPr>
              <w:t>Staged for longer than the grace period (30 days)</w:t>
            </w:r>
          </w:p>
        </w:tc>
        <w:tc>
          <w:tcPr>
            <w:tcW w:w="5152" w:type="dxa"/>
            <w:tcMar>
              <w:top w:w="60" w:type="dxa"/>
              <w:left w:w="110" w:type="dxa"/>
              <w:bottom w:w="60" w:type="dxa"/>
              <w:right w:w="110" w:type="dxa"/>
            </w:tcMar>
          </w:tcPr>
          <w:p w14:paraId="44DE9C32" w14:textId="77777777" w:rsidR="0085380A" w:rsidRDefault="00000000">
            <w:r>
              <w:rPr>
                <w:sz w:val="19"/>
                <w:szCs w:val="19"/>
              </w:rPr>
              <w:t xml:space="preserve">Purge: </w:t>
            </w:r>
            <w:r>
              <w:rPr>
                <w:rFonts w:ascii="Consolas" w:eastAsia="Consolas" w:hAnsi="Consolas" w:cs="Consolas"/>
                <w:sz w:val="19"/>
                <w:szCs w:val="19"/>
              </w:rPr>
              <w:t>Remove-MailContact</w:t>
            </w:r>
          </w:p>
        </w:tc>
      </w:tr>
    </w:tbl>
    <w:p w14:paraId="44DE9C34" w14:textId="77777777" w:rsidR="0085380A" w:rsidRDefault="0085380A">
      <w:pPr>
        <w:spacing w:after="160"/>
      </w:pPr>
    </w:p>
    <w:p w14:paraId="44DE9C35" w14:textId="77777777" w:rsidR="0085380A" w:rsidRDefault="00000000">
      <w:pPr>
        <w:spacing w:after="120" w:line="276" w:lineRule="auto"/>
      </w:pPr>
      <w:r>
        <w:t>The grace period exists because the most common cause of "the source object disappeared" is not an offboarding — it is a group membership change, a licensing blip, or a partial Graph result. Hiding first and deleting later turns a silent data-loss event into a visible, reversible one.</w:t>
      </w:r>
    </w:p>
    <w:p w14:paraId="44DE9C36" w14:textId="77777777" w:rsidR="0085380A" w:rsidRDefault="00000000">
      <w:pPr>
        <w:spacing w:after="120" w:line="276" w:lineRule="auto"/>
      </w:pPr>
      <w:r>
        <w:rPr>
          <w:b/>
          <w:bCs/>
        </w:rPr>
        <w:t>Circuit breaker.</w:t>
      </w:r>
      <w:r>
        <w:t xml:space="preserve"> Before any write, the plan is tested against the safety envelope:</w:t>
      </w:r>
    </w:p>
    <w:p w14:paraId="44DE9C37" w14:textId="77777777" w:rsidR="0085380A" w:rsidRDefault="00000000">
      <w:pPr>
        <w:pStyle w:val="ListParagraph"/>
        <w:numPr>
          <w:ilvl w:val="0"/>
          <w:numId w:val="5"/>
        </w:numPr>
        <w:spacing w:after="60" w:line="276" w:lineRule="auto"/>
      </w:pPr>
      <w:r>
        <w:t>source returned fewer than the minimum object count (default 1) → block</w:t>
      </w:r>
    </w:p>
    <w:p w14:paraId="44DE9C38" w14:textId="77777777" w:rsidR="0085380A" w:rsidRDefault="00000000">
      <w:pPr>
        <w:pStyle w:val="ListParagraph"/>
        <w:numPr>
          <w:ilvl w:val="0"/>
          <w:numId w:val="5"/>
        </w:numPr>
        <w:spacing w:after="60" w:line="276" w:lineRule="auto"/>
      </w:pPr>
      <w:r>
        <w:t>deletions exceed 50 objects in one run → block</w:t>
      </w:r>
    </w:p>
    <w:p w14:paraId="44DE9C39" w14:textId="77777777" w:rsidR="0085380A" w:rsidRDefault="00000000">
      <w:pPr>
        <w:pStyle w:val="ListParagraph"/>
        <w:numPr>
          <w:ilvl w:val="0"/>
          <w:numId w:val="5"/>
        </w:numPr>
        <w:spacing w:after="60" w:line="276" w:lineRule="auto"/>
      </w:pPr>
      <w:r>
        <w:t>deletions exceed 10% of the currently synchronised set → block</w:t>
      </w:r>
    </w:p>
    <w:p w14:paraId="44DE9C3A" w14:textId="77777777" w:rsidR="0085380A" w:rsidRDefault="00000000">
      <w:pPr>
        <w:pStyle w:val="ListParagraph"/>
        <w:numPr>
          <w:ilvl w:val="0"/>
          <w:numId w:val="5"/>
        </w:numPr>
        <w:spacing w:after="60" w:line="276" w:lineRule="auto"/>
      </w:pPr>
      <w:r>
        <w:t>creations exceed 500 in one run → block</w:t>
      </w:r>
    </w:p>
    <w:p w14:paraId="44DE9C3B" w14:textId="77777777" w:rsidR="0085380A" w:rsidRDefault="00000000">
      <w:pPr>
        <w:spacing w:after="120" w:line="276" w:lineRule="auto"/>
      </w:pPr>
      <w:r>
        <w:t>A blocked flow performs no writes, logs the violation with its numbers, raises the alert, and leaves the target tenant exactly as it was. A directory outage, a mis-scoped group and a genuine mass offboarding are indistinguishable to the code; the operator decides which one it was.</w:t>
      </w:r>
    </w:p>
    <w:p w14:paraId="44DE9C3C" w14:textId="77777777" w:rsidR="0085380A" w:rsidRDefault="00000000">
      <w:pPr>
        <w:spacing w:after="120" w:line="276" w:lineRule="auto"/>
      </w:pPr>
      <w:r>
        <w:rPr>
          <w:b/>
          <w:bCs/>
        </w:rPr>
        <w:t>Concurrency and throttling.</w:t>
      </w:r>
      <w:r>
        <w:t xml:space="preserve"> Writes are issued in batches of 50 with a one-second pause between batches. Transient failures (429, timeout, connection reset) are retried with exponential backoff up to five attempts; anything else surfaces immediately and is recorded per object, so one bad object cannot fail an otherwise good run.</w:t>
      </w:r>
    </w:p>
    <w:p w14:paraId="44DE9C3D" w14:textId="77777777" w:rsidR="0085380A" w:rsidRDefault="00000000">
      <w:pPr>
        <w:spacing w:after="120" w:line="276" w:lineRule="auto"/>
      </w:pPr>
      <w:r>
        <w:rPr>
          <w:b/>
          <w:bCs/>
        </w:rPr>
        <w:t>Preview mode.</w:t>
      </w:r>
      <w:r>
        <w:t xml:space="preserve"> </w:t>
      </w:r>
      <w:r>
        <w:rPr>
          <w:rFonts w:ascii="Consolas" w:eastAsia="Consolas" w:hAnsi="Consolas" w:cs="Consolas"/>
          <w:sz w:val="19"/>
          <w:szCs w:val="19"/>
        </w:rPr>
        <w:t>Invoke-GalSync -Preview</w:t>
      </w:r>
      <w:r>
        <w:t xml:space="preserve"> produces the full plan and the run report without issuing a single write. This is the mode used for the pre-production dry run, for change-advisory evidence, and as the first diagnostic step in any incident.</w:t>
      </w:r>
    </w:p>
    <w:p w14:paraId="44DE9C3E" w14:textId="77777777" w:rsidR="0085380A" w:rsidRDefault="0085380A">
      <w:pPr>
        <w:pBdr>
          <w:bottom w:val="single" w:sz="6" w:space="6" w:color="BFBFBF"/>
        </w:pBdr>
        <w:spacing w:before="100" w:after="200"/>
      </w:pPr>
    </w:p>
    <w:p w14:paraId="44DE9C3F" w14:textId="77777777" w:rsidR="0085380A" w:rsidRDefault="00000000">
      <w:pPr>
        <w:pStyle w:val="Heading1"/>
        <w:keepNext/>
        <w:spacing w:before="360" w:after="140"/>
      </w:pPr>
      <w:bookmarkStart w:id="11" w:name="_Toc239065933"/>
      <w:r>
        <w:t>10. Free/busy, MailTips and calendar sharing</w:t>
      </w:r>
      <w:bookmarkEnd w:id="11"/>
    </w:p>
    <w:p w14:paraId="44DE9C40" w14:textId="77777777" w:rsidR="0085380A" w:rsidRDefault="00000000">
      <w:pPr>
        <w:pStyle w:val="Heading2"/>
        <w:keepNext/>
        <w:spacing w:before="260" w:after="140"/>
      </w:pPr>
      <w:bookmarkStart w:id="12" w:name="_Toc239065934"/>
      <w:r>
        <w:t>10.1 Target state — Cross-Tenant Access Policy</w:t>
      </w:r>
      <w:bookmarkEnd w:id="12"/>
    </w:p>
    <w:p w14:paraId="44DE9C41" w14:textId="77777777" w:rsidR="0085380A" w:rsidRDefault="00000000">
      <w:pPr>
        <w:spacing w:after="120" w:line="276" w:lineRule="auto"/>
      </w:pPr>
      <w:r>
        <w:t xml:space="preserve">Configured </w:t>
      </w:r>
      <w:r>
        <w:rPr>
          <w:b/>
          <w:bCs/>
        </w:rPr>
        <w:t>in each tenant</w:t>
      </w:r>
      <w:r>
        <w:t>, inbound. Both sides must configure before availability resolves in both directions.</w:t>
      </w:r>
    </w:p>
    <w:p w14:paraId="44DE9C42" w14:textId="77777777" w:rsidR="0085380A" w:rsidRDefault="00000000">
      <w:pPr>
        <w:pStyle w:val="ListParagraph"/>
        <w:numPr>
          <w:ilvl w:val="0"/>
          <w:numId w:val="6"/>
        </w:numPr>
        <w:spacing w:after="60" w:line="276" w:lineRule="auto"/>
      </w:pPr>
      <w:r>
        <w:rPr>
          <w:b/>
          <w:bCs/>
        </w:rPr>
        <w:t>Microsoft cloud settings</w:t>
      </w:r>
      <w:r>
        <w:t xml:space="preserve"> — enable the partner cloud endpoint (</w:t>
      </w:r>
      <w:r>
        <w:rPr>
          <w:rFonts w:ascii="Consolas" w:eastAsia="Consolas" w:hAnsi="Consolas" w:cs="Consolas"/>
          <w:sz w:val="19"/>
          <w:szCs w:val="19"/>
        </w:rPr>
        <w:t>microsoftonline.com</w:t>
      </w:r>
      <w:r>
        <w:t xml:space="preserve"> from GCC High; </w:t>
      </w:r>
      <w:r>
        <w:rPr>
          <w:rFonts w:ascii="Consolas" w:eastAsia="Consolas" w:hAnsi="Consolas" w:cs="Consolas"/>
          <w:sz w:val="19"/>
          <w:szCs w:val="19"/>
        </w:rPr>
        <w:t>microsoftonline.us</w:t>
      </w:r>
      <w:r>
        <w:t xml:space="preserve"> from Commercial).</w:t>
      </w:r>
    </w:p>
    <w:p w14:paraId="44DE9C43" w14:textId="77777777" w:rsidR="0085380A" w:rsidRDefault="00000000">
      <w:pPr>
        <w:pStyle w:val="ListParagraph"/>
        <w:numPr>
          <w:ilvl w:val="0"/>
          <w:numId w:val="6"/>
        </w:numPr>
        <w:spacing w:after="60" w:line="276" w:lineRule="auto"/>
      </w:pPr>
      <w:r>
        <w:rPr>
          <w:b/>
          <w:bCs/>
        </w:rPr>
        <w:t>Partner configuration</w:t>
      </w:r>
      <w:r>
        <w:t xml:space="preserve"> — add the partner by tenant ID (domain lookup is unavailable cross-cloud) and enable the Microsoft 365 collaboration trust.</w:t>
      </w:r>
    </w:p>
    <w:p w14:paraId="44DE9C44" w14:textId="77777777" w:rsidR="0085380A" w:rsidRDefault="00000000">
      <w:pPr>
        <w:pStyle w:val="ListParagraph"/>
        <w:numPr>
          <w:ilvl w:val="0"/>
          <w:numId w:val="6"/>
        </w:numPr>
        <w:spacing w:after="60" w:line="276" w:lineRule="auto"/>
      </w:pPr>
      <w:r>
        <w:rPr>
          <w:b/>
          <w:bCs/>
        </w:rPr>
        <w:t>Capabilities</w:t>
      </w:r>
      <w:r>
        <w:t xml:space="preserve"> — enable the inbound capabilities the organisation has agreed to:</w:t>
      </w:r>
    </w:p>
    <w:p w14:paraId="44DE9C45" w14:textId="77777777" w:rsidR="0085380A" w:rsidRDefault="00000000">
      <w:pPr>
        <w:pStyle w:val="ListParagraph"/>
        <w:numPr>
          <w:ilvl w:val="1"/>
          <w:numId w:val="5"/>
        </w:numPr>
        <w:spacing w:after="60"/>
      </w:pPr>
      <w:r>
        <w:rPr>
          <w:rFonts w:ascii="Consolas" w:eastAsia="Consolas" w:hAnsi="Consolas" w:cs="Consolas"/>
          <w:sz w:val="19"/>
          <w:szCs w:val="19"/>
        </w:rPr>
        <w:t>crossTenantCalendarAvailabilityBasic</w:t>
      </w:r>
      <w:r>
        <w:t xml:space="preserve"> (times only) or </w:t>
      </w:r>
      <w:r>
        <w:rPr>
          <w:rFonts w:ascii="Consolas" w:eastAsia="Consolas" w:hAnsi="Consolas" w:cs="Consolas"/>
          <w:sz w:val="19"/>
          <w:szCs w:val="19"/>
        </w:rPr>
        <w:t>...LimitedDetails</w:t>
      </w:r>
      <w:r>
        <w:t xml:space="preserve"> (times, subject, location)</w:t>
      </w:r>
    </w:p>
    <w:p w14:paraId="44DE9C46" w14:textId="77777777" w:rsidR="0085380A" w:rsidRDefault="00000000">
      <w:pPr>
        <w:pStyle w:val="ListParagraph"/>
        <w:numPr>
          <w:ilvl w:val="1"/>
          <w:numId w:val="5"/>
        </w:numPr>
        <w:spacing w:after="60"/>
      </w:pPr>
      <w:r>
        <w:rPr>
          <w:rFonts w:ascii="Consolas" w:eastAsia="Consolas" w:hAnsi="Consolas" w:cs="Consolas"/>
          <w:sz w:val="19"/>
          <w:szCs w:val="19"/>
        </w:rPr>
        <w:t>crossTenantMailTipsLimited</w:t>
      </w:r>
      <w:r>
        <w:t xml:space="preserve"> or </w:t>
      </w:r>
      <w:r>
        <w:rPr>
          <w:rFonts w:ascii="Consolas" w:eastAsia="Consolas" w:hAnsi="Consolas" w:cs="Consolas"/>
          <w:sz w:val="19"/>
          <w:szCs w:val="19"/>
        </w:rPr>
        <w:t>...All</w:t>
      </w:r>
    </w:p>
    <w:p w14:paraId="44DE9C47" w14:textId="77777777" w:rsidR="0085380A" w:rsidRDefault="00000000">
      <w:pPr>
        <w:pStyle w:val="ListParagraph"/>
        <w:numPr>
          <w:ilvl w:val="1"/>
          <w:numId w:val="5"/>
        </w:numPr>
        <w:spacing w:after="60"/>
      </w:pPr>
      <w:r>
        <w:rPr>
          <w:rFonts w:ascii="Consolas" w:eastAsia="Consolas" w:hAnsi="Consolas" w:cs="Consolas"/>
          <w:sz w:val="19"/>
          <w:szCs w:val="19"/>
        </w:rPr>
        <w:t>crossTenantCalendarSharingFreeBusySimple</w:t>
      </w:r>
      <w:r>
        <w:t xml:space="preserve"> / </w:t>
      </w:r>
      <w:r>
        <w:rPr>
          <w:rFonts w:ascii="Consolas" w:eastAsia="Consolas" w:hAnsi="Consolas" w:cs="Consolas"/>
          <w:sz w:val="19"/>
          <w:szCs w:val="19"/>
        </w:rPr>
        <w:t>...Detail</w:t>
      </w:r>
      <w:r>
        <w:t xml:space="preserve"> / </w:t>
      </w:r>
      <w:r>
        <w:rPr>
          <w:rFonts w:ascii="Consolas" w:eastAsia="Consolas" w:hAnsi="Consolas" w:cs="Consolas"/>
          <w:sz w:val="19"/>
          <w:szCs w:val="19"/>
        </w:rPr>
        <w:t>...Reviewer</w:t>
      </w:r>
    </w:p>
    <w:p w14:paraId="44DE9C48" w14:textId="77777777" w:rsidR="0085380A" w:rsidRDefault="00000000">
      <w:pPr>
        <w:pStyle w:val="ListParagraph"/>
        <w:numPr>
          <w:ilvl w:val="0"/>
          <w:numId w:val="6"/>
        </w:numPr>
        <w:spacing w:after="60" w:line="276" w:lineRule="auto"/>
      </w:pPr>
      <w:r>
        <w:rPr>
          <w:b/>
          <w:bCs/>
        </w:rPr>
        <w:lastRenderedPageBreak/>
        <w:t>Scoping</w:t>
      </w:r>
      <w:r>
        <w:t xml:space="preserve"> — each capability can be scoped to a security group rather than all users. Scope it to the same population as the GAL sync include group, so that GAL visibility and availability visibility do not drift apart.</w:t>
      </w:r>
    </w:p>
    <w:p w14:paraId="44DE9C49" w14:textId="77777777" w:rsidR="0085380A" w:rsidRDefault="00000000">
      <w:pPr>
        <w:spacing w:after="120" w:line="276" w:lineRule="auto"/>
      </w:pPr>
      <w:r>
        <w:t xml:space="preserve">Recommended starting point: </w:t>
      </w:r>
      <w:r>
        <w:rPr>
          <w:rFonts w:ascii="Consolas" w:eastAsia="Consolas" w:hAnsi="Consolas" w:cs="Consolas"/>
          <w:sz w:val="19"/>
          <w:szCs w:val="19"/>
        </w:rPr>
        <w:t>Basic</w:t>
      </w:r>
      <w:r>
        <w:t xml:space="preserve"> availability, </w:t>
      </w:r>
      <w:r>
        <w:rPr>
          <w:rFonts w:ascii="Consolas" w:eastAsia="Consolas" w:hAnsi="Consolas" w:cs="Consolas"/>
          <w:sz w:val="19"/>
          <w:szCs w:val="19"/>
        </w:rPr>
        <w:t>Limited</w:t>
      </w:r>
      <w:r>
        <w:t xml:space="preserve"> MailTips, </w:t>
      </w:r>
      <w:r>
        <w:rPr>
          <w:rFonts w:ascii="Consolas" w:eastAsia="Consolas" w:hAnsi="Consolas" w:cs="Consolas"/>
          <w:sz w:val="19"/>
          <w:szCs w:val="19"/>
        </w:rPr>
        <w:t>Simple</w:t>
      </w:r>
      <w:r>
        <w:t xml:space="preserve"> calendar sharing, scoped to the include group. These can be widened later; widening is a one-line change, narrowing after users have grown used to detail is a conversation.</w:t>
      </w:r>
    </w:p>
    <w:p w14:paraId="44DE9C4A" w14:textId="77777777" w:rsidR="0085380A" w:rsidRDefault="00000000">
      <w:pPr>
        <w:pStyle w:val="Heading2"/>
        <w:keepNext/>
        <w:spacing w:before="260" w:after="140"/>
      </w:pPr>
      <w:bookmarkStart w:id="13" w:name="_Toc239065935"/>
      <w:r>
        <w:t>10.2 Bridge — legacy organisation relationship</w:t>
      </w:r>
      <w:bookmarkEnd w:id="13"/>
    </w:p>
    <w:p w14:paraId="44DE9C4B" w14:textId="77777777" w:rsidR="0085380A" w:rsidRDefault="00000000">
      <w:pPr>
        <w:spacing w:after="120" w:line="276" w:lineRule="auto"/>
      </w:pPr>
      <w:r>
        <w:t xml:space="preserve">If the Cross-Tenant Access Policy capability has not yet appeared in a tenant, </w:t>
      </w:r>
      <w:r>
        <w:rPr>
          <w:rFonts w:ascii="Consolas" w:eastAsia="Consolas" w:hAnsi="Consolas" w:cs="Consolas"/>
          <w:sz w:val="19"/>
          <w:szCs w:val="19"/>
        </w:rPr>
        <w:t>Set-CrossCloudFreeBusy.ps1 -Mode Legacy</w:t>
      </w:r>
      <w:r>
        <w:t xml:space="preserve"> configures the classic organisation relationship with the correct cross-cloud endpoints: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45"/>
        <w:gridCol w:w="2310"/>
        <w:gridCol w:w="5966"/>
      </w:tblGrid>
      <w:tr w:rsidR="0085380A" w14:paraId="44DE9C4F" w14:textId="77777777">
        <w:tblPrEx>
          <w:tblCellMar>
            <w:top w:w="0" w:type="dxa"/>
            <w:bottom w:w="0" w:type="dxa"/>
          </w:tblCellMar>
        </w:tblPrEx>
        <w:trPr>
          <w:tblHeader/>
        </w:trPr>
        <w:tc>
          <w:tcPr>
            <w:tcW w:w="1281" w:type="dxa"/>
            <w:shd w:val="clear" w:color="auto" w:fill="1F4E79"/>
            <w:tcMar>
              <w:top w:w="60" w:type="dxa"/>
              <w:left w:w="110" w:type="dxa"/>
              <w:bottom w:w="60" w:type="dxa"/>
              <w:right w:w="110" w:type="dxa"/>
            </w:tcMar>
          </w:tcPr>
          <w:p w14:paraId="44DE9C4C" w14:textId="77777777" w:rsidR="0085380A" w:rsidRDefault="00000000">
            <w:r>
              <w:rPr>
                <w:b/>
                <w:bCs/>
                <w:color w:val="FFFFFF"/>
                <w:sz w:val="19"/>
                <w:szCs w:val="19"/>
              </w:rPr>
              <w:t>Partner cloud</w:t>
            </w:r>
          </w:p>
        </w:tc>
        <w:tc>
          <w:tcPr>
            <w:tcW w:w="2168" w:type="dxa"/>
            <w:shd w:val="clear" w:color="auto" w:fill="1F4E79"/>
            <w:tcMar>
              <w:top w:w="60" w:type="dxa"/>
              <w:left w:w="110" w:type="dxa"/>
              <w:bottom w:w="60" w:type="dxa"/>
              <w:right w:w="110" w:type="dxa"/>
            </w:tcMar>
          </w:tcPr>
          <w:p w14:paraId="44DE9C4D" w14:textId="77777777" w:rsidR="0085380A" w:rsidRDefault="00000000">
            <w:r>
              <w:rPr>
                <w:b/>
                <w:bCs/>
                <w:color w:val="FFFFFF"/>
                <w:sz w:val="19"/>
                <w:szCs w:val="19"/>
              </w:rPr>
              <w:t>`TargetApplicationUri`</w:t>
            </w:r>
          </w:p>
        </w:tc>
        <w:tc>
          <w:tcPr>
            <w:tcW w:w="5911" w:type="dxa"/>
            <w:shd w:val="clear" w:color="auto" w:fill="1F4E79"/>
            <w:tcMar>
              <w:top w:w="60" w:type="dxa"/>
              <w:left w:w="110" w:type="dxa"/>
              <w:bottom w:w="60" w:type="dxa"/>
              <w:right w:w="110" w:type="dxa"/>
            </w:tcMar>
          </w:tcPr>
          <w:p w14:paraId="44DE9C4E" w14:textId="77777777" w:rsidR="0085380A" w:rsidRDefault="00000000">
            <w:r>
              <w:rPr>
                <w:b/>
                <w:bCs/>
                <w:color w:val="FFFFFF"/>
                <w:sz w:val="19"/>
                <w:szCs w:val="19"/>
              </w:rPr>
              <w:t>`TargetAutodiscoverEpr`</w:t>
            </w:r>
          </w:p>
        </w:tc>
      </w:tr>
      <w:tr w:rsidR="0085380A" w14:paraId="44DE9C53" w14:textId="77777777">
        <w:tblPrEx>
          <w:tblCellMar>
            <w:top w:w="0" w:type="dxa"/>
            <w:bottom w:w="0" w:type="dxa"/>
          </w:tblCellMar>
        </w:tblPrEx>
        <w:tc>
          <w:tcPr>
            <w:tcW w:w="1281" w:type="dxa"/>
            <w:tcMar>
              <w:top w:w="60" w:type="dxa"/>
              <w:left w:w="110" w:type="dxa"/>
              <w:bottom w:w="60" w:type="dxa"/>
              <w:right w:w="110" w:type="dxa"/>
            </w:tcMar>
          </w:tcPr>
          <w:p w14:paraId="44DE9C50" w14:textId="77777777" w:rsidR="0085380A" w:rsidRDefault="00000000">
            <w:r>
              <w:rPr>
                <w:sz w:val="19"/>
                <w:szCs w:val="19"/>
              </w:rPr>
              <w:t>GCC High</w:t>
            </w:r>
          </w:p>
        </w:tc>
        <w:tc>
          <w:tcPr>
            <w:tcW w:w="2168" w:type="dxa"/>
            <w:tcMar>
              <w:top w:w="60" w:type="dxa"/>
              <w:left w:w="110" w:type="dxa"/>
              <w:bottom w:w="60" w:type="dxa"/>
              <w:right w:w="110" w:type="dxa"/>
            </w:tcMar>
          </w:tcPr>
          <w:p w14:paraId="44DE9C51" w14:textId="77777777" w:rsidR="0085380A" w:rsidRDefault="00000000">
            <w:r>
              <w:rPr>
                <w:rFonts w:ascii="Consolas" w:eastAsia="Consolas" w:hAnsi="Consolas" w:cs="Consolas"/>
                <w:sz w:val="19"/>
                <w:szCs w:val="19"/>
              </w:rPr>
              <w:t>outlook.office365.us</w:t>
            </w:r>
          </w:p>
        </w:tc>
        <w:tc>
          <w:tcPr>
            <w:tcW w:w="5911" w:type="dxa"/>
            <w:tcMar>
              <w:top w:w="60" w:type="dxa"/>
              <w:left w:w="110" w:type="dxa"/>
              <w:bottom w:w="60" w:type="dxa"/>
              <w:right w:w="110" w:type="dxa"/>
            </w:tcMar>
          </w:tcPr>
          <w:p w14:paraId="44DE9C52" w14:textId="77777777" w:rsidR="0085380A" w:rsidRDefault="00000000">
            <w:r>
              <w:rPr>
                <w:rFonts w:ascii="Consolas" w:eastAsia="Consolas" w:hAnsi="Consolas" w:cs="Consolas"/>
                <w:sz w:val="19"/>
                <w:szCs w:val="19"/>
              </w:rPr>
              <w:t>https://autodiscover-s.office365.us/autodiscover/autodiscover.svc/WSSecurity</w:t>
            </w:r>
          </w:p>
        </w:tc>
      </w:tr>
      <w:tr w:rsidR="0085380A" w14:paraId="44DE9C57" w14:textId="77777777">
        <w:tblPrEx>
          <w:tblCellMar>
            <w:top w:w="0" w:type="dxa"/>
            <w:bottom w:w="0" w:type="dxa"/>
          </w:tblCellMar>
        </w:tblPrEx>
        <w:tc>
          <w:tcPr>
            <w:tcW w:w="1281" w:type="dxa"/>
            <w:tcMar>
              <w:top w:w="60" w:type="dxa"/>
              <w:left w:w="110" w:type="dxa"/>
              <w:bottom w:w="60" w:type="dxa"/>
              <w:right w:w="110" w:type="dxa"/>
            </w:tcMar>
          </w:tcPr>
          <w:p w14:paraId="44DE9C54" w14:textId="77777777" w:rsidR="0085380A" w:rsidRDefault="00000000">
            <w:r>
              <w:rPr>
                <w:sz w:val="19"/>
                <w:szCs w:val="19"/>
              </w:rPr>
              <w:t>Commercial</w:t>
            </w:r>
          </w:p>
        </w:tc>
        <w:tc>
          <w:tcPr>
            <w:tcW w:w="2168" w:type="dxa"/>
            <w:tcMar>
              <w:top w:w="60" w:type="dxa"/>
              <w:left w:w="110" w:type="dxa"/>
              <w:bottom w:w="60" w:type="dxa"/>
              <w:right w:w="110" w:type="dxa"/>
            </w:tcMar>
          </w:tcPr>
          <w:p w14:paraId="44DE9C55" w14:textId="77777777" w:rsidR="0085380A" w:rsidRDefault="00000000">
            <w:r>
              <w:rPr>
                <w:rFonts w:ascii="Consolas" w:eastAsia="Consolas" w:hAnsi="Consolas" w:cs="Consolas"/>
                <w:sz w:val="19"/>
                <w:szCs w:val="19"/>
              </w:rPr>
              <w:t>outlook.com</w:t>
            </w:r>
          </w:p>
        </w:tc>
        <w:tc>
          <w:tcPr>
            <w:tcW w:w="5911" w:type="dxa"/>
            <w:tcMar>
              <w:top w:w="60" w:type="dxa"/>
              <w:left w:w="110" w:type="dxa"/>
              <w:bottom w:w="60" w:type="dxa"/>
              <w:right w:w="110" w:type="dxa"/>
            </w:tcMar>
          </w:tcPr>
          <w:p w14:paraId="44DE9C56" w14:textId="77777777" w:rsidR="0085380A" w:rsidRDefault="00000000">
            <w:r>
              <w:rPr>
                <w:rFonts w:ascii="Consolas" w:eastAsia="Consolas" w:hAnsi="Consolas" w:cs="Consolas"/>
                <w:sz w:val="19"/>
                <w:szCs w:val="19"/>
              </w:rPr>
              <w:t>https://autodiscover-s.outlook.com/autodiscover/autodiscover.svc/WSSecurity</w:t>
            </w:r>
          </w:p>
        </w:tc>
      </w:tr>
    </w:tbl>
    <w:p w14:paraId="44DE9C58" w14:textId="77777777" w:rsidR="0085380A" w:rsidRDefault="0085380A">
      <w:pPr>
        <w:spacing w:after="160"/>
      </w:pPr>
    </w:p>
    <w:p w14:paraId="44DE9C59" w14:textId="77777777" w:rsidR="0085380A" w:rsidRDefault="00000000">
      <w:pPr>
        <w:spacing w:after="120" w:line="276" w:lineRule="auto"/>
      </w:pPr>
      <w:r>
        <w:t xml:space="preserve">This path is on a retirement clock and must be removed once the policy path is validated. </w:t>
      </w:r>
      <w:r>
        <w:rPr>
          <w:b/>
          <w:bCs/>
        </w:rPr>
        <w:t>Legacy configuration takes precedence over the new policy</w:t>
      </w:r>
      <w:r>
        <w:t xml:space="preserve">, so the migration sequence is: configure the policy, disable the organisation relationship and sharing policy, back up and remove the availability address spaces, test, then remove the legacy objects permanently. </w:t>
      </w:r>
      <w:r>
        <w:rPr>
          <w:rFonts w:ascii="Consolas" w:eastAsia="Consolas" w:hAnsi="Consolas" w:cs="Consolas"/>
          <w:sz w:val="19"/>
          <w:szCs w:val="19"/>
        </w:rPr>
        <w:t>-Mode AuditOnly</w:t>
      </w:r>
      <w:r>
        <w:t xml:space="preserve"> inventories what exists today without changing anything.</w:t>
      </w:r>
    </w:p>
    <w:p w14:paraId="44DE9C5A" w14:textId="77777777" w:rsidR="0085380A" w:rsidRDefault="00000000">
      <w:pPr>
        <w:pStyle w:val="Heading2"/>
        <w:keepNext/>
        <w:spacing w:before="260" w:after="140"/>
      </w:pPr>
      <w:bookmarkStart w:id="14" w:name="_Toc239065936"/>
      <w:r>
        <w:t>10.3 Timeline</w:t>
      </w:r>
      <w:bookmarkEnd w:id="14"/>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71"/>
        <w:gridCol w:w="7589"/>
      </w:tblGrid>
      <w:tr w:rsidR="0085380A" w14:paraId="44DE9C5D" w14:textId="77777777">
        <w:tblPrEx>
          <w:tblCellMar>
            <w:top w:w="0" w:type="dxa"/>
            <w:bottom w:w="0" w:type="dxa"/>
          </w:tblCellMar>
        </w:tblPrEx>
        <w:trPr>
          <w:tblHeader/>
        </w:trPr>
        <w:tc>
          <w:tcPr>
            <w:tcW w:w="1771" w:type="dxa"/>
            <w:shd w:val="clear" w:color="auto" w:fill="1F4E79"/>
            <w:tcMar>
              <w:top w:w="60" w:type="dxa"/>
              <w:left w:w="110" w:type="dxa"/>
              <w:bottom w:w="60" w:type="dxa"/>
              <w:right w:w="110" w:type="dxa"/>
            </w:tcMar>
          </w:tcPr>
          <w:p w14:paraId="44DE9C5B" w14:textId="77777777" w:rsidR="0085380A" w:rsidRDefault="00000000">
            <w:r>
              <w:rPr>
                <w:b/>
                <w:bCs/>
                <w:color w:val="FFFFFF"/>
                <w:sz w:val="19"/>
                <w:szCs w:val="19"/>
              </w:rPr>
              <w:t>Date</w:t>
            </w:r>
          </w:p>
        </w:tc>
        <w:tc>
          <w:tcPr>
            <w:tcW w:w="7589" w:type="dxa"/>
            <w:shd w:val="clear" w:color="auto" w:fill="1F4E79"/>
            <w:tcMar>
              <w:top w:w="60" w:type="dxa"/>
              <w:left w:w="110" w:type="dxa"/>
              <w:bottom w:w="60" w:type="dxa"/>
              <w:right w:w="110" w:type="dxa"/>
            </w:tcMar>
          </w:tcPr>
          <w:p w14:paraId="44DE9C5C" w14:textId="77777777" w:rsidR="0085380A" w:rsidRDefault="00000000">
            <w:r>
              <w:rPr>
                <w:b/>
                <w:bCs/>
                <w:color w:val="FFFFFF"/>
                <w:sz w:val="19"/>
                <w:szCs w:val="19"/>
              </w:rPr>
              <w:t>Event</w:t>
            </w:r>
          </w:p>
        </w:tc>
      </w:tr>
      <w:tr w:rsidR="0085380A" w14:paraId="44DE9C60" w14:textId="77777777">
        <w:tblPrEx>
          <w:tblCellMar>
            <w:top w:w="0" w:type="dxa"/>
            <w:bottom w:w="0" w:type="dxa"/>
          </w:tblCellMar>
        </w:tblPrEx>
        <w:tc>
          <w:tcPr>
            <w:tcW w:w="1771" w:type="dxa"/>
            <w:tcMar>
              <w:top w:w="60" w:type="dxa"/>
              <w:left w:w="110" w:type="dxa"/>
              <w:bottom w:w="60" w:type="dxa"/>
              <w:right w:w="110" w:type="dxa"/>
            </w:tcMar>
          </w:tcPr>
          <w:p w14:paraId="44DE9C5E" w14:textId="77777777" w:rsidR="0085380A" w:rsidRDefault="00000000">
            <w:r>
              <w:rPr>
                <w:sz w:val="19"/>
                <w:szCs w:val="19"/>
              </w:rPr>
              <w:t>Sept 2026</w:t>
            </w:r>
          </w:p>
        </w:tc>
        <w:tc>
          <w:tcPr>
            <w:tcW w:w="7589" w:type="dxa"/>
            <w:tcMar>
              <w:top w:w="60" w:type="dxa"/>
              <w:left w:w="110" w:type="dxa"/>
              <w:bottom w:w="60" w:type="dxa"/>
              <w:right w:w="110" w:type="dxa"/>
            </w:tcMar>
          </w:tcPr>
          <w:p w14:paraId="44DE9C5F" w14:textId="77777777" w:rsidR="0085380A" w:rsidRDefault="00000000">
            <w:r>
              <w:rPr>
                <w:sz w:val="19"/>
                <w:szCs w:val="19"/>
              </w:rPr>
              <w:t>Cross-Tenant Access Policy sharing capability reaches GCC High and DoD</w:t>
            </w:r>
          </w:p>
        </w:tc>
      </w:tr>
      <w:tr w:rsidR="0085380A" w14:paraId="44DE9C63" w14:textId="77777777">
        <w:tblPrEx>
          <w:tblCellMar>
            <w:top w:w="0" w:type="dxa"/>
            <w:bottom w:w="0" w:type="dxa"/>
          </w:tblCellMar>
        </w:tblPrEx>
        <w:tc>
          <w:tcPr>
            <w:tcW w:w="1771" w:type="dxa"/>
            <w:tcMar>
              <w:top w:w="60" w:type="dxa"/>
              <w:left w:w="110" w:type="dxa"/>
              <w:bottom w:w="60" w:type="dxa"/>
              <w:right w:w="110" w:type="dxa"/>
            </w:tcMar>
          </w:tcPr>
          <w:p w14:paraId="44DE9C61" w14:textId="77777777" w:rsidR="0085380A" w:rsidRDefault="00000000">
            <w:r>
              <w:rPr>
                <w:b/>
                <w:bCs/>
                <w:sz w:val="19"/>
                <w:szCs w:val="19"/>
              </w:rPr>
              <w:t>1 Oct 2026</w:t>
            </w:r>
          </w:p>
        </w:tc>
        <w:tc>
          <w:tcPr>
            <w:tcW w:w="7589" w:type="dxa"/>
            <w:tcMar>
              <w:top w:w="60" w:type="dxa"/>
              <w:left w:w="110" w:type="dxa"/>
              <w:bottom w:w="60" w:type="dxa"/>
              <w:right w:w="110" w:type="dxa"/>
            </w:tcMar>
          </w:tcPr>
          <w:p w14:paraId="44DE9C62" w14:textId="77777777" w:rsidR="0085380A" w:rsidRDefault="00000000">
            <w:r>
              <w:rPr>
                <w:sz w:val="19"/>
                <w:szCs w:val="19"/>
              </w:rPr>
              <w:t>EWS-backed cross-tenant sharing begins gradual disablement</w:t>
            </w:r>
          </w:p>
        </w:tc>
      </w:tr>
      <w:tr w:rsidR="0085380A" w14:paraId="44DE9C66" w14:textId="77777777">
        <w:tblPrEx>
          <w:tblCellMar>
            <w:top w:w="0" w:type="dxa"/>
            <w:bottom w:w="0" w:type="dxa"/>
          </w:tblCellMar>
        </w:tblPrEx>
        <w:tc>
          <w:tcPr>
            <w:tcW w:w="1771" w:type="dxa"/>
            <w:tcMar>
              <w:top w:w="60" w:type="dxa"/>
              <w:left w:w="110" w:type="dxa"/>
              <w:bottom w:w="60" w:type="dxa"/>
              <w:right w:w="110" w:type="dxa"/>
            </w:tcMar>
          </w:tcPr>
          <w:p w14:paraId="44DE9C64" w14:textId="77777777" w:rsidR="0085380A" w:rsidRDefault="00000000">
            <w:r>
              <w:rPr>
                <w:b/>
                <w:bCs/>
                <w:sz w:val="19"/>
                <w:szCs w:val="19"/>
              </w:rPr>
              <w:t>1 Apr 2027</w:t>
            </w:r>
          </w:p>
        </w:tc>
        <w:tc>
          <w:tcPr>
            <w:tcW w:w="7589" w:type="dxa"/>
            <w:tcMar>
              <w:top w:w="60" w:type="dxa"/>
              <w:left w:w="110" w:type="dxa"/>
              <w:bottom w:w="60" w:type="dxa"/>
              <w:right w:w="110" w:type="dxa"/>
            </w:tcMar>
          </w:tcPr>
          <w:p w14:paraId="44DE9C65" w14:textId="77777777" w:rsidR="0085380A" w:rsidRDefault="00000000">
            <w:r>
              <w:rPr>
                <w:sz w:val="19"/>
                <w:szCs w:val="19"/>
              </w:rPr>
              <w:t>EWS shutdown complete — legacy path stops working entirely</w:t>
            </w:r>
          </w:p>
        </w:tc>
      </w:tr>
    </w:tbl>
    <w:p w14:paraId="44DE9C67" w14:textId="77777777" w:rsidR="0085380A" w:rsidRDefault="0085380A">
      <w:pPr>
        <w:spacing w:after="160"/>
      </w:pPr>
    </w:p>
    <w:p w14:paraId="44DE9C68" w14:textId="77777777" w:rsidR="0085380A" w:rsidRDefault="00000000">
      <w:pPr>
        <w:spacing w:after="120" w:line="276" w:lineRule="auto"/>
      </w:pPr>
      <w:r>
        <w:t>Given the September GCC High rollout, validate capability availability in both tenants first, and treat the legacy path as a fallback with a hard expiry rather than a parallel option.</w:t>
      </w:r>
    </w:p>
    <w:p w14:paraId="44DE9C69" w14:textId="77777777" w:rsidR="0085380A" w:rsidRDefault="0085380A">
      <w:pPr>
        <w:pBdr>
          <w:bottom w:val="single" w:sz="6" w:space="6" w:color="BFBFBF"/>
        </w:pBdr>
        <w:spacing w:before="100" w:after="200"/>
      </w:pPr>
    </w:p>
    <w:p w14:paraId="44DE9C6A" w14:textId="77777777" w:rsidR="0085380A" w:rsidRDefault="00000000">
      <w:pPr>
        <w:pStyle w:val="Heading1"/>
        <w:keepNext/>
        <w:spacing w:before="360" w:after="140"/>
      </w:pPr>
      <w:bookmarkStart w:id="15" w:name="_Toc239065937"/>
      <w:r>
        <w:t>11. Teams federation and cross-cloud meetings</w:t>
      </w:r>
      <w:bookmarkEnd w:id="15"/>
    </w:p>
    <w:p w14:paraId="44DE9C6B" w14:textId="77777777" w:rsidR="0085380A" w:rsidRDefault="00000000">
      <w:pPr>
        <w:spacing w:after="120" w:line="276" w:lineRule="auto"/>
      </w:pPr>
      <w:r>
        <w:t>Two distinct mechanisms, both needed, both configured in each tenant.</w:t>
      </w:r>
    </w:p>
    <w:p w14:paraId="44DE9C6C" w14:textId="77777777" w:rsidR="0085380A" w:rsidRDefault="00000000">
      <w:pPr>
        <w:pStyle w:val="Heading2"/>
        <w:keepNext/>
        <w:spacing w:before="260" w:after="140"/>
      </w:pPr>
      <w:bookmarkStart w:id="16" w:name="_Toc239065938"/>
      <w:r>
        <w:t>11.1 Chat — external access with a domain allow list</w:t>
      </w:r>
      <w:bookmarkEnd w:id="16"/>
    </w:p>
    <w:p w14:paraId="44DE9C6D" w14:textId="77777777" w:rsidR="0085380A" w:rsidRDefault="00000000">
      <w:pPr>
        <w:pStyle w:val="ListParagraph"/>
        <w:numPr>
          <w:ilvl w:val="0"/>
          <w:numId w:val="5"/>
        </w:numPr>
        <w:spacing w:after="60" w:line="276" w:lineRule="auto"/>
      </w:pPr>
      <w:r>
        <w:rPr>
          <w:rFonts w:ascii="Consolas" w:eastAsia="Consolas" w:hAnsi="Consolas" w:cs="Consolas"/>
          <w:sz w:val="19"/>
          <w:szCs w:val="19"/>
        </w:rPr>
        <w:t>AllowFederatedUsers = $true</w:t>
      </w:r>
    </w:p>
    <w:p w14:paraId="44DE9C6E" w14:textId="77777777" w:rsidR="0085380A" w:rsidRDefault="00000000">
      <w:pPr>
        <w:pStyle w:val="ListParagraph"/>
        <w:numPr>
          <w:ilvl w:val="0"/>
          <w:numId w:val="5"/>
        </w:numPr>
        <w:spacing w:after="60" w:line="276" w:lineRule="auto"/>
      </w:pPr>
      <w:r>
        <w:rPr>
          <w:rFonts w:ascii="Consolas" w:eastAsia="Consolas" w:hAnsi="Consolas" w:cs="Consolas"/>
          <w:sz w:val="19"/>
          <w:szCs w:val="19"/>
        </w:rPr>
        <w:lastRenderedPageBreak/>
        <w:t>AllowedDomains</w:t>
      </w:r>
      <w:r>
        <w:t xml:space="preserve"> = the partner's SMTP domains only</w:t>
      </w:r>
    </w:p>
    <w:p w14:paraId="44DE9C6F" w14:textId="77777777" w:rsidR="0085380A" w:rsidRDefault="00000000">
      <w:pPr>
        <w:pStyle w:val="ListParagraph"/>
        <w:numPr>
          <w:ilvl w:val="0"/>
          <w:numId w:val="5"/>
        </w:numPr>
        <w:spacing w:after="60" w:line="276" w:lineRule="auto"/>
      </w:pPr>
      <w:r>
        <w:rPr>
          <w:rFonts w:ascii="Consolas" w:eastAsia="Consolas" w:hAnsi="Consolas" w:cs="Consolas"/>
          <w:sz w:val="19"/>
          <w:szCs w:val="19"/>
        </w:rPr>
        <w:t>AllowPublicUsers = $false</w:t>
      </w:r>
      <w:r>
        <w:t xml:space="preserve">, </w:t>
      </w:r>
      <w:r>
        <w:rPr>
          <w:rFonts w:ascii="Consolas" w:eastAsia="Consolas" w:hAnsi="Consolas" w:cs="Consolas"/>
          <w:sz w:val="19"/>
          <w:szCs w:val="19"/>
        </w:rPr>
        <w:t>AllowTeamsConsumer = $false</w:t>
      </w:r>
      <w:r>
        <w:t xml:space="preserve">, </w:t>
      </w:r>
      <w:r>
        <w:rPr>
          <w:rFonts w:ascii="Consolas" w:eastAsia="Consolas" w:hAnsi="Consolas" w:cs="Consolas"/>
          <w:sz w:val="19"/>
          <w:szCs w:val="19"/>
        </w:rPr>
        <w:t>AllowTeamsConsumerInbound = $false</w:t>
      </w:r>
      <w:r>
        <w:t xml:space="preserve"> (consumer Teams federation is unavailable in GCC High in any case)</w:t>
      </w:r>
    </w:p>
    <w:p w14:paraId="44DE9C70" w14:textId="77777777" w:rsidR="0085380A" w:rsidRDefault="00000000">
      <w:pPr>
        <w:pStyle w:val="ListParagraph"/>
        <w:numPr>
          <w:ilvl w:val="0"/>
          <w:numId w:val="5"/>
        </w:numPr>
        <w:spacing w:after="60" w:line="276" w:lineRule="auto"/>
      </w:pPr>
      <w:r>
        <w:rPr>
          <w:rFonts w:ascii="Consolas" w:eastAsia="Consolas" w:hAnsi="Consolas" w:cs="Consolas"/>
          <w:sz w:val="19"/>
          <w:szCs w:val="19"/>
        </w:rPr>
        <w:t>BlockAllSubdomains = $true</w:t>
      </w:r>
    </w:p>
    <w:p w14:paraId="44DE9C71" w14:textId="77777777" w:rsidR="0085380A" w:rsidRDefault="00000000">
      <w:pPr>
        <w:spacing w:after="120" w:line="276" w:lineRule="auto"/>
      </w:pPr>
      <w:r>
        <w:t xml:space="preserve">Open federation is not used. In a CMMC environment the external communication surface should be enumerable and reviewable, and an allow list is what makes that possible. Where only part of the organisation should federate, the optional external access </w:t>
      </w:r>
      <w:r>
        <w:rPr>
          <w:b/>
          <w:bCs/>
        </w:rPr>
        <w:t>policy</w:t>
      </w:r>
      <w:r>
        <w:t xml:space="preserve"> assigned to a group narrows it further, so tenant-wide federation is enabled but user-level permission is granted deliberately.</w:t>
      </w:r>
    </w:p>
    <w:p w14:paraId="44DE9C72" w14:textId="77777777" w:rsidR="0085380A" w:rsidRDefault="00000000">
      <w:pPr>
        <w:pStyle w:val="Heading2"/>
        <w:keepNext/>
        <w:spacing w:before="260" w:after="140"/>
      </w:pPr>
      <w:bookmarkStart w:id="17" w:name="_Toc239065939"/>
      <w:r>
        <w:t>11.2 Meetings — cross-cloud meeting connections</w:t>
      </w:r>
      <w:bookmarkEnd w:id="17"/>
    </w:p>
    <w:p w14:paraId="44DE9C73" w14:textId="77777777" w:rsidR="0085380A" w:rsidRDefault="00000000">
      <w:pPr>
        <w:spacing w:after="120" w:line="276" w:lineRule="auto"/>
      </w:pPr>
      <w:r>
        <w:t>Teams provides a dedicated cross-cloud meeting connection for authenticated meeting join between clouds. It is configured in the Teams admin center and is independent of the external access settings above:</w:t>
      </w:r>
    </w:p>
    <w:p w14:paraId="44DE9C74" w14:textId="77777777" w:rsidR="0085380A" w:rsidRDefault="00000000">
      <w:pPr>
        <w:pStyle w:val="ListParagraph"/>
        <w:numPr>
          <w:ilvl w:val="0"/>
          <w:numId w:val="7"/>
        </w:numPr>
        <w:spacing w:after="60" w:line="276" w:lineRule="auto"/>
      </w:pPr>
      <w:r>
        <w:rPr>
          <w:b/>
          <w:bCs/>
        </w:rPr>
        <w:t>Meetings → Meeting settings → Microsoft cloud settings</w:t>
      </w:r>
      <w:r>
        <w:t xml:space="preserve"> — turn on the partner Azure cloud.</w:t>
      </w:r>
    </w:p>
    <w:p w14:paraId="44DE9C75" w14:textId="77777777" w:rsidR="0085380A" w:rsidRDefault="00000000">
      <w:pPr>
        <w:pStyle w:val="ListParagraph"/>
        <w:numPr>
          <w:ilvl w:val="0"/>
          <w:numId w:val="7"/>
        </w:numPr>
        <w:spacing w:after="60" w:line="276" w:lineRule="auto"/>
      </w:pPr>
      <w:r>
        <w:rPr>
          <w:b/>
          <w:bCs/>
        </w:rPr>
        <w:t>Meetings → Meeting settings → Cross-cloud meetings → Add</w:t>
      </w:r>
      <w:r>
        <w:t xml:space="preserve"> — add the partner by tenant ID (or FQDN) and set inbound and outbound connections.</w:t>
      </w:r>
    </w:p>
    <w:p w14:paraId="44DE9C76" w14:textId="77777777" w:rsidR="0085380A" w:rsidRDefault="00000000">
      <w:pPr>
        <w:pStyle w:val="ListParagraph"/>
        <w:numPr>
          <w:ilvl w:val="0"/>
          <w:numId w:val="7"/>
        </w:numPr>
        <w:spacing w:after="60" w:line="276" w:lineRule="auto"/>
      </w:pPr>
      <w:r>
        <w:t>Confirm the matching Microsoft Entra cross-tenant access settings, which §10.1 already establishes for availability.</w:t>
      </w:r>
    </w:p>
    <w:p w14:paraId="44DE9C77" w14:textId="77777777" w:rsidR="0085380A" w:rsidRDefault="00000000">
      <w:pPr>
        <w:spacing w:after="120" w:line="276" w:lineRule="auto"/>
      </w:pPr>
      <w:r>
        <w:t xml:space="preserve">Both organisations must configure this reciprocally. It lets partner users join as authenticated participants without guest accounts. Two limitations worth knowing before the pilot: VDI optimisation must be SlimCore-based (WebRTC-based optimisation does not support cross-cloud meetings), and Conditional Access can reject the partner's authentication with </w:t>
      </w:r>
      <w:r>
        <w:rPr>
          <w:rFonts w:ascii="Consolas" w:eastAsia="Consolas" w:hAnsi="Consolas" w:cs="Consolas"/>
          <w:sz w:val="19"/>
          <w:szCs w:val="19"/>
        </w:rPr>
        <w:t>AADSTS90072</w:t>
      </w:r>
      <w:r>
        <w:t xml:space="preserve"> if the two tenants' policies are not aligned.</w:t>
      </w:r>
    </w:p>
    <w:p w14:paraId="44DE9C78" w14:textId="77777777" w:rsidR="0085380A" w:rsidRDefault="00000000">
      <w:pPr>
        <w:pStyle w:val="Heading2"/>
        <w:keepNext/>
        <w:spacing w:before="260" w:after="140"/>
      </w:pPr>
      <w:bookmarkStart w:id="18" w:name="_Toc239065940"/>
      <w:r>
        <w:t>11.3 What is not available</w:t>
      </w:r>
      <w:bookmarkEnd w:id="18"/>
    </w:p>
    <w:p w14:paraId="44DE9C79" w14:textId="77777777" w:rsidR="0085380A" w:rsidRDefault="00000000">
      <w:pPr>
        <w:spacing w:after="120" w:line="276" w:lineRule="auto"/>
      </w:pPr>
      <w:r>
        <w:t>Shared Channels (B2B direct connect) are not supported cross-cloud. Where deep, persistent collaboration on shared artefacts is needed, the answer is a guest (B2B) account under cross-tenant access settings, not a shared channel — and that is a separate decision from this design, with its own review.</w:t>
      </w:r>
    </w:p>
    <w:p w14:paraId="44DE9C7A" w14:textId="77777777" w:rsidR="0085380A" w:rsidRDefault="00000000">
      <w:pPr>
        <w:spacing w:after="120" w:line="276" w:lineRule="auto"/>
      </w:pPr>
      <w:r>
        <w:t>Federation changes can take up to 24 hours to propagate; plan the validation window accordingly.</w:t>
      </w:r>
    </w:p>
    <w:p w14:paraId="44DE9C7B" w14:textId="77777777" w:rsidR="0085380A" w:rsidRDefault="0085380A">
      <w:pPr>
        <w:pBdr>
          <w:bottom w:val="single" w:sz="6" w:space="6" w:color="BFBFBF"/>
        </w:pBdr>
        <w:spacing w:before="100" w:after="200"/>
      </w:pPr>
    </w:p>
    <w:p w14:paraId="44DE9C7C" w14:textId="77777777" w:rsidR="0085380A" w:rsidRDefault="00000000">
      <w:pPr>
        <w:pStyle w:val="Heading1"/>
        <w:keepNext/>
        <w:spacing w:before="360" w:after="140"/>
      </w:pPr>
      <w:bookmarkStart w:id="19" w:name="_Toc239065941"/>
      <w:r>
        <w:t>12. Monitoring, alerting and audit evidence</w:t>
      </w:r>
      <w:bookmarkEnd w:id="19"/>
    </w:p>
    <w:p w14:paraId="44DE9C7D" w14:textId="77777777" w:rsidR="0085380A" w:rsidRDefault="00000000">
      <w:pPr>
        <w:spacing w:after="120" w:line="276" w:lineRule="auto"/>
      </w:pPr>
      <w:r>
        <w:rPr>
          <w:b/>
          <w:bCs/>
        </w:rPr>
        <w:t>Structured logging.</w:t>
      </w:r>
      <w:r>
        <w:t xml:space="preserve"> Every significant event is a single-line JSON record carrying a run ID, flow, action, anchor and outcome. Automation job logs and job streams are forwarded to Log Analytics by diagnostic setting, so operational and audit queries run against the same data.</w:t>
      </w:r>
    </w:p>
    <w:p w14:paraId="44DE9C7E" w14:textId="77777777" w:rsidR="0085380A" w:rsidRDefault="00000000">
      <w:pPr>
        <w:spacing w:after="120" w:line="276" w:lineRule="auto"/>
      </w:pPr>
      <w:r>
        <w:rPr>
          <w:b/>
          <w:bCs/>
        </w:rPr>
        <w:t>Run report.</w:t>
      </w:r>
      <w:r>
        <w:t xml:space="preserve"> Every run — including preview runs — writes a CSV of every operation (run ID, flow, action, anchor, address, status, detail, UTC timestamp) to a storage container with a legal-hold-style immutability policy and append-protection. This is the artefact to hand an assessor who asks what crossed the boundary and when.</w:t>
      </w:r>
    </w:p>
    <w:p w14:paraId="44DE9C7F" w14:textId="77777777" w:rsidR="0085380A" w:rsidRDefault="00000000">
      <w:pPr>
        <w:spacing w:after="120" w:line="276" w:lineRule="auto"/>
      </w:pPr>
      <w:r>
        <w:rPr>
          <w:b/>
          <w:bCs/>
        </w:rPr>
        <w:t>Alerts.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61"/>
        <w:gridCol w:w="5537"/>
        <w:gridCol w:w="862"/>
      </w:tblGrid>
      <w:tr w:rsidR="0085380A" w14:paraId="44DE9C83" w14:textId="77777777">
        <w:tblPrEx>
          <w:tblCellMar>
            <w:top w:w="0" w:type="dxa"/>
            <w:bottom w:w="0" w:type="dxa"/>
          </w:tblCellMar>
        </w:tblPrEx>
        <w:trPr>
          <w:tblHeader/>
        </w:trPr>
        <w:tc>
          <w:tcPr>
            <w:tcW w:w="2995" w:type="dxa"/>
            <w:shd w:val="clear" w:color="auto" w:fill="1F4E79"/>
            <w:tcMar>
              <w:top w:w="60" w:type="dxa"/>
              <w:left w:w="110" w:type="dxa"/>
              <w:bottom w:w="60" w:type="dxa"/>
              <w:right w:w="110" w:type="dxa"/>
            </w:tcMar>
          </w:tcPr>
          <w:p w14:paraId="44DE9C80" w14:textId="77777777" w:rsidR="0085380A" w:rsidRDefault="00000000">
            <w:r>
              <w:rPr>
                <w:b/>
                <w:bCs/>
                <w:color w:val="FFFFFF"/>
                <w:sz w:val="19"/>
                <w:szCs w:val="19"/>
              </w:rPr>
              <w:lastRenderedPageBreak/>
              <w:t>Alert</w:t>
            </w:r>
          </w:p>
        </w:tc>
        <w:tc>
          <w:tcPr>
            <w:tcW w:w="5616" w:type="dxa"/>
            <w:shd w:val="clear" w:color="auto" w:fill="1F4E79"/>
            <w:tcMar>
              <w:top w:w="60" w:type="dxa"/>
              <w:left w:w="110" w:type="dxa"/>
              <w:bottom w:w="60" w:type="dxa"/>
              <w:right w:w="110" w:type="dxa"/>
            </w:tcMar>
          </w:tcPr>
          <w:p w14:paraId="44DE9C81" w14:textId="77777777" w:rsidR="0085380A" w:rsidRDefault="00000000">
            <w:r>
              <w:rPr>
                <w:b/>
                <w:bCs/>
                <w:color w:val="FFFFFF"/>
                <w:sz w:val="19"/>
                <w:szCs w:val="19"/>
              </w:rPr>
              <w:t>Condition</w:t>
            </w:r>
          </w:p>
        </w:tc>
        <w:tc>
          <w:tcPr>
            <w:tcW w:w="749" w:type="dxa"/>
            <w:shd w:val="clear" w:color="auto" w:fill="1F4E79"/>
            <w:tcMar>
              <w:top w:w="60" w:type="dxa"/>
              <w:left w:w="110" w:type="dxa"/>
              <w:bottom w:w="60" w:type="dxa"/>
              <w:right w:w="110" w:type="dxa"/>
            </w:tcMar>
          </w:tcPr>
          <w:p w14:paraId="44DE9C82" w14:textId="77777777" w:rsidR="0085380A" w:rsidRDefault="00000000">
            <w:r>
              <w:rPr>
                <w:b/>
                <w:bCs/>
                <w:color w:val="FFFFFF"/>
                <w:sz w:val="19"/>
                <w:szCs w:val="19"/>
              </w:rPr>
              <w:t>Severity</w:t>
            </w:r>
          </w:p>
        </w:tc>
      </w:tr>
      <w:tr w:rsidR="0085380A" w14:paraId="44DE9C87" w14:textId="77777777">
        <w:tblPrEx>
          <w:tblCellMar>
            <w:top w:w="0" w:type="dxa"/>
            <w:bottom w:w="0" w:type="dxa"/>
          </w:tblCellMar>
        </w:tblPrEx>
        <w:tc>
          <w:tcPr>
            <w:tcW w:w="2995" w:type="dxa"/>
            <w:tcMar>
              <w:top w:w="60" w:type="dxa"/>
              <w:left w:w="110" w:type="dxa"/>
              <w:bottom w:w="60" w:type="dxa"/>
              <w:right w:w="110" w:type="dxa"/>
            </w:tcMar>
          </w:tcPr>
          <w:p w14:paraId="44DE9C84" w14:textId="77777777" w:rsidR="0085380A" w:rsidRDefault="00000000">
            <w:r>
              <w:rPr>
                <w:sz w:val="19"/>
                <w:szCs w:val="19"/>
              </w:rPr>
              <w:t>Run failure or safety-gate block</w:t>
            </w:r>
          </w:p>
        </w:tc>
        <w:tc>
          <w:tcPr>
            <w:tcW w:w="5616" w:type="dxa"/>
            <w:tcMar>
              <w:top w:w="60" w:type="dxa"/>
              <w:left w:w="110" w:type="dxa"/>
              <w:bottom w:w="60" w:type="dxa"/>
              <w:right w:w="110" w:type="dxa"/>
            </w:tcMar>
          </w:tcPr>
          <w:p w14:paraId="44DE9C85" w14:textId="77777777" w:rsidR="0085380A" w:rsidRDefault="00000000">
            <w:r>
              <w:rPr>
                <w:sz w:val="19"/>
                <w:szCs w:val="19"/>
              </w:rPr>
              <w:t xml:space="preserve">Failed job, error stream, or </w:t>
            </w:r>
            <w:r>
              <w:rPr>
                <w:rFonts w:ascii="Consolas" w:eastAsia="Consolas" w:hAnsi="Consolas" w:cs="Consolas"/>
                <w:sz w:val="19"/>
                <w:szCs w:val="19"/>
              </w:rPr>
              <w:t>safety-gate</w:t>
            </w:r>
            <w:r>
              <w:rPr>
                <w:sz w:val="19"/>
                <w:szCs w:val="19"/>
              </w:rPr>
              <w:t xml:space="preserve"> in job output, within 1 hour</w:t>
            </w:r>
          </w:p>
        </w:tc>
        <w:tc>
          <w:tcPr>
            <w:tcW w:w="749" w:type="dxa"/>
            <w:tcMar>
              <w:top w:w="60" w:type="dxa"/>
              <w:left w:w="110" w:type="dxa"/>
              <w:bottom w:w="60" w:type="dxa"/>
              <w:right w:w="110" w:type="dxa"/>
            </w:tcMar>
          </w:tcPr>
          <w:p w14:paraId="44DE9C86" w14:textId="77777777" w:rsidR="0085380A" w:rsidRDefault="00000000">
            <w:r>
              <w:rPr>
                <w:sz w:val="19"/>
                <w:szCs w:val="19"/>
              </w:rPr>
              <w:t>1</w:t>
            </w:r>
          </w:p>
        </w:tc>
      </w:tr>
      <w:tr w:rsidR="0085380A" w14:paraId="44DE9C8B" w14:textId="77777777">
        <w:tblPrEx>
          <w:tblCellMar>
            <w:top w:w="0" w:type="dxa"/>
            <w:bottom w:w="0" w:type="dxa"/>
          </w:tblCellMar>
        </w:tblPrEx>
        <w:tc>
          <w:tcPr>
            <w:tcW w:w="2995" w:type="dxa"/>
            <w:tcMar>
              <w:top w:w="60" w:type="dxa"/>
              <w:left w:w="110" w:type="dxa"/>
              <w:bottom w:w="60" w:type="dxa"/>
              <w:right w:w="110" w:type="dxa"/>
            </w:tcMar>
          </w:tcPr>
          <w:p w14:paraId="44DE9C88" w14:textId="77777777" w:rsidR="0085380A" w:rsidRDefault="00000000">
            <w:r>
              <w:rPr>
                <w:sz w:val="19"/>
                <w:szCs w:val="19"/>
              </w:rPr>
              <w:t>Staleness</w:t>
            </w:r>
          </w:p>
        </w:tc>
        <w:tc>
          <w:tcPr>
            <w:tcW w:w="5616" w:type="dxa"/>
            <w:tcMar>
              <w:top w:w="60" w:type="dxa"/>
              <w:left w:w="110" w:type="dxa"/>
              <w:bottom w:w="60" w:type="dxa"/>
              <w:right w:w="110" w:type="dxa"/>
            </w:tcMar>
          </w:tcPr>
          <w:p w14:paraId="44DE9C89" w14:textId="77777777" w:rsidR="0085380A" w:rsidRDefault="00000000">
            <w:r>
              <w:rPr>
                <w:sz w:val="19"/>
                <w:szCs w:val="19"/>
              </w:rPr>
              <w:t>No successful run in 6 hours</w:t>
            </w:r>
          </w:p>
        </w:tc>
        <w:tc>
          <w:tcPr>
            <w:tcW w:w="749" w:type="dxa"/>
            <w:tcMar>
              <w:top w:w="60" w:type="dxa"/>
              <w:left w:w="110" w:type="dxa"/>
              <w:bottom w:w="60" w:type="dxa"/>
              <w:right w:w="110" w:type="dxa"/>
            </w:tcMar>
          </w:tcPr>
          <w:p w14:paraId="44DE9C8A" w14:textId="77777777" w:rsidR="0085380A" w:rsidRDefault="00000000">
            <w:r>
              <w:rPr>
                <w:sz w:val="19"/>
                <w:szCs w:val="19"/>
              </w:rPr>
              <w:t>2</w:t>
            </w:r>
          </w:p>
        </w:tc>
      </w:tr>
      <w:tr w:rsidR="0085380A" w14:paraId="44DE9C8F" w14:textId="77777777">
        <w:tblPrEx>
          <w:tblCellMar>
            <w:top w:w="0" w:type="dxa"/>
            <w:bottom w:w="0" w:type="dxa"/>
          </w:tblCellMar>
        </w:tblPrEx>
        <w:tc>
          <w:tcPr>
            <w:tcW w:w="2995" w:type="dxa"/>
            <w:tcMar>
              <w:top w:w="60" w:type="dxa"/>
              <w:left w:w="110" w:type="dxa"/>
              <w:bottom w:w="60" w:type="dxa"/>
              <w:right w:w="110" w:type="dxa"/>
            </w:tcMar>
          </w:tcPr>
          <w:p w14:paraId="44DE9C8C" w14:textId="77777777" w:rsidR="0085380A" w:rsidRDefault="00000000">
            <w:r>
              <w:rPr>
                <w:sz w:val="19"/>
                <w:szCs w:val="19"/>
              </w:rPr>
              <w:t>Certificate expiry</w:t>
            </w:r>
          </w:p>
        </w:tc>
        <w:tc>
          <w:tcPr>
            <w:tcW w:w="5616" w:type="dxa"/>
            <w:tcMar>
              <w:top w:w="60" w:type="dxa"/>
              <w:left w:w="110" w:type="dxa"/>
              <w:bottom w:w="60" w:type="dxa"/>
              <w:right w:w="110" w:type="dxa"/>
            </w:tcMar>
          </w:tcPr>
          <w:p w14:paraId="44DE9C8D" w14:textId="77777777" w:rsidR="0085380A" w:rsidRDefault="00000000">
            <w:r>
              <w:rPr>
                <w:sz w:val="19"/>
                <w:szCs w:val="19"/>
              </w:rPr>
              <w:t>Warning at 45 days (pre-flight) and 30 days (run log)</w:t>
            </w:r>
          </w:p>
        </w:tc>
        <w:tc>
          <w:tcPr>
            <w:tcW w:w="749" w:type="dxa"/>
            <w:tcMar>
              <w:top w:w="60" w:type="dxa"/>
              <w:left w:w="110" w:type="dxa"/>
              <w:bottom w:w="60" w:type="dxa"/>
              <w:right w:w="110" w:type="dxa"/>
            </w:tcMar>
          </w:tcPr>
          <w:p w14:paraId="44DE9C8E" w14:textId="77777777" w:rsidR="0085380A" w:rsidRDefault="00000000">
            <w:r>
              <w:rPr>
                <w:sz w:val="19"/>
                <w:szCs w:val="19"/>
              </w:rPr>
              <w:t>3</w:t>
            </w:r>
          </w:p>
        </w:tc>
      </w:tr>
    </w:tbl>
    <w:p w14:paraId="44DE9C90" w14:textId="77777777" w:rsidR="0085380A" w:rsidRDefault="0085380A">
      <w:pPr>
        <w:spacing w:after="160"/>
      </w:pPr>
    </w:p>
    <w:p w14:paraId="44DE9C91" w14:textId="77777777" w:rsidR="0085380A" w:rsidRDefault="00000000">
      <w:pPr>
        <w:spacing w:after="120" w:line="276" w:lineRule="auto"/>
      </w:pPr>
      <w:r>
        <w:rPr>
          <w:b/>
          <w:bCs/>
        </w:rPr>
        <w:t>Useful queries.</w:t>
      </w:r>
    </w:p>
    <w:p w14:paraId="44DE9C92" w14:textId="77777777" w:rsidR="0085380A" w:rsidRDefault="00000000">
      <w:pPr>
        <w:shd w:val="clear" w:color="auto" w:fill="F2F4F7"/>
        <w:spacing w:before="60"/>
        <w:ind w:left="180" w:right="180"/>
      </w:pPr>
      <w:r>
        <w:rPr>
          <w:rFonts w:ascii="Consolas" w:eastAsia="Consolas" w:hAnsi="Consolas" w:cs="Consolas"/>
          <w:sz w:val="17"/>
          <w:szCs w:val="17"/>
        </w:rPr>
        <w:t>// Every object that crossed the boundary in the last 24 hours</w:t>
      </w:r>
    </w:p>
    <w:p w14:paraId="44DE9C93" w14:textId="77777777" w:rsidR="0085380A" w:rsidRDefault="00000000">
      <w:pPr>
        <w:shd w:val="clear" w:color="auto" w:fill="F2F4F7"/>
        <w:ind w:left="180" w:right="180"/>
      </w:pPr>
      <w:r>
        <w:rPr>
          <w:rFonts w:ascii="Consolas" w:eastAsia="Consolas" w:hAnsi="Consolas" w:cs="Consolas"/>
          <w:sz w:val="17"/>
          <w:szCs w:val="17"/>
        </w:rPr>
        <w:t>AzureDiagnostics</w:t>
      </w:r>
    </w:p>
    <w:p w14:paraId="44DE9C94" w14:textId="77777777" w:rsidR="0085380A" w:rsidRDefault="00000000">
      <w:pPr>
        <w:shd w:val="clear" w:color="auto" w:fill="F2F4F7"/>
        <w:ind w:left="180" w:right="180"/>
      </w:pPr>
      <w:r>
        <w:rPr>
          <w:rFonts w:ascii="Consolas" w:eastAsia="Consolas" w:hAnsi="Consolas" w:cs="Consolas"/>
          <w:sz w:val="17"/>
          <w:szCs w:val="17"/>
        </w:rPr>
        <w:t>| where ResourceProvider == "MICROSOFT.AUTOMATION" and Category == "JobStreams"</w:t>
      </w:r>
    </w:p>
    <w:p w14:paraId="44DE9C95" w14:textId="77777777" w:rsidR="0085380A" w:rsidRDefault="00000000">
      <w:pPr>
        <w:shd w:val="clear" w:color="auto" w:fill="F2F4F7"/>
        <w:ind w:left="180" w:right="180"/>
      </w:pPr>
      <w:r>
        <w:rPr>
          <w:rFonts w:ascii="Consolas" w:eastAsia="Consolas" w:hAnsi="Consolas" w:cs="Consolas"/>
          <w:sz w:val="17"/>
          <w:szCs w:val="17"/>
        </w:rPr>
        <w:t>| where RunbookName_s == "Invoke-GalSync"</w:t>
      </w:r>
    </w:p>
    <w:p w14:paraId="44DE9C96" w14:textId="77777777" w:rsidR="0085380A" w:rsidRDefault="00000000">
      <w:pPr>
        <w:shd w:val="clear" w:color="auto" w:fill="F2F4F7"/>
        <w:ind w:left="180" w:right="180"/>
      </w:pPr>
      <w:r>
        <w:rPr>
          <w:rFonts w:ascii="Consolas" w:eastAsia="Consolas" w:hAnsi="Consolas" w:cs="Consolas"/>
          <w:sz w:val="17"/>
          <w:szCs w:val="17"/>
        </w:rPr>
        <w:t>| extend p = parse_json(ResultDescription)</w:t>
      </w:r>
    </w:p>
    <w:p w14:paraId="44DE9C97" w14:textId="77777777" w:rsidR="0085380A" w:rsidRDefault="00000000">
      <w:pPr>
        <w:shd w:val="clear" w:color="auto" w:fill="F2F4F7"/>
        <w:ind w:left="180" w:right="180"/>
      </w:pPr>
      <w:r>
        <w:rPr>
          <w:rFonts w:ascii="Consolas" w:eastAsia="Consolas" w:hAnsi="Consolas" w:cs="Consolas"/>
          <w:sz w:val="17"/>
          <w:szCs w:val="17"/>
        </w:rPr>
        <w:t>| where isnotempty(p.action) and p.action !in ("plan","apply","safety-gate")</w:t>
      </w:r>
    </w:p>
    <w:p w14:paraId="44DE9C98" w14:textId="77777777" w:rsidR="0085380A" w:rsidRDefault="00000000">
      <w:pPr>
        <w:shd w:val="clear" w:color="auto" w:fill="F2F4F7"/>
        <w:spacing w:after="160"/>
        <w:ind w:left="180" w:right="180"/>
      </w:pPr>
      <w:r>
        <w:rPr>
          <w:rFonts w:ascii="Consolas" w:eastAsia="Consolas" w:hAnsi="Consolas" w:cs="Consolas"/>
          <w:sz w:val="17"/>
          <w:szCs w:val="17"/>
        </w:rPr>
        <w:t>| project TimeGenerated, run = p.runId, flow = p.flow, action = p.action, anchor = p.anchor</w:t>
      </w:r>
    </w:p>
    <w:p w14:paraId="44DE9C99" w14:textId="77777777" w:rsidR="0085380A" w:rsidRDefault="00000000">
      <w:pPr>
        <w:shd w:val="clear" w:color="auto" w:fill="F2F4F7"/>
        <w:spacing w:before="60"/>
        <w:ind w:left="180" w:right="180"/>
      </w:pPr>
      <w:r>
        <w:rPr>
          <w:rFonts w:ascii="Consolas" w:eastAsia="Consolas" w:hAnsi="Consolas" w:cs="Consolas"/>
          <w:sz w:val="17"/>
          <w:szCs w:val="17"/>
        </w:rPr>
        <w:t>// Exclusion reasons over time - answers "why is this person not in the GAL"</w:t>
      </w:r>
    </w:p>
    <w:p w14:paraId="44DE9C9A" w14:textId="77777777" w:rsidR="0085380A" w:rsidRDefault="00000000">
      <w:pPr>
        <w:shd w:val="clear" w:color="auto" w:fill="F2F4F7"/>
        <w:ind w:left="180" w:right="180"/>
      </w:pPr>
      <w:r>
        <w:rPr>
          <w:rFonts w:ascii="Consolas" w:eastAsia="Consolas" w:hAnsi="Consolas" w:cs="Consolas"/>
          <w:sz w:val="17"/>
          <w:szCs w:val="17"/>
        </w:rPr>
        <w:t>AzureDiagnostics</w:t>
      </w:r>
    </w:p>
    <w:p w14:paraId="44DE9C9B" w14:textId="77777777" w:rsidR="0085380A" w:rsidRDefault="00000000">
      <w:pPr>
        <w:shd w:val="clear" w:color="auto" w:fill="F2F4F7"/>
        <w:ind w:left="180" w:right="180"/>
      </w:pPr>
      <w:r>
        <w:rPr>
          <w:rFonts w:ascii="Consolas" w:eastAsia="Consolas" w:hAnsi="Consolas" w:cs="Consolas"/>
          <w:sz w:val="17"/>
          <w:szCs w:val="17"/>
        </w:rPr>
        <w:t>| where RunbookName_s == "Invoke-GalSync"</w:t>
      </w:r>
    </w:p>
    <w:p w14:paraId="44DE9C9C" w14:textId="77777777" w:rsidR="0085380A" w:rsidRDefault="00000000">
      <w:pPr>
        <w:shd w:val="clear" w:color="auto" w:fill="F2F4F7"/>
        <w:ind w:left="180" w:right="180"/>
      </w:pPr>
      <w:r>
        <w:rPr>
          <w:rFonts w:ascii="Consolas" w:eastAsia="Consolas" w:hAnsi="Consolas" w:cs="Consolas"/>
          <w:sz w:val="17"/>
          <w:szCs w:val="17"/>
        </w:rPr>
        <w:t>| extend p = parse_json(ResultDescription)</w:t>
      </w:r>
    </w:p>
    <w:p w14:paraId="44DE9C9D" w14:textId="77777777" w:rsidR="0085380A" w:rsidRDefault="00000000">
      <w:pPr>
        <w:shd w:val="clear" w:color="auto" w:fill="F2F4F7"/>
        <w:ind w:left="180" w:right="180"/>
      </w:pPr>
      <w:r>
        <w:rPr>
          <w:rFonts w:ascii="Consolas" w:eastAsia="Consolas" w:hAnsi="Consolas" w:cs="Consolas"/>
          <w:sz w:val="17"/>
          <w:szCs w:val="17"/>
        </w:rPr>
        <w:t>| where p.message == "Source enumeration complete."</w:t>
      </w:r>
    </w:p>
    <w:p w14:paraId="44DE9C9E" w14:textId="77777777" w:rsidR="0085380A" w:rsidRDefault="00000000">
      <w:pPr>
        <w:shd w:val="clear" w:color="auto" w:fill="F2F4F7"/>
        <w:spacing w:after="160"/>
        <w:ind w:left="180" w:right="180"/>
      </w:pPr>
      <w:r>
        <w:rPr>
          <w:rFonts w:ascii="Consolas" w:eastAsia="Consolas" w:hAnsi="Consolas" w:cs="Consolas"/>
          <w:sz w:val="17"/>
          <w:szCs w:val="17"/>
        </w:rPr>
        <w:t>| project TimeGenerated, tenant = p.tenant, inScope = p.inScope, exclusions = p.exclusions</w:t>
      </w:r>
    </w:p>
    <w:p w14:paraId="44DE9C9F" w14:textId="77777777" w:rsidR="0085380A" w:rsidRDefault="0085380A">
      <w:pPr>
        <w:pBdr>
          <w:bottom w:val="single" w:sz="6" w:space="6" w:color="BFBFBF"/>
        </w:pBdr>
        <w:spacing w:before="100" w:after="200"/>
      </w:pPr>
    </w:p>
    <w:p w14:paraId="44DE9CA0" w14:textId="77777777" w:rsidR="0085380A" w:rsidRDefault="00000000">
      <w:pPr>
        <w:pStyle w:val="Heading1"/>
        <w:keepNext/>
        <w:spacing w:before="360" w:after="140"/>
      </w:pPr>
      <w:bookmarkStart w:id="20" w:name="_Toc239065942"/>
      <w:r>
        <w:t>13. Security and compliance</w:t>
      </w:r>
      <w:bookmarkEnd w:id="20"/>
    </w:p>
    <w:p w14:paraId="44DE9CA1" w14:textId="77777777" w:rsidR="0085380A" w:rsidRDefault="00000000">
      <w:pPr>
        <w:pStyle w:val="Heading2"/>
        <w:keepNext/>
        <w:spacing w:before="260" w:after="140"/>
      </w:pPr>
      <w:bookmarkStart w:id="21" w:name="_Toc239065943"/>
      <w:r>
        <w:t>13.1 Data flow characterisation</w:t>
      </w:r>
      <w:bookmarkEnd w:id="21"/>
    </w:p>
    <w:p w14:paraId="44DE9CA2" w14:textId="77777777" w:rsidR="0085380A" w:rsidRDefault="00000000">
      <w:pPr>
        <w:spacing w:after="120" w:line="276" w:lineRule="auto"/>
      </w:pPr>
      <w:r>
        <w:t xml:space="preserve">The synchronised payload is </w:t>
      </w:r>
      <w:r>
        <w:rPr>
          <w:b/>
          <w:bCs/>
        </w:rPr>
        <w:t>directory metadata</w:t>
      </w:r>
      <w:r>
        <w:t>: name, work email address, job title, department, company. It is not CUI in itself, and it is not technical data under ITAR. It is nevertheless treated as CUI-adjacent, because the combination of employer, department and title can reveal participation in a controlled programme. That judgement drives three design choices: the allow list, the opt-in scoping, and the export-control exclusion attribute.</w:t>
      </w:r>
    </w:p>
    <w:p w14:paraId="44DE9CA3" w14:textId="77777777" w:rsidR="0085380A" w:rsidRDefault="00000000">
      <w:pPr>
        <w:spacing w:after="120" w:line="276" w:lineRule="auto"/>
      </w:pPr>
      <w:r>
        <w:t xml:space="preserve">Flow direction is </w:t>
      </w:r>
      <w:r>
        <w:rPr>
          <w:b/>
          <w:bCs/>
        </w:rPr>
        <w:t>outbound from GCC High to Commercial</w:t>
      </w:r>
      <w:r>
        <w:t xml:space="preserve"> and outbound from Commercial to GCC High. Compute, credentials and logs remain in Azure Government throughout. There is no inbound path into the GCC High boundary from the Commercial tenant — the service pulls, it is never called.</w:t>
      </w:r>
    </w:p>
    <w:p w14:paraId="44DE9CA4" w14:textId="77777777" w:rsidR="0085380A" w:rsidRDefault="00000000">
      <w:pPr>
        <w:spacing w:after="120" w:line="276" w:lineRule="auto"/>
      </w:pPr>
      <w:r>
        <w:rPr>
          <w:b/>
          <w:bCs/>
        </w:rPr>
        <w:t>Before go-live, this connection requires a documented approval from the security and export-control functions</w:t>
      </w:r>
      <w:r>
        <w:t>, recorded in the SSP as an authorised cross-boundary interconnection, with the attribute inventory in §7 attached.</w:t>
      </w:r>
    </w:p>
    <w:p w14:paraId="44DE9CA5" w14:textId="77777777" w:rsidR="0085380A" w:rsidRDefault="00000000">
      <w:pPr>
        <w:pStyle w:val="Heading2"/>
        <w:keepNext/>
        <w:spacing w:before="260" w:after="140"/>
      </w:pPr>
      <w:bookmarkStart w:id="22" w:name="_Toc239065944"/>
      <w:r>
        <w:t>13.2 Control mapping (NIST SP 800-171 R2 / CMMC L2)</w:t>
      </w:r>
      <w:bookmarkEnd w:id="22"/>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337"/>
        <w:gridCol w:w="2674"/>
        <w:gridCol w:w="5349"/>
      </w:tblGrid>
      <w:tr w:rsidR="0085380A" w14:paraId="44DE9CA9" w14:textId="77777777">
        <w:tblPrEx>
          <w:tblCellMar>
            <w:top w:w="0" w:type="dxa"/>
            <w:bottom w:w="0" w:type="dxa"/>
          </w:tblCellMar>
        </w:tblPrEx>
        <w:trPr>
          <w:tblHeader/>
        </w:trPr>
        <w:tc>
          <w:tcPr>
            <w:tcW w:w="1337" w:type="dxa"/>
            <w:shd w:val="clear" w:color="auto" w:fill="1F4E79"/>
            <w:tcMar>
              <w:top w:w="60" w:type="dxa"/>
              <w:left w:w="110" w:type="dxa"/>
              <w:bottom w:w="60" w:type="dxa"/>
              <w:right w:w="110" w:type="dxa"/>
            </w:tcMar>
          </w:tcPr>
          <w:p w14:paraId="44DE9CA6" w14:textId="77777777" w:rsidR="0085380A" w:rsidRDefault="00000000">
            <w:r>
              <w:rPr>
                <w:b/>
                <w:bCs/>
                <w:color w:val="FFFFFF"/>
                <w:sz w:val="19"/>
                <w:szCs w:val="19"/>
              </w:rPr>
              <w:t>Control</w:t>
            </w:r>
          </w:p>
        </w:tc>
        <w:tc>
          <w:tcPr>
            <w:tcW w:w="2674" w:type="dxa"/>
            <w:shd w:val="clear" w:color="auto" w:fill="1F4E79"/>
            <w:tcMar>
              <w:top w:w="60" w:type="dxa"/>
              <w:left w:w="110" w:type="dxa"/>
              <w:bottom w:w="60" w:type="dxa"/>
              <w:right w:w="110" w:type="dxa"/>
            </w:tcMar>
          </w:tcPr>
          <w:p w14:paraId="44DE9CA7" w14:textId="77777777" w:rsidR="0085380A" w:rsidRDefault="00000000">
            <w:r>
              <w:rPr>
                <w:b/>
                <w:bCs/>
                <w:color w:val="FFFFFF"/>
                <w:sz w:val="19"/>
                <w:szCs w:val="19"/>
              </w:rPr>
              <w:t>Practice</w:t>
            </w:r>
          </w:p>
        </w:tc>
        <w:tc>
          <w:tcPr>
            <w:tcW w:w="5349" w:type="dxa"/>
            <w:shd w:val="clear" w:color="auto" w:fill="1F4E79"/>
            <w:tcMar>
              <w:top w:w="60" w:type="dxa"/>
              <w:left w:w="110" w:type="dxa"/>
              <w:bottom w:w="60" w:type="dxa"/>
              <w:right w:w="110" w:type="dxa"/>
            </w:tcMar>
          </w:tcPr>
          <w:p w14:paraId="44DE9CA8" w14:textId="77777777" w:rsidR="0085380A" w:rsidRDefault="00000000">
            <w:r>
              <w:rPr>
                <w:b/>
                <w:bCs/>
                <w:color w:val="FFFFFF"/>
                <w:sz w:val="19"/>
                <w:szCs w:val="19"/>
              </w:rPr>
              <w:t>How this design satisfies it</w:t>
            </w:r>
          </w:p>
        </w:tc>
      </w:tr>
      <w:tr w:rsidR="0085380A" w14:paraId="44DE9CAD" w14:textId="77777777">
        <w:tblPrEx>
          <w:tblCellMar>
            <w:top w:w="0" w:type="dxa"/>
            <w:bottom w:w="0" w:type="dxa"/>
          </w:tblCellMar>
        </w:tblPrEx>
        <w:tc>
          <w:tcPr>
            <w:tcW w:w="1337" w:type="dxa"/>
            <w:tcMar>
              <w:top w:w="60" w:type="dxa"/>
              <w:left w:w="110" w:type="dxa"/>
              <w:bottom w:w="60" w:type="dxa"/>
              <w:right w:w="110" w:type="dxa"/>
            </w:tcMar>
          </w:tcPr>
          <w:p w14:paraId="44DE9CAA" w14:textId="77777777" w:rsidR="0085380A" w:rsidRDefault="00000000">
            <w:r>
              <w:rPr>
                <w:sz w:val="19"/>
                <w:szCs w:val="19"/>
              </w:rPr>
              <w:t>3.1.1 / 3.1.2</w:t>
            </w:r>
          </w:p>
        </w:tc>
        <w:tc>
          <w:tcPr>
            <w:tcW w:w="2674" w:type="dxa"/>
            <w:tcMar>
              <w:top w:w="60" w:type="dxa"/>
              <w:left w:w="110" w:type="dxa"/>
              <w:bottom w:w="60" w:type="dxa"/>
              <w:right w:w="110" w:type="dxa"/>
            </w:tcMar>
          </w:tcPr>
          <w:p w14:paraId="44DE9CAB" w14:textId="77777777" w:rsidR="0085380A" w:rsidRDefault="00000000">
            <w:r>
              <w:rPr>
                <w:sz w:val="19"/>
                <w:szCs w:val="19"/>
              </w:rPr>
              <w:t>AC.L2-3.1.1, 3.1.2</w:t>
            </w:r>
          </w:p>
        </w:tc>
        <w:tc>
          <w:tcPr>
            <w:tcW w:w="5349" w:type="dxa"/>
            <w:tcMar>
              <w:top w:w="60" w:type="dxa"/>
              <w:left w:w="110" w:type="dxa"/>
              <w:bottom w:w="60" w:type="dxa"/>
              <w:right w:w="110" w:type="dxa"/>
            </w:tcMar>
          </w:tcPr>
          <w:p w14:paraId="44DE9CAC" w14:textId="77777777" w:rsidR="0085380A" w:rsidRDefault="00000000">
            <w:r>
              <w:rPr>
                <w:sz w:val="19"/>
                <w:szCs w:val="19"/>
              </w:rPr>
              <w:t>Two single-tenant apps, certificate-only, Exchange Recipient Administrator scope; no standing human access to the partner tenant</w:t>
            </w:r>
          </w:p>
        </w:tc>
      </w:tr>
      <w:tr w:rsidR="0085380A" w14:paraId="44DE9CB1" w14:textId="77777777">
        <w:tblPrEx>
          <w:tblCellMar>
            <w:top w:w="0" w:type="dxa"/>
            <w:bottom w:w="0" w:type="dxa"/>
          </w:tblCellMar>
        </w:tblPrEx>
        <w:tc>
          <w:tcPr>
            <w:tcW w:w="1337" w:type="dxa"/>
            <w:tcMar>
              <w:top w:w="60" w:type="dxa"/>
              <w:left w:w="110" w:type="dxa"/>
              <w:bottom w:w="60" w:type="dxa"/>
              <w:right w:w="110" w:type="dxa"/>
            </w:tcMar>
          </w:tcPr>
          <w:p w14:paraId="44DE9CAE" w14:textId="77777777" w:rsidR="0085380A" w:rsidRDefault="00000000">
            <w:r>
              <w:rPr>
                <w:sz w:val="19"/>
                <w:szCs w:val="19"/>
              </w:rPr>
              <w:lastRenderedPageBreak/>
              <w:t>3.1.3</w:t>
            </w:r>
          </w:p>
        </w:tc>
        <w:tc>
          <w:tcPr>
            <w:tcW w:w="2674" w:type="dxa"/>
            <w:tcMar>
              <w:top w:w="60" w:type="dxa"/>
              <w:left w:w="110" w:type="dxa"/>
              <w:bottom w:w="60" w:type="dxa"/>
              <w:right w:w="110" w:type="dxa"/>
            </w:tcMar>
          </w:tcPr>
          <w:p w14:paraId="44DE9CAF" w14:textId="77777777" w:rsidR="0085380A" w:rsidRDefault="00000000">
            <w:r>
              <w:rPr>
                <w:sz w:val="19"/>
                <w:szCs w:val="19"/>
              </w:rPr>
              <w:t>AC.L2-3.1.3 (CUI flow control)</w:t>
            </w:r>
          </w:p>
        </w:tc>
        <w:tc>
          <w:tcPr>
            <w:tcW w:w="5349" w:type="dxa"/>
            <w:tcMar>
              <w:top w:w="60" w:type="dxa"/>
              <w:left w:w="110" w:type="dxa"/>
              <w:bottom w:w="60" w:type="dxa"/>
              <w:right w:w="110" w:type="dxa"/>
            </w:tcMar>
          </w:tcPr>
          <w:p w14:paraId="44DE9CB0" w14:textId="77777777" w:rsidR="0085380A" w:rsidRDefault="00000000">
            <w:r>
              <w:rPr>
                <w:sz w:val="19"/>
                <w:szCs w:val="19"/>
              </w:rPr>
              <w:t>Attribute allow list enforced in one code path; opt-in group scoping; export-control exclusion; FQDN-restricted egress</w:t>
            </w:r>
          </w:p>
        </w:tc>
      </w:tr>
      <w:tr w:rsidR="0085380A" w14:paraId="44DE9CB5" w14:textId="77777777">
        <w:tblPrEx>
          <w:tblCellMar>
            <w:top w:w="0" w:type="dxa"/>
            <w:bottom w:w="0" w:type="dxa"/>
          </w:tblCellMar>
        </w:tblPrEx>
        <w:tc>
          <w:tcPr>
            <w:tcW w:w="1337" w:type="dxa"/>
            <w:tcMar>
              <w:top w:w="60" w:type="dxa"/>
              <w:left w:w="110" w:type="dxa"/>
              <w:bottom w:w="60" w:type="dxa"/>
              <w:right w:w="110" w:type="dxa"/>
            </w:tcMar>
          </w:tcPr>
          <w:p w14:paraId="44DE9CB2" w14:textId="77777777" w:rsidR="0085380A" w:rsidRDefault="00000000">
            <w:r>
              <w:rPr>
                <w:sz w:val="19"/>
                <w:szCs w:val="19"/>
              </w:rPr>
              <w:t>3.3.1 / 3.3.2</w:t>
            </w:r>
          </w:p>
        </w:tc>
        <w:tc>
          <w:tcPr>
            <w:tcW w:w="2674" w:type="dxa"/>
            <w:tcMar>
              <w:top w:w="60" w:type="dxa"/>
              <w:left w:w="110" w:type="dxa"/>
              <w:bottom w:w="60" w:type="dxa"/>
              <w:right w:w="110" w:type="dxa"/>
            </w:tcMar>
          </w:tcPr>
          <w:p w14:paraId="44DE9CB3" w14:textId="77777777" w:rsidR="0085380A" w:rsidRDefault="00000000">
            <w:r>
              <w:rPr>
                <w:sz w:val="19"/>
                <w:szCs w:val="19"/>
              </w:rPr>
              <w:t>AU.L2-3.3.1, 3.3.2</w:t>
            </w:r>
          </w:p>
        </w:tc>
        <w:tc>
          <w:tcPr>
            <w:tcW w:w="5349" w:type="dxa"/>
            <w:tcMar>
              <w:top w:w="60" w:type="dxa"/>
              <w:left w:w="110" w:type="dxa"/>
              <w:bottom w:w="60" w:type="dxa"/>
              <w:right w:w="110" w:type="dxa"/>
            </w:tcMar>
          </w:tcPr>
          <w:p w14:paraId="44DE9CB4" w14:textId="77777777" w:rsidR="0085380A" w:rsidRDefault="00000000">
            <w:r>
              <w:rPr>
                <w:sz w:val="19"/>
                <w:szCs w:val="19"/>
              </w:rPr>
              <w:t>Structured per-object logging to Log Analytics with run ID and anchor; immutable per-run CSV</w:t>
            </w:r>
          </w:p>
        </w:tc>
      </w:tr>
      <w:tr w:rsidR="0085380A" w14:paraId="44DE9CB9" w14:textId="77777777">
        <w:tblPrEx>
          <w:tblCellMar>
            <w:top w:w="0" w:type="dxa"/>
            <w:bottom w:w="0" w:type="dxa"/>
          </w:tblCellMar>
        </w:tblPrEx>
        <w:tc>
          <w:tcPr>
            <w:tcW w:w="1337" w:type="dxa"/>
            <w:tcMar>
              <w:top w:w="60" w:type="dxa"/>
              <w:left w:w="110" w:type="dxa"/>
              <w:bottom w:w="60" w:type="dxa"/>
              <w:right w:w="110" w:type="dxa"/>
            </w:tcMar>
          </w:tcPr>
          <w:p w14:paraId="44DE9CB6" w14:textId="77777777" w:rsidR="0085380A" w:rsidRDefault="00000000">
            <w:r>
              <w:rPr>
                <w:sz w:val="19"/>
                <w:szCs w:val="19"/>
              </w:rPr>
              <w:t>3.4.1 / 3.4.2</w:t>
            </w:r>
          </w:p>
        </w:tc>
        <w:tc>
          <w:tcPr>
            <w:tcW w:w="2674" w:type="dxa"/>
            <w:tcMar>
              <w:top w:w="60" w:type="dxa"/>
              <w:left w:w="110" w:type="dxa"/>
              <w:bottom w:w="60" w:type="dxa"/>
              <w:right w:w="110" w:type="dxa"/>
            </w:tcMar>
          </w:tcPr>
          <w:p w14:paraId="44DE9CB7" w14:textId="77777777" w:rsidR="0085380A" w:rsidRDefault="00000000">
            <w:r>
              <w:rPr>
                <w:sz w:val="19"/>
                <w:szCs w:val="19"/>
              </w:rPr>
              <w:t>CM.L2-3.4.1, 3.4.2</w:t>
            </w:r>
          </w:p>
        </w:tc>
        <w:tc>
          <w:tcPr>
            <w:tcW w:w="5349" w:type="dxa"/>
            <w:tcMar>
              <w:top w:w="60" w:type="dxa"/>
              <w:left w:w="110" w:type="dxa"/>
              <w:bottom w:w="60" w:type="dxa"/>
              <w:right w:w="110" w:type="dxa"/>
            </w:tcMar>
          </w:tcPr>
          <w:p w14:paraId="44DE9CB8" w14:textId="77777777" w:rsidR="0085380A" w:rsidRDefault="00000000">
            <w:r>
              <w:rPr>
                <w:sz w:val="19"/>
                <w:szCs w:val="19"/>
              </w:rPr>
              <w:t>Infrastructure and configuration as code in source control; preview mode as the change-advisory artefact</w:t>
            </w:r>
          </w:p>
        </w:tc>
      </w:tr>
      <w:tr w:rsidR="0085380A" w14:paraId="44DE9CBD" w14:textId="77777777">
        <w:tblPrEx>
          <w:tblCellMar>
            <w:top w:w="0" w:type="dxa"/>
            <w:bottom w:w="0" w:type="dxa"/>
          </w:tblCellMar>
        </w:tblPrEx>
        <w:tc>
          <w:tcPr>
            <w:tcW w:w="1337" w:type="dxa"/>
            <w:tcMar>
              <w:top w:w="60" w:type="dxa"/>
              <w:left w:w="110" w:type="dxa"/>
              <w:bottom w:w="60" w:type="dxa"/>
              <w:right w:w="110" w:type="dxa"/>
            </w:tcMar>
          </w:tcPr>
          <w:p w14:paraId="44DE9CBA" w14:textId="77777777" w:rsidR="0085380A" w:rsidRDefault="00000000">
            <w:r>
              <w:rPr>
                <w:sz w:val="19"/>
                <w:szCs w:val="19"/>
              </w:rPr>
              <w:t>3.5.2</w:t>
            </w:r>
          </w:p>
        </w:tc>
        <w:tc>
          <w:tcPr>
            <w:tcW w:w="2674" w:type="dxa"/>
            <w:tcMar>
              <w:top w:w="60" w:type="dxa"/>
              <w:left w:w="110" w:type="dxa"/>
              <w:bottom w:w="60" w:type="dxa"/>
              <w:right w:w="110" w:type="dxa"/>
            </w:tcMar>
          </w:tcPr>
          <w:p w14:paraId="44DE9CBB" w14:textId="77777777" w:rsidR="0085380A" w:rsidRDefault="00000000">
            <w:r>
              <w:rPr>
                <w:sz w:val="19"/>
                <w:szCs w:val="19"/>
              </w:rPr>
              <w:t>IA.L2-3.5.2</w:t>
            </w:r>
          </w:p>
        </w:tc>
        <w:tc>
          <w:tcPr>
            <w:tcW w:w="5349" w:type="dxa"/>
            <w:tcMar>
              <w:top w:w="60" w:type="dxa"/>
              <w:left w:w="110" w:type="dxa"/>
              <w:bottom w:w="60" w:type="dxa"/>
              <w:right w:w="110" w:type="dxa"/>
            </w:tcMar>
          </w:tcPr>
          <w:p w14:paraId="44DE9CBC" w14:textId="77777777" w:rsidR="0085380A" w:rsidRDefault="00000000">
            <w:r>
              <w:rPr>
                <w:sz w:val="19"/>
                <w:szCs w:val="19"/>
              </w:rPr>
              <w:t>Certificate credentials from Key Vault via managed identity; no secrets in code, config or Automation variables</w:t>
            </w:r>
          </w:p>
        </w:tc>
      </w:tr>
      <w:tr w:rsidR="0085380A" w14:paraId="44DE9CC1" w14:textId="77777777">
        <w:tblPrEx>
          <w:tblCellMar>
            <w:top w:w="0" w:type="dxa"/>
            <w:bottom w:w="0" w:type="dxa"/>
          </w:tblCellMar>
        </w:tblPrEx>
        <w:tc>
          <w:tcPr>
            <w:tcW w:w="1337" w:type="dxa"/>
            <w:tcMar>
              <w:top w:w="60" w:type="dxa"/>
              <w:left w:w="110" w:type="dxa"/>
              <w:bottom w:w="60" w:type="dxa"/>
              <w:right w:w="110" w:type="dxa"/>
            </w:tcMar>
          </w:tcPr>
          <w:p w14:paraId="44DE9CBE" w14:textId="77777777" w:rsidR="0085380A" w:rsidRDefault="00000000">
            <w:r>
              <w:rPr>
                <w:sz w:val="19"/>
                <w:szCs w:val="19"/>
              </w:rPr>
              <w:t>3.13.1 / 3.13.5</w:t>
            </w:r>
          </w:p>
        </w:tc>
        <w:tc>
          <w:tcPr>
            <w:tcW w:w="2674" w:type="dxa"/>
            <w:tcMar>
              <w:top w:w="60" w:type="dxa"/>
              <w:left w:w="110" w:type="dxa"/>
              <w:bottom w:w="60" w:type="dxa"/>
              <w:right w:w="110" w:type="dxa"/>
            </w:tcMar>
          </w:tcPr>
          <w:p w14:paraId="44DE9CBF" w14:textId="77777777" w:rsidR="0085380A" w:rsidRDefault="00000000">
            <w:r>
              <w:rPr>
                <w:sz w:val="19"/>
                <w:szCs w:val="19"/>
              </w:rPr>
              <w:t>SC.L2-3.13.1, 3.13.5</w:t>
            </w:r>
          </w:p>
        </w:tc>
        <w:tc>
          <w:tcPr>
            <w:tcW w:w="5349" w:type="dxa"/>
            <w:tcMar>
              <w:top w:w="60" w:type="dxa"/>
              <w:left w:w="110" w:type="dxa"/>
              <w:bottom w:w="60" w:type="dxa"/>
              <w:right w:w="110" w:type="dxa"/>
            </w:tcMar>
          </w:tcPr>
          <w:p w14:paraId="44DE9CC0" w14:textId="77777777" w:rsidR="0085380A" w:rsidRDefault="00000000">
            <w:r>
              <w:rPr>
                <w:sz w:val="19"/>
                <w:szCs w:val="19"/>
              </w:rPr>
              <w:t>Egress-only, FQDN allow-listed boundary; explicit residual deny in the firewall policy</w:t>
            </w:r>
          </w:p>
        </w:tc>
      </w:tr>
      <w:tr w:rsidR="0085380A" w14:paraId="44DE9CC5" w14:textId="77777777">
        <w:tblPrEx>
          <w:tblCellMar>
            <w:top w:w="0" w:type="dxa"/>
            <w:bottom w:w="0" w:type="dxa"/>
          </w:tblCellMar>
        </w:tblPrEx>
        <w:tc>
          <w:tcPr>
            <w:tcW w:w="1337" w:type="dxa"/>
            <w:tcMar>
              <w:top w:w="60" w:type="dxa"/>
              <w:left w:w="110" w:type="dxa"/>
              <w:bottom w:w="60" w:type="dxa"/>
              <w:right w:w="110" w:type="dxa"/>
            </w:tcMar>
          </w:tcPr>
          <w:p w14:paraId="44DE9CC2" w14:textId="77777777" w:rsidR="0085380A" w:rsidRDefault="00000000">
            <w:r>
              <w:rPr>
                <w:sz w:val="19"/>
                <w:szCs w:val="19"/>
              </w:rPr>
              <w:t>3.13.8</w:t>
            </w:r>
          </w:p>
        </w:tc>
        <w:tc>
          <w:tcPr>
            <w:tcW w:w="2674" w:type="dxa"/>
            <w:tcMar>
              <w:top w:w="60" w:type="dxa"/>
              <w:left w:w="110" w:type="dxa"/>
              <w:bottom w:w="60" w:type="dxa"/>
              <w:right w:w="110" w:type="dxa"/>
            </w:tcMar>
          </w:tcPr>
          <w:p w14:paraId="44DE9CC3" w14:textId="77777777" w:rsidR="0085380A" w:rsidRDefault="00000000">
            <w:r>
              <w:rPr>
                <w:sz w:val="19"/>
                <w:szCs w:val="19"/>
              </w:rPr>
              <w:t>SC.L2-3.13.8</w:t>
            </w:r>
          </w:p>
        </w:tc>
        <w:tc>
          <w:tcPr>
            <w:tcW w:w="5349" w:type="dxa"/>
            <w:tcMar>
              <w:top w:w="60" w:type="dxa"/>
              <w:left w:w="110" w:type="dxa"/>
              <w:bottom w:w="60" w:type="dxa"/>
              <w:right w:w="110" w:type="dxa"/>
            </w:tcMar>
          </w:tcPr>
          <w:p w14:paraId="44DE9CC4" w14:textId="77777777" w:rsidR="0085380A" w:rsidRDefault="00000000">
            <w:r>
              <w:rPr>
                <w:sz w:val="19"/>
                <w:szCs w:val="19"/>
              </w:rPr>
              <w:t>TLS 1.2+ for all endpoints; TLS inspection deliberately bypassed for the identity endpoints, which use certificate-bound client authentication</w:t>
            </w:r>
          </w:p>
        </w:tc>
      </w:tr>
      <w:tr w:rsidR="0085380A" w14:paraId="44DE9CC9" w14:textId="77777777">
        <w:tblPrEx>
          <w:tblCellMar>
            <w:top w:w="0" w:type="dxa"/>
            <w:bottom w:w="0" w:type="dxa"/>
          </w:tblCellMar>
        </w:tblPrEx>
        <w:tc>
          <w:tcPr>
            <w:tcW w:w="1337" w:type="dxa"/>
            <w:tcMar>
              <w:top w:w="60" w:type="dxa"/>
              <w:left w:w="110" w:type="dxa"/>
              <w:bottom w:w="60" w:type="dxa"/>
              <w:right w:w="110" w:type="dxa"/>
            </w:tcMar>
          </w:tcPr>
          <w:p w14:paraId="44DE9CC6" w14:textId="77777777" w:rsidR="0085380A" w:rsidRDefault="00000000">
            <w:r>
              <w:rPr>
                <w:sz w:val="19"/>
                <w:szCs w:val="19"/>
              </w:rPr>
              <w:t>3.13.16</w:t>
            </w:r>
          </w:p>
        </w:tc>
        <w:tc>
          <w:tcPr>
            <w:tcW w:w="2674" w:type="dxa"/>
            <w:tcMar>
              <w:top w:w="60" w:type="dxa"/>
              <w:left w:w="110" w:type="dxa"/>
              <w:bottom w:w="60" w:type="dxa"/>
              <w:right w:w="110" w:type="dxa"/>
            </w:tcMar>
          </w:tcPr>
          <w:p w14:paraId="44DE9CC7" w14:textId="77777777" w:rsidR="0085380A" w:rsidRDefault="00000000">
            <w:r>
              <w:rPr>
                <w:sz w:val="19"/>
                <w:szCs w:val="19"/>
              </w:rPr>
              <w:t>SC.L2-3.13.16</w:t>
            </w:r>
          </w:p>
        </w:tc>
        <w:tc>
          <w:tcPr>
            <w:tcW w:w="5349" w:type="dxa"/>
            <w:tcMar>
              <w:top w:w="60" w:type="dxa"/>
              <w:left w:w="110" w:type="dxa"/>
              <w:bottom w:w="60" w:type="dxa"/>
              <w:right w:w="110" w:type="dxa"/>
            </w:tcMar>
          </w:tcPr>
          <w:p w14:paraId="44DE9CC8" w14:textId="77777777" w:rsidR="0085380A" w:rsidRDefault="00000000">
            <w:r>
              <w:rPr>
                <w:sz w:val="19"/>
                <w:szCs w:val="19"/>
              </w:rPr>
              <w:t>Key Vault and storage encrypted at rest; immutable audit container</w:t>
            </w:r>
          </w:p>
        </w:tc>
      </w:tr>
      <w:tr w:rsidR="0085380A" w14:paraId="44DE9CCD" w14:textId="77777777">
        <w:tblPrEx>
          <w:tblCellMar>
            <w:top w:w="0" w:type="dxa"/>
            <w:bottom w:w="0" w:type="dxa"/>
          </w:tblCellMar>
        </w:tblPrEx>
        <w:tc>
          <w:tcPr>
            <w:tcW w:w="1337" w:type="dxa"/>
            <w:tcMar>
              <w:top w:w="60" w:type="dxa"/>
              <w:left w:w="110" w:type="dxa"/>
              <w:bottom w:w="60" w:type="dxa"/>
              <w:right w:w="110" w:type="dxa"/>
            </w:tcMar>
          </w:tcPr>
          <w:p w14:paraId="44DE9CCA" w14:textId="77777777" w:rsidR="0085380A" w:rsidRDefault="00000000">
            <w:r>
              <w:rPr>
                <w:sz w:val="19"/>
                <w:szCs w:val="19"/>
              </w:rPr>
              <w:t>3.14.6 / 3.14.7</w:t>
            </w:r>
          </w:p>
        </w:tc>
        <w:tc>
          <w:tcPr>
            <w:tcW w:w="2674" w:type="dxa"/>
            <w:tcMar>
              <w:top w:w="60" w:type="dxa"/>
              <w:left w:w="110" w:type="dxa"/>
              <w:bottom w:w="60" w:type="dxa"/>
              <w:right w:w="110" w:type="dxa"/>
            </w:tcMar>
          </w:tcPr>
          <w:p w14:paraId="44DE9CCB" w14:textId="77777777" w:rsidR="0085380A" w:rsidRDefault="00000000">
            <w:r>
              <w:rPr>
                <w:sz w:val="19"/>
                <w:szCs w:val="19"/>
              </w:rPr>
              <w:t>SI.L2-3.14.6, 3.14.7</w:t>
            </w:r>
          </w:p>
        </w:tc>
        <w:tc>
          <w:tcPr>
            <w:tcW w:w="5349" w:type="dxa"/>
            <w:tcMar>
              <w:top w:w="60" w:type="dxa"/>
              <w:left w:w="110" w:type="dxa"/>
              <w:bottom w:w="60" w:type="dxa"/>
              <w:right w:w="110" w:type="dxa"/>
            </w:tcMar>
          </w:tcPr>
          <w:p w14:paraId="44DE9CCC" w14:textId="77777777" w:rsidR="0085380A" w:rsidRDefault="00000000">
            <w:r>
              <w:rPr>
                <w:sz w:val="19"/>
                <w:szCs w:val="19"/>
              </w:rPr>
              <w:t>Failure and staleness alerting; circuit breaker on anomalous volume</w:t>
            </w:r>
          </w:p>
        </w:tc>
      </w:tr>
    </w:tbl>
    <w:p w14:paraId="44DE9CCE" w14:textId="77777777" w:rsidR="0085380A" w:rsidRDefault="0085380A">
      <w:pPr>
        <w:spacing w:after="160"/>
      </w:pPr>
    </w:p>
    <w:p w14:paraId="44DE9CCF" w14:textId="77777777" w:rsidR="0085380A" w:rsidRDefault="00000000">
      <w:pPr>
        <w:pStyle w:val="Heading2"/>
        <w:keepNext/>
        <w:spacing w:before="260" w:after="140"/>
      </w:pPr>
      <w:bookmarkStart w:id="23" w:name="_Toc239065945"/>
      <w:r>
        <w:t>13.3 Residual risks</w:t>
      </w:r>
      <w:bookmarkEnd w:id="23"/>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554"/>
        <w:gridCol w:w="3554"/>
        <w:gridCol w:w="2252"/>
      </w:tblGrid>
      <w:tr w:rsidR="0085380A" w14:paraId="44DE9CD3" w14:textId="77777777">
        <w:tblPrEx>
          <w:tblCellMar>
            <w:top w:w="0" w:type="dxa"/>
            <w:bottom w:w="0" w:type="dxa"/>
          </w:tblCellMar>
        </w:tblPrEx>
        <w:trPr>
          <w:tblHeader/>
        </w:trPr>
        <w:tc>
          <w:tcPr>
            <w:tcW w:w="3554" w:type="dxa"/>
            <w:shd w:val="clear" w:color="auto" w:fill="1F4E79"/>
            <w:tcMar>
              <w:top w:w="60" w:type="dxa"/>
              <w:left w:w="110" w:type="dxa"/>
              <w:bottom w:w="60" w:type="dxa"/>
              <w:right w:w="110" w:type="dxa"/>
            </w:tcMar>
          </w:tcPr>
          <w:p w14:paraId="44DE9CD0" w14:textId="77777777" w:rsidR="0085380A" w:rsidRDefault="00000000">
            <w:r>
              <w:rPr>
                <w:b/>
                <w:bCs/>
                <w:color w:val="FFFFFF"/>
                <w:sz w:val="19"/>
                <w:szCs w:val="19"/>
              </w:rPr>
              <w:t>Risk</w:t>
            </w:r>
          </w:p>
        </w:tc>
        <w:tc>
          <w:tcPr>
            <w:tcW w:w="3554" w:type="dxa"/>
            <w:shd w:val="clear" w:color="auto" w:fill="1F4E79"/>
            <w:tcMar>
              <w:top w:w="60" w:type="dxa"/>
              <w:left w:w="110" w:type="dxa"/>
              <w:bottom w:w="60" w:type="dxa"/>
              <w:right w:w="110" w:type="dxa"/>
            </w:tcMar>
          </w:tcPr>
          <w:p w14:paraId="44DE9CD1" w14:textId="77777777" w:rsidR="0085380A" w:rsidRDefault="00000000">
            <w:r>
              <w:rPr>
                <w:b/>
                <w:bCs/>
                <w:color w:val="FFFFFF"/>
                <w:sz w:val="19"/>
                <w:szCs w:val="19"/>
              </w:rPr>
              <w:t>Mitigation</w:t>
            </w:r>
          </w:p>
        </w:tc>
        <w:tc>
          <w:tcPr>
            <w:tcW w:w="2252" w:type="dxa"/>
            <w:shd w:val="clear" w:color="auto" w:fill="1F4E79"/>
            <w:tcMar>
              <w:top w:w="60" w:type="dxa"/>
              <w:left w:w="110" w:type="dxa"/>
              <w:bottom w:w="60" w:type="dxa"/>
              <w:right w:w="110" w:type="dxa"/>
            </w:tcMar>
          </w:tcPr>
          <w:p w14:paraId="44DE9CD2" w14:textId="77777777" w:rsidR="0085380A" w:rsidRDefault="00000000">
            <w:r>
              <w:rPr>
                <w:b/>
                <w:bCs/>
                <w:color w:val="FFFFFF"/>
                <w:sz w:val="19"/>
                <w:szCs w:val="19"/>
              </w:rPr>
              <w:t>Residual</w:t>
            </w:r>
          </w:p>
        </w:tc>
      </w:tr>
      <w:tr w:rsidR="0085380A" w14:paraId="44DE9CD7" w14:textId="77777777">
        <w:tblPrEx>
          <w:tblCellMar>
            <w:top w:w="0" w:type="dxa"/>
            <w:bottom w:w="0" w:type="dxa"/>
          </w:tblCellMar>
        </w:tblPrEx>
        <w:tc>
          <w:tcPr>
            <w:tcW w:w="3554" w:type="dxa"/>
            <w:tcMar>
              <w:top w:w="60" w:type="dxa"/>
              <w:left w:w="110" w:type="dxa"/>
              <w:bottom w:w="60" w:type="dxa"/>
              <w:right w:w="110" w:type="dxa"/>
            </w:tcMar>
          </w:tcPr>
          <w:p w14:paraId="44DE9CD4" w14:textId="77777777" w:rsidR="0085380A" w:rsidRDefault="00000000">
            <w:r>
              <w:rPr>
                <w:sz w:val="19"/>
                <w:szCs w:val="19"/>
              </w:rPr>
              <w:t>A newly hired person in a controlled programme is published before the export-control flag is set</w:t>
            </w:r>
          </w:p>
        </w:tc>
        <w:tc>
          <w:tcPr>
            <w:tcW w:w="3554" w:type="dxa"/>
            <w:tcMar>
              <w:top w:w="60" w:type="dxa"/>
              <w:left w:w="110" w:type="dxa"/>
              <w:bottom w:w="60" w:type="dxa"/>
              <w:right w:w="110" w:type="dxa"/>
            </w:tcMar>
          </w:tcPr>
          <w:p w14:paraId="44DE9CD5" w14:textId="77777777" w:rsidR="0085380A" w:rsidRDefault="00000000">
            <w:r>
              <w:rPr>
                <w:sz w:val="19"/>
                <w:szCs w:val="19"/>
              </w:rPr>
              <w:t>Include group is opt-in; onboarding adds to the include group only after export-control review</w:t>
            </w:r>
          </w:p>
        </w:tc>
        <w:tc>
          <w:tcPr>
            <w:tcW w:w="2252" w:type="dxa"/>
            <w:tcMar>
              <w:top w:w="60" w:type="dxa"/>
              <w:left w:w="110" w:type="dxa"/>
              <w:bottom w:w="60" w:type="dxa"/>
              <w:right w:w="110" w:type="dxa"/>
            </w:tcMar>
          </w:tcPr>
          <w:p w14:paraId="44DE9CD6" w14:textId="77777777" w:rsidR="0085380A" w:rsidRDefault="00000000">
            <w:r>
              <w:rPr>
                <w:sz w:val="19"/>
                <w:szCs w:val="19"/>
              </w:rPr>
              <w:t>Low — depends on onboarding discipline</w:t>
            </w:r>
          </w:p>
        </w:tc>
      </w:tr>
      <w:tr w:rsidR="0085380A" w14:paraId="44DE9CDB" w14:textId="77777777">
        <w:tblPrEx>
          <w:tblCellMar>
            <w:top w:w="0" w:type="dxa"/>
            <w:bottom w:w="0" w:type="dxa"/>
          </w:tblCellMar>
        </w:tblPrEx>
        <w:tc>
          <w:tcPr>
            <w:tcW w:w="3554" w:type="dxa"/>
            <w:tcMar>
              <w:top w:w="60" w:type="dxa"/>
              <w:left w:w="110" w:type="dxa"/>
              <w:bottom w:w="60" w:type="dxa"/>
              <w:right w:w="110" w:type="dxa"/>
            </w:tcMar>
          </w:tcPr>
          <w:p w14:paraId="44DE9CD8" w14:textId="77777777" w:rsidR="0085380A" w:rsidRDefault="00000000">
            <w:r>
              <w:rPr>
                <w:sz w:val="19"/>
                <w:szCs w:val="19"/>
              </w:rPr>
              <w:t>Job title reveals programme information</w:t>
            </w:r>
          </w:p>
        </w:tc>
        <w:tc>
          <w:tcPr>
            <w:tcW w:w="3554" w:type="dxa"/>
            <w:tcMar>
              <w:top w:w="60" w:type="dxa"/>
              <w:left w:w="110" w:type="dxa"/>
              <w:bottom w:w="60" w:type="dxa"/>
              <w:right w:w="110" w:type="dxa"/>
            </w:tcMar>
          </w:tcPr>
          <w:p w14:paraId="44DE9CD9" w14:textId="77777777" w:rsidR="0085380A" w:rsidRDefault="00000000">
            <w:r>
              <w:rPr>
                <w:sz w:val="19"/>
                <w:szCs w:val="19"/>
              </w:rPr>
              <w:t>Quarterly attribute review; title can be disabled in one configuration change</w:t>
            </w:r>
          </w:p>
        </w:tc>
        <w:tc>
          <w:tcPr>
            <w:tcW w:w="2252" w:type="dxa"/>
            <w:tcMar>
              <w:top w:w="60" w:type="dxa"/>
              <w:left w:w="110" w:type="dxa"/>
              <w:bottom w:w="60" w:type="dxa"/>
              <w:right w:w="110" w:type="dxa"/>
            </w:tcMar>
          </w:tcPr>
          <w:p w14:paraId="44DE9CDA" w14:textId="77777777" w:rsidR="0085380A" w:rsidRDefault="00000000">
            <w:r>
              <w:rPr>
                <w:sz w:val="19"/>
                <w:szCs w:val="19"/>
              </w:rPr>
              <w:t>Accepted, reviewed quarterly</w:t>
            </w:r>
          </w:p>
        </w:tc>
      </w:tr>
      <w:tr w:rsidR="0085380A" w14:paraId="44DE9CDF" w14:textId="77777777">
        <w:tblPrEx>
          <w:tblCellMar>
            <w:top w:w="0" w:type="dxa"/>
            <w:bottom w:w="0" w:type="dxa"/>
          </w:tblCellMar>
        </w:tblPrEx>
        <w:tc>
          <w:tcPr>
            <w:tcW w:w="3554" w:type="dxa"/>
            <w:tcMar>
              <w:top w:w="60" w:type="dxa"/>
              <w:left w:w="110" w:type="dxa"/>
              <w:bottom w:w="60" w:type="dxa"/>
              <w:right w:w="110" w:type="dxa"/>
            </w:tcMar>
          </w:tcPr>
          <w:p w14:paraId="44DE9CDC" w14:textId="77777777" w:rsidR="0085380A" w:rsidRDefault="00000000">
            <w:r>
              <w:rPr>
                <w:sz w:val="19"/>
                <w:szCs w:val="19"/>
              </w:rPr>
              <w:t>Certificate expiry stops synchronisation</w:t>
            </w:r>
          </w:p>
        </w:tc>
        <w:tc>
          <w:tcPr>
            <w:tcW w:w="3554" w:type="dxa"/>
            <w:tcMar>
              <w:top w:w="60" w:type="dxa"/>
              <w:left w:w="110" w:type="dxa"/>
              <w:bottom w:w="60" w:type="dxa"/>
              <w:right w:w="110" w:type="dxa"/>
            </w:tcMar>
          </w:tcPr>
          <w:p w14:paraId="44DE9CDD" w14:textId="77777777" w:rsidR="0085380A" w:rsidRDefault="00000000">
            <w:r>
              <w:rPr>
                <w:sz w:val="19"/>
                <w:szCs w:val="19"/>
              </w:rPr>
              <w:t>Rotation at 9 months, warnings at 45 and 30 days, staleness alert at 6 hours</w:t>
            </w:r>
          </w:p>
        </w:tc>
        <w:tc>
          <w:tcPr>
            <w:tcW w:w="2252" w:type="dxa"/>
            <w:tcMar>
              <w:top w:w="60" w:type="dxa"/>
              <w:left w:w="110" w:type="dxa"/>
              <w:bottom w:w="60" w:type="dxa"/>
              <w:right w:w="110" w:type="dxa"/>
            </w:tcMar>
          </w:tcPr>
          <w:p w14:paraId="44DE9CDE" w14:textId="77777777" w:rsidR="0085380A" w:rsidRDefault="00000000">
            <w:r>
              <w:rPr>
                <w:sz w:val="19"/>
                <w:szCs w:val="19"/>
              </w:rPr>
              <w:t>Low</w:t>
            </w:r>
          </w:p>
        </w:tc>
      </w:tr>
      <w:tr w:rsidR="0085380A" w14:paraId="44DE9CE3" w14:textId="77777777">
        <w:tblPrEx>
          <w:tblCellMar>
            <w:top w:w="0" w:type="dxa"/>
            <w:bottom w:w="0" w:type="dxa"/>
          </w:tblCellMar>
        </w:tblPrEx>
        <w:tc>
          <w:tcPr>
            <w:tcW w:w="3554" w:type="dxa"/>
            <w:tcMar>
              <w:top w:w="60" w:type="dxa"/>
              <w:left w:w="110" w:type="dxa"/>
              <w:bottom w:w="60" w:type="dxa"/>
              <w:right w:w="110" w:type="dxa"/>
            </w:tcMar>
          </w:tcPr>
          <w:p w14:paraId="44DE9CE0" w14:textId="77777777" w:rsidR="0085380A" w:rsidRDefault="00000000">
            <w:r>
              <w:rPr>
                <w:sz w:val="19"/>
                <w:szCs w:val="19"/>
              </w:rPr>
              <w:t>Partner tenant admin removes the inbound capability, breaking free/busy</w:t>
            </w:r>
          </w:p>
        </w:tc>
        <w:tc>
          <w:tcPr>
            <w:tcW w:w="3554" w:type="dxa"/>
            <w:tcMar>
              <w:top w:w="60" w:type="dxa"/>
              <w:left w:w="110" w:type="dxa"/>
              <w:bottom w:w="60" w:type="dxa"/>
              <w:right w:w="110" w:type="dxa"/>
            </w:tcMar>
          </w:tcPr>
          <w:p w14:paraId="44DE9CE1" w14:textId="77777777" w:rsidR="0085380A" w:rsidRDefault="00000000">
            <w:r>
              <w:rPr>
                <w:sz w:val="19"/>
                <w:szCs w:val="19"/>
              </w:rPr>
              <w:t>Staleness and functional monitoring; documented in the shared operating agreement</w:t>
            </w:r>
          </w:p>
        </w:tc>
        <w:tc>
          <w:tcPr>
            <w:tcW w:w="2252" w:type="dxa"/>
            <w:tcMar>
              <w:top w:w="60" w:type="dxa"/>
              <w:left w:w="110" w:type="dxa"/>
              <w:bottom w:w="60" w:type="dxa"/>
              <w:right w:w="110" w:type="dxa"/>
            </w:tcMar>
          </w:tcPr>
          <w:p w14:paraId="44DE9CE2" w14:textId="77777777" w:rsidR="0085380A" w:rsidRDefault="00000000">
            <w:r>
              <w:rPr>
                <w:sz w:val="19"/>
                <w:szCs w:val="19"/>
              </w:rPr>
              <w:t>Low</w:t>
            </w:r>
          </w:p>
        </w:tc>
      </w:tr>
      <w:tr w:rsidR="0085380A" w14:paraId="44DE9CE7" w14:textId="77777777">
        <w:tblPrEx>
          <w:tblCellMar>
            <w:top w:w="0" w:type="dxa"/>
            <w:bottom w:w="0" w:type="dxa"/>
          </w:tblCellMar>
        </w:tblPrEx>
        <w:tc>
          <w:tcPr>
            <w:tcW w:w="3554" w:type="dxa"/>
            <w:tcMar>
              <w:top w:w="60" w:type="dxa"/>
              <w:left w:w="110" w:type="dxa"/>
              <w:bottom w:w="60" w:type="dxa"/>
              <w:right w:w="110" w:type="dxa"/>
            </w:tcMar>
          </w:tcPr>
          <w:p w14:paraId="44DE9CE4" w14:textId="77777777" w:rsidR="0085380A" w:rsidRDefault="00000000">
            <w:r>
              <w:rPr>
                <w:sz w:val="19"/>
                <w:szCs w:val="19"/>
              </w:rPr>
              <w:t>Legacy EWS path is left in place past April 2027</w:t>
            </w:r>
          </w:p>
        </w:tc>
        <w:tc>
          <w:tcPr>
            <w:tcW w:w="3554" w:type="dxa"/>
            <w:tcMar>
              <w:top w:w="60" w:type="dxa"/>
              <w:left w:w="110" w:type="dxa"/>
              <w:bottom w:w="60" w:type="dxa"/>
              <w:right w:w="110" w:type="dxa"/>
            </w:tcMar>
          </w:tcPr>
          <w:p w14:paraId="44DE9CE5" w14:textId="77777777" w:rsidR="0085380A" w:rsidRDefault="00000000">
            <w:r>
              <w:rPr>
                <w:sz w:val="19"/>
                <w:szCs w:val="19"/>
              </w:rPr>
              <w:t xml:space="preserve">Migration tracked with a hard date; </w:t>
            </w:r>
            <w:r>
              <w:rPr>
                <w:rFonts w:ascii="Consolas" w:eastAsia="Consolas" w:hAnsi="Consolas" w:cs="Consolas"/>
                <w:sz w:val="19"/>
                <w:szCs w:val="19"/>
              </w:rPr>
              <w:t>-Mode AuditOnly</w:t>
            </w:r>
            <w:r>
              <w:rPr>
                <w:sz w:val="19"/>
                <w:szCs w:val="19"/>
              </w:rPr>
              <w:t xml:space="preserve"> inventory in the quarterly review</w:t>
            </w:r>
          </w:p>
        </w:tc>
        <w:tc>
          <w:tcPr>
            <w:tcW w:w="2252" w:type="dxa"/>
            <w:tcMar>
              <w:top w:w="60" w:type="dxa"/>
              <w:left w:w="110" w:type="dxa"/>
              <w:bottom w:w="60" w:type="dxa"/>
              <w:right w:w="110" w:type="dxa"/>
            </w:tcMar>
          </w:tcPr>
          <w:p w14:paraId="44DE9CE6" w14:textId="77777777" w:rsidR="0085380A" w:rsidRDefault="00000000">
            <w:r>
              <w:rPr>
                <w:sz w:val="19"/>
                <w:szCs w:val="19"/>
              </w:rPr>
              <w:t>Low</w:t>
            </w:r>
          </w:p>
        </w:tc>
      </w:tr>
    </w:tbl>
    <w:p w14:paraId="44DE9CE8" w14:textId="77777777" w:rsidR="0085380A" w:rsidRDefault="0085380A">
      <w:pPr>
        <w:spacing w:after="160"/>
      </w:pPr>
    </w:p>
    <w:p w14:paraId="44DE9CE9" w14:textId="77777777" w:rsidR="0085380A" w:rsidRDefault="0085380A">
      <w:pPr>
        <w:pBdr>
          <w:bottom w:val="single" w:sz="6" w:space="6" w:color="BFBFBF"/>
        </w:pBdr>
        <w:spacing w:before="100" w:after="200"/>
      </w:pPr>
    </w:p>
    <w:p w14:paraId="44DE9CEA" w14:textId="77777777" w:rsidR="0085380A" w:rsidRDefault="00000000">
      <w:pPr>
        <w:pStyle w:val="Heading1"/>
        <w:keepNext/>
        <w:spacing w:before="360" w:after="140"/>
      </w:pPr>
      <w:bookmarkStart w:id="24" w:name="_Toc239065946"/>
      <w:r>
        <w:t>14. Implementation plan</w:t>
      </w:r>
      <w:bookmarkEnd w:id="24"/>
    </w:p>
    <w:p w14:paraId="44DE9CEB" w14:textId="77777777" w:rsidR="0085380A" w:rsidRDefault="00000000">
      <w:pPr>
        <w:spacing w:after="120" w:line="276" w:lineRule="auto"/>
      </w:pPr>
      <w:r>
        <w:rPr>
          <w:b/>
          <w:bCs/>
        </w:rPr>
        <w:t>Phase 0 — Agreement (1 week).</w:t>
      </w:r>
      <w:r>
        <w:t xml:space="preserve"> Confirm the attribute list with security and export control. Agree the include-group population on both sides. Exchange tenant IDs. Record the interconnection in the SSP. Nominate an operations owner in each tenant.</w:t>
      </w:r>
    </w:p>
    <w:p w14:paraId="44DE9CEC" w14:textId="77777777" w:rsidR="0085380A" w:rsidRDefault="00000000">
      <w:pPr>
        <w:spacing w:after="120" w:line="276" w:lineRule="auto"/>
      </w:pPr>
      <w:r>
        <w:rPr>
          <w:b/>
          <w:bCs/>
        </w:rPr>
        <w:lastRenderedPageBreak/>
        <w:t>Phase 1 — Platform (2 days).</w:t>
      </w:r>
      <w:r>
        <w:t xml:space="preserve"> Deploy </w:t>
      </w:r>
      <w:r>
        <w:rPr>
          <w:rFonts w:ascii="Consolas" w:eastAsia="Consolas" w:hAnsi="Consolas" w:cs="Consolas"/>
          <w:sz w:val="19"/>
          <w:szCs w:val="19"/>
        </w:rPr>
        <w:t xml:space="preserve">infra/main.bicep</w:t>
      </w:r>
      <w:r>
        <w:t xml:space="preserve"> into the Azure Government subscription with </w:t>
      </w:r>
      <w:r>
        <w:rPr>
          <w:rFonts w:ascii="Consolas" w:eastAsia="Consolas" w:hAnsi="Consolas" w:cs="Consolas"/>
          <w:sz w:val="19"/>
          <w:szCs w:val="19"/>
        </w:rPr>
        <w:t xml:space="preserve">enableSchedule = false</w:t>
      </w:r>
      <w:r>
        <w:t xml:space="preserve"> (the default). This creates the Automation account, runbook and module imports but no schedule, so nothing can run unattended before the pilot is signed off. Deploy </w:t>
      </w:r>
      <w:r>
        <w:rPr>
          <w:rFonts w:ascii="Consolas" w:eastAsia="Consolas" w:hAnsi="Consolas" w:cs="Consolas"/>
          <w:sz w:val="19"/>
          <w:szCs w:val="19"/>
        </w:rPr>
        <w:t xml:space="preserve">infra/network.bicep</w:t>
      </w:r>
      <w:r>
        <w:t xml:space="preserve"> if the runbook will egress through the hub firewall. Confirm the Automation managed identity's Key Vault and storage role assignments, and copy the </w:t>
      </w:r>
      <w:r>
        <w:rPr>
          <w:rFonts w:ascii="Consolas" w:eastAsia="Consolas" w:hAnsi="Consolas" w:cs="Consolas"/>
          <w:sz w:val="19"/>
          <w:szCs w:val="19"/>
        </w:rPr>
        <w:t xml:space="preserve">keyVaultName</w:t>
      </w:r>
      <w:r>
        <w:t xml:space="preserve">, </w:t>
      </w:r>
      <w:r>
        <w:rPr>
          <w:rFonts w:ascii="Consolas" w:eastAsia="Consolas" w:hAnsi="Consolas" w:cs="Consolas"/>
          <w:sz w:val="19"/>
          <w:szCs w:val="19"/>
        </w:rPr>
        <w:t xml:space="preserve">storageAccountName</w:t>
      </w:r>
      <w:r>
        <w:t xml:space="preserve"> and </w:t>
      </w:r>
      <w:r>
        <w:rPr>
          <w:rFonts w:ascii="Consolas" w:eastAsia="Consolas" w:hAnsi="Consolas" w:cs="Consolas"/>
          <w:sz w:val="19"/>
          <w:szCs w:val="19"/>
        </w:rPr>
        <w:t xml:space="preserve">workspaceResourceId</w:t>
      </w:r>
      <w:r>
        <w:t xml:space="preserve"> deployment outputs into the </w:t>
      </w:r>
      <w:r>
        <w:rPr>
          <w:rFonts w:ascii="Consolas" w:eastAsia="Consolas" w:hAnsi="Consolas" w:cs="Consolas"/>
          <w:sz w:val="19"/>
          <w:szCs w:val="19"/>
        </w:rPr>
        <w:t xml:space="preserve">runtime</w:t>
      </w:r>
      <w:r>
        <w:t xml:space="preserve"> block of </w:t>
      </w:r>
      <w:r>
        <w:rPr>
          <w:rFonts w:ascii="Consolas" w:eastAsia="Consolas" w:hAnsi="Consolas" w:cs="Consolas"/>
          <w:sz w:val="19"/>
          <w:szCs w:val="19"/>
        </w:rPr>
        <w:t xml:space="preserve">config/galsync.config.json</w:t>
      </w:r>
      <w:r>
        <w:t xml:space="preserve">.</w:t>
      </w:r>
    </w:p>
    <w:p w14:paraId="44DE9CED" w14:textId="77777777" w:rsidR="0085380A" w:rsidRDefault="00000000">
      <w:pPr>
        <w:spacing w:after="120" w:line="276" w:lineRule="auto"/>
      </w:pPr>
      <w:r>
        <w:rPr>
          <w:b/>
          <w:bCs/>
        </w:rPr>
        <w:t>Phase 2 — Identity (1 day).</w:t>
      </w:r>
      <w:r>
        <w:t xml:space="preserve"> Run </w:t>
      </w:r>
      <w:r>
        <w:rPr>
          <w:rFonts w:ascii="Consolas" w:eastAsia="Consolas" w:hAnsi="Consolas" w:cs="Consolas"/>
          <w:sz w:val="19"/>
          <w:szCs w:val="19"/>
        </w:rPr>
        <w:t>New-GalSyncAppRegistration.ps1</w:t>
      </w:r>
      <w:r>
        <w:t xml:space="preserve"> once per tenant. Record the application IDs in </w:t>
      </w:r>
      <w:r>
        <w:rPr>
          <w:rFonts w:ascii="Consolas" w:eastAsia="Consolas" w:hAnsi="Consolas" w:cs="Consolas"/>
          <w:sz w:val="19"/>
          <w:szCs w:val="19"/>
        </w:rPr>
        <w:t>config/galsync.config.json</w:t>
      </w:r>
      <w:r>
        <w:t xml:space="preserve">. Create the include and exclude security groups in both tenants. Define the </w:t>
      </w:r>
      <w:r>
        <w:rPr>
          <w:rFonts w:ascii="Consolas" w:eastAsia="Consolas" w:hAnsi="Consolas" w:cs="Consolas"/>
          <w:sz w:val="19"/>
          <w:szCs w:val="19"/>
        </w:rPr>
        <w:t>ExportControl</w:t>
      </w:r>
      <w:r>
        <w:t xml:space="preserve"> attribute set and the </w:t>
      </w:r>
      <w:r>
        <w:rPr>
          <w:rFonts w:ascii="Consolas" w:eastAsia="Consolas" w:hAnsi="Consolas" w:cs="Consolas"/>
          <w:sz w:val="19"/>
          <w:szCs w:val="19"/>
        </w:rPr>
        <w:t>ItarRestricted</w:t>
      </w:r>
      <w:r>
        <w:t xml:space="preserve"> attribute in both tenants.</w:t>
      </w:r>
    </w:p>
    <w:p w14:paraId="44DE9CEE" w14:textId="77777777" w:rsidR="0085380A" w:rsidRDefault="00000000">
      <w:pPr>
        <w:spacing w:after="120" w:line="276" w:lineRule="auto"/>
      </w:pPr>
      <w:r>
        <w:rPr>
          <w:b/>
          <w:bCs/>
        </w:rPr>
        <w:t>Phase 3 — Validation (1 day).</w:t>
      </w:r>
      <w:r>
        <w:t xml:space="preserve"> Run </w:t>
      </w:r>
      <w:r>
        <w:rPr>
          <w:rFonts w:ascii="Consolas" w:eastAsia="Consolas" w:hAnsi="Consolas" w:cs="Consolas"/>
          <w:sz w:val="19"/>
          <w:szCs w:val="19"/>
        </w:rPr>
        <w:t>Test-GalSyncPrereqs.ps1</w:t>
      </w:r>
      <w:r>
        <w:t xml:space="preserve">. Every check must pass. Review the preview plan object by object with the M365 owner in each tenant. </w:t>
      </w:r>
      <w:r>
        <w:rPr>
          <w:b/>
          <w:bCs/>
        </w:rPr>
        <w:t>Gate: no writes until the preview is signed off.</w:t>
      </w:r>
    </w:p>
    <w:p w14:paraId="44DE9CEF" w14:textId="77777777" w:rsidR="0085380A" w:rsidRDefault="00000000">
      <w:pPr>
        <w:spacing w:after="120" w:line="276" w:lineRule="auto"/>
      </w:pPr>
      <w:r>
        <w:rPr>
          <w:b/>
          <w:bCs/>
        </w:rPr>
        <w:t>Phase 4 — Pilot (1 week).</w:t>
      </w:r>
      <w:r>
        <w:t xml:space="preserve"> Populate the include groups with 10–20 users per tenant. Publish the runbook content and run once manually, not on schedule. Verify GAL appearance in Outlook desktop, Outlook on the web and Teams. Verify update propagation by changing a job title. Verify soft-delete behaviour by removing a pilot user from the include group.</w:t>
      </w:r>
    </w:p>
    <w:p w14:paraId="44DE9CF0" w14:textId="77777777" w:rsidR="0085380A" w:rsidRDefault="00000000">
      <w:pPr>
        <w:spacing w:after="120" w:line="276" w:lineRule="auto"/>
      </w:pPr>
      <w:r>
        <w:rPr>
          <w:b/>
          <w:bCs/>
        </w:rPr>
        <w:t>Phase 5 — Availability and federation (2 days).</w:t>
      </w:r>
      <w:r>
        <w:t xml:space="preserve"> Run </w:t>
      </w:r>
      <w:r>
        <w:rPr>
          <w:rFonts w:ascii="Consolas" w:eastAsia="Consolas" w:hAnsi="Consolas" w:cs="Consolas"/>
          <w:sz w:val="19"/>
          <w:szCs w:val="19"/>
        </w:rPr>
        <w:t>Set-CrossCloudFreeBusy.ps1 -Mode AuditOnly</w:t>
      </w:r>
      <w:r>
        <w:t xml:space="preserve"> in both tenants and review. Configure the Cross-Tenant Access Policy path in both. Run </w:t>
      </w:r>
      <w:r>
        <w:rPr>
          <w:rFonts w:ascii="Consolas" w:eastAsia="Consolas" w:hAnsi="Consolas" w:cs="Consolas"/>
          <w:sz w:val="19"/>
          <w:szCs w:val="19"/>
        </w:rPr>
        <w:t>Set-TeamsFederation.ps1</w:t>
      </w:r>
      <w:r>
        <w:t xml:space="preserve"> in both, then add the cross-cloud meeting connection in each Teams admin center. Allow 24 hours, then validate free/busy lookup, Teams chat and cross-cloud meeting join in both directions.</w:t>
      </w:r>
    </w:p>
    <w:p w14:paraId="44DE9CF1" w14:textId="77777777" w:rsidR="0085380A" w:rsidRDefault="00000000">
      <w:pPr>
        <w:spacing w:after="120" w:line="276" w:lineRule="auto"/>
      </w:pPr>
      <w:r>
        <w:rPr>
          <w:b/>
          <w:bCs/>
        </w:rPr>
        <w:t>Phase 6 — Production (1 week).</w:t>
      </w:r>
      <w:r>
        <w:t xml:space="preserve"> Expand the include groups to the full agreed population — watch the create ceiling and raise it deliberately for the first bulk run, then lower it again. Enable the hourly schedule by redeploying </w:t>
      </w:r>
      <w:r>
        <w:rPr>
          <w:rFonts w:ascii="Consolas" w:eastAsia="Consolas" w:hAnsi="Consolas" w:cs="Consolas"/>
          <w:sz w:val="19"/>
          <w:szCs w:val="19"/>
        </w:rPr>
        <w:t xml:space="preserve">infra/main.bicep</w:t>
      </w:r>
      <w:r>
        <w:t xml:space="preserve"> with </w:t>
      </w:r>
      <w:r>
        <w:rPr>
          <w:rFonts w:ascii="Consolas" w:eastAsia="Consolas" w:hAnsi="Consolas" w:cs="Consolas"/>
          <w:sz w:val="19"/>
          <w:szCs w:val="19"/>
        </w:rPr>
        <w:t xml:space="preserve">enableSchedule = true</w:t>
      </w:r>
      <w:r>
        <w:t xml:space="preserve">; </w:t>
      </w:r>
      <w:r>
        <w:rPr>
          <w:rFonts w:ascii="Consolas" w:eastAsia="Consolas" w:hAnsi="Consolas" w:cs="Consolas"/>
          <w:sz w:val="19"/>
          <w:szCs w:val="19"/>
        </w:rPr>
        <w:t xml:space="preserve">scheduleStartTime</w:t>
      </w:r>
      <w:r>
        <w:t xml:space="preserve"> defaults to one hour after the deployment, or set a future UTC time in </w:t>
      </w:r>
      <w:r>
        <w:rPr>
          <w:rFonts w:ascii="Consolas" w:eastAsia="Consolas" w:hAnsi="Consolas" w:cs="Consolas"/>
          <w:sz w:val="19"/>
          <w:szCs w:val="19"/>
        </w:rPr>
        <w:t xml:space="preserve">main.bicepparam</w:t>
      </w:r>
      <w:r>
        <w:t xml:space="preserve">. Enable the alert rules. Hand over using </w:t>
      </w:r>
      <w:r>
        <w:rPr>
          <w:rFonts w:ascii="Consolas" w:eastAsia="Consolas" w:hAnsi="Consolas" w:cs="Consolas"/>
          <w:sz w:val="19"/>
          <w:szCs w:val="19"/>
        </w:rPr>
        <w:t>docs/Operations-Runbook.md</w:t>
      </w:r>
      <w:r>
        <w:t>.</w:t>
      </w:r>
    </w:p>
    <w:p w14:paraId="44DE9CF2" w14:textId="77777777" w:rsidR="0085380A" w:rsidRDefault="00000000">
      <w:pPr>
        <w:spacing w:after="120" w:line="276" w:lineRule="auto"/>
      </w:pPr>
      <w:r>
        <w:rPr>
          <w:b/>
          <w:bCs/>
        </w:rPr>
        <w:t>Phase 7 — Legacy decommission (before 1 April 2027).</w:t>
      </w:r>
      <w:r>
        <w:t xml:space="preserve"> Remove any organisation relationships, availability address spaces and sharing policies used as a bridge.</w:t>
      </w:r>
    </w:p>
    <w:p w14:paraId="44DE9CF3" w14:textId="77777777" w:rsidR="0085380A" w:rsidRDefault="00000000">
      <w:pPr>
        <w:pStyle w:val="Heading2"/>
        <w:keepNext/>
        <w:spacing w:before="260" w:after="140"/>
      </w:pPr>
      <w:bookmarkStart w:id="25" w:name="_Toc239065947"/>
      <w:r>
        <w:t>Acceptance criteria</w:t>
      </w:r>
      <w:bookmarkEnd w:id="25"/>
    </w:p>
    <w:p w14:paraId="44DE9CF4" w14:textId="77777777" w:rsidR="0085380A" w:rsidRDefault="00000000">
      <w:pPr>
        <w:pStyle w:val="ListParagraph"/>
        <w:numPr>
          <w:ilvl w:val="0"/>
          <w:numId w:val="8"/>
        </w:numPr>
        <w:spacing w:after="60" w:line="276" w:lineRule="auto"/>
      </w:pPr>
      <w:r>
        <w:t>A user created in either tenant appears in the partner GAL within two scheduled runs.</w:t>
      </w:r>
    </w:p>
    <w:p w14:paraId="44DE9CF5" w14:textId="77777777" w:rsidR="0085380A" w:rsidRDefault="00000000">
      <w:pPr>
        <w:pStyle w:val="ListParagraph"/>
        <w:numPr>
          <w:ilvl w:val="0"/>
          <w:numId w:val="8"/>
        </w:numPr>
        <w:spacing w:after="60" w:line="276" w:lineRule="auto"/>
      </w:pPr>
      <w:r>
        <w:t>A job title change propagates within two scheduled runs.</w:t>
      </w:r>
    </w:p>
    <w:p w14:paraId="44DE9CF6" w14:textId="77777777" w:rsidR="0085380A" w:rsidRDefault="00000000">
      <w:pPr>
        <w:pStyle w:val="ListParagraph"/>
        <w:numPr>
          <w:ilvl w:val="0"/>
          <w:numId w:val="8"/>
        </w:numPr>
        <w:spacing w:after="60" w:line="276" w:lineRule="auto"/>
      </w:pPr>
      <w:r>
        <w:t>A user removed from the include group is hidden from the partner GAL within one run and purged after 30 days.</w:t>
      </w:r>
    </w:p>
    <w:p w14:paraId="44DE9CF7" w14:textId="77777777" w:rsidR="0085380A" w:rsidRDefault="00000000">
      <w:pPr>
        <w:pStyle w:val="ListParagraph"/>
        <w:numPr>
          <w:ilvl w:val="0"/>
          <w:numId w:val="8"/>
        </w:numPr>
        <w:spacing w:after="60" w:line="276" w:lineRule="auto"/>
      </w:pPr>
      <w:r>
        <w:t xml:space="preserve">A user flagged </w:t>
      </w:r>
      <w:r>
        <w:rPr>
          <w:rFonts w:ascii="Consolas" w:eastAsia="Consolas" w:hAnsi="Consolas" w:cs="Consolas"/>
          <w:sz w:val="19"/>
          <w:szCs w:val="19"/>
        </w:rPr>
        <w:t>ItarRestricted = true</w:t>
      </w:r>
      <w:r>
        <w:t xml:space="preserve"> never appears, and is counted under </w:t>
      </w:r>
      <w:r>
        <w:rPr>
          <w:rFonts w:ascii="Consolas" w:eastAsia="Consolas" w:hAnsi="Consolas" w:cs="Consolas"/>
          <w:sz w:val="19"/>
          <w:szCs w:val="19"/>
        </w:rPr>
        <w:t>export-control-flag</w:t>
      </w:r>
      <w:r>
        <w:t xml:space="preserve"> in the run log.</w:t>
      </w:r>
    </w:p>
    <w:p w14:paraId="44DE9CF8" w14:textId="77777777" w:rsidR="0085380A" w:rsidRDefault="00000000">
      <w:pPr>
        <w:pStyle w:val="ListParagraph"/>
        <w:numPr>
          <w:ilvl w:val="0"/>
          <w:numId w:val="8"/>
        </w:numPr>
        <w:spacing w:after="60" w:line="276" w:lineRule="auto"/>
      </w:pPr>
      <w:r>
        <w:t>Free/busy resolves in both directions for a pilot user.</w:t>
      </w:r>
    </w:p>
    <w:p w14:paraId="44DE9CF9" w14:textId="77777777" w:rsidR="0085380A" w:rsidRDefault="00000000">
      <w:pPr>
        <w:pStyle w:val="ListParagraph"/>
        <w:numPr>
          <w:ilvl w:val="0"/>
          <w:numId w:val="8"/>
        </w:numPr>
        <w:spacing w:after="60" w:line="276" w:lineRule="auto"/>
      </w:pPr>
      <w:r>
        <w:t>Teams chat initiates in both directions for a pilot user, and a cross-cloud meeting is joined as an authenticated participant in both directions.</w:t>
      </w:r>
    </w:p>
    <w:p w14:paraId="44DE9CFA" w14:textId="77777777" w:rsidR="0085380A" w:rsidRDefault="00000000">
      <w:pPr>
        <w:pStyle w:val="ListParagraph"/>
        <w:numPr>
          <w:ilvl w:val="0"/>
          <w:numId w:val="8"/>
        </w:numPr>
        <w:spacing w:after="60" w:line="276" w:lineRule="auto"/>
      </w:pPr>
      <w:r>
        <w:t>A deliberately induced mass-delete condition is blocked by the safety gate and raises the severity-1 alert.</w:t>
      </w:r>
    </w:p>
    <w:p w14:paraId="44DE9CFB" w14:textId="77777777" w:rsidR="0085380A" w:rsidRDefault="00000000">
      <w:pPr>
        <w:pStyle w:val="ListParagraph"/>
        <w:numPr>
          <w:ilvl w:val="0"/>
          <w:numId w:val="8"/>
        </w:numPr>
        <w:spacing w:after="60" w:line="276" w:lineRule="auto"/>
      </w:pPr>
      <w:r>
        <w:t>The run report for any day can be retrieved from the immutable container and reconciles with the Log Analytics record.</w:t>
      </w:r>
    </w:p>
    <w:p w14:paraId="44DE9CFC" w14:textId="77777777" w:rsidR="0085380A" w:rsidRDefault="0085380A">
      <w:pPr>
        <w:pBdr>
          <w:bottom w:val="single" w:sz="6" w:space="6" w:color="BFBFBF"/>
        </w:pBdr>
        <w:spacing w:before="100" w:after="200"/>
      </w:pPr>
    </w:p>
    <w:p w14:paraId="44DE9CFD" w14:textId="77777777" w:rsidR="0085380A" w:rsidRDefault="00000000">
      <w:pPr>
        <w:pStyle w:val="Heading1"/>
        <w:keepNext/>
        <w:spacing w:before="360" w:after="140"/>
      </w:pPr>
      <w:bookmarkStart w:id="26" w:name="_Toc239065948"/>
      <w:r>
        <w:lastRenderedPageBreak/>
        <w:t>15. Operations</w:t>
      </w:r>
      <w:bookmarkEnd w:id="26"/>
    </w:p>
    <w:p w14:paraId="44DE9CFE" w14:textId="77777777" w:rsidR="0085380A" w:rsidRDefault="00000000">
      <w:pPr>
        <w:spacing w:after="120" w:line="276" w:lineRule="auto"/>
      </w:pPr>
      <w:r>
        <w:t xml:space="preserve">Day-to-day procedures — monitoring, failure handling, certificate rotation, adding and removing users, disaster recovery — are in </w:t>
      </w:r>
      <w:r>
        <w:rPr>
          <w:rFonts w:ascii="Consolas" w:eastAsia="Consolas" w:hAnsi="Consolas" w:cs="Consolas"/>
          <w:sz w:val="19"/>
          <w:szCs w:val="19"/>
        </w:rPr>
        <w:t>docs/Operations-Runbook.md</w:t>
      </w:r>
      <w:r>
        <w:t>. Quarterly, the following are reviewed and the review recorded: the attribute allow list, the include and exclude group membership, the Cross-Tenant Access Policy capabilities in both tenants, the Teams federation allow list, and the residual risk register in §13.3.</w:t>
      </w:r>
    </w:p>
    <w:p w14:paraId="44DE9CFF" w14:textId="77777777" w:rsidR="0085380A" w:rsidRDefault="0085380A">
      <w:pPr>
        <w:pBdr>
          <w:bottom w:val="single" w:sz="6" w:space="6" w:color="BFBFBF"/>
        </w:pBdr>
        <w:spacing w:before="100" w:after="200"/>
      </w:pPr>
    </w:p>
    <w:p w14:paraId="44DE9D00" w14:textId="77777777" w:rsidR="0085380A" w:rsidRDefault="00000000">
      <w:pPr>
        <w:pStyle w:val="Heading1"/>
        <w:keepNext/>
        <w:spacing w:before="360" w:after="140"/>
      </w:pPr>
      <w:bookmarkStart w:id="27" w:name="_Toc239065949"/>
      <w:r>
        <w:t>Appendix A — Endpoints</w:t>
      </w:r>
      <w:bookmarkEnd w:id="27"/>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82"/>
        <w:gridCol w:w="2728"/>
        <w:gridCol w:w="4150"/>
      </w:tblGrid>
      <w:tr w:rsidR="0085380A" w14:paraId="44DE9D04" w14:textId="77777777">
        <w:tblPrEx>
          <w:tblCellMar>
            <w:top w:w="0" w:type="dxa"/>
            <w:bottom w:w="0" w:type="dxa"/>
          </w:tblCellMar>
        </w:tblPrEx>
        <w:trPr>
          <w:tblHeader/>
        </w:trPr>
        <w:tc>
          <w:tcPr>
            <w:tcW w:w="2561" w:type="dxa"/>
            <w:shd w:val="clear" w:color="auto" w:fill="1F4E79"/>
            <w:tcMar>
              <w:top w:w="60" w:type="dxa"/>
              <w:left w:w="110" w:type="dxa"/>
              <w:bottom w:w="60" w:type="dxa"/>
              <w:right w:w="110" w:type="dxa"/>
            </w:tcMar>
          </w:tcPr>
          <w:p w14:paraId="44DE9D01" w14:textId="77777777" w:rsidR="0085380A" w:rsidRDefault="00000000">
            <w:r>
              <w:rPr>
                <w:b/>
                <w:bCs/>
                <w:color w:val="FFFFFF"/>
                <w:sz w:val="19"/>
                <w:szCs w:val="19"/>
              </w:rPr>
              <w:t>Purpose</w:t>
            </w:r>
          </w:p>
        </w:tc>
        <w:tc>
          <w:tcPr>
            <w:tcW w:w="2561" w:type="dxa"/>
            <w:shd w:val="clear" w:color="auto" w:fill="1F4E79"/>
            <w:tcMar>
              <w:top w:w="60" w:type="dxa"/>
              <w:left w:w="110" w:type="dxa"/>
              <w:bottom w:w="60" w:type="dxa"/>
              <w:right w:w="110" w:type="dxa"/>
            </w:tcMar>
          </w:tcPr>
          <w:p w14:paraId="44DE9D02" w14:textId="77777777" w:rsidR="0085380A" w:rsidRDefault="00000000">
            <w:r>
              <w:rPr>
                <w:b/>
                <w:bCs/>
                <w:color w:val="FFFFFF"/>
                <w:sz w:val="19"/>
                <w:szCs w:val="19"/>
              </w:rPr>
              <w:t>GCC High</w:t>
            </w:r>
          </w:p>
        </w:tc>
        <w:tc>
          <w:tcPr>
            <w:tcW w:w="4238" w:type="dxa"/>
            <w:shd w:val="clear" w:color="auto" w:fill="1F4E79"/>
            <w:tcMar>
              <w:top w:w="60" w:type="dxa"/>
              <w:left w:w="110" w:type="dxa"/>
              <w:bottom w:w="60" w:type="dxa"/>
              <w:right w:w="110" w:type="dxa"/>
            </w:tcMar>
          </w:tcPr>
          <w:p w14:paraId="44DE9D03" w14:textId="77777777" w:rsidR="0085380A" w:rsidRDefault="00000000">
            <w:r>
              <w:rPr>
                <w:b/>
                <w:bCs/>
                <w:color w:val="FFFFFF"/>
                <w:sz w:val="19"/>
                <w:szCs w:val="19"/>
              </w:rPr>
              <w:t>Commercial</w:t>
            </w:r>
          </w:p>
        </w:tc>
      </w:tr>
      <w:tr w:rsidR="0085380A" w14:paraId="44DE9D08" w14:textId="77777777">
        <w:tblPrEx>
          <w:tblCellMar>
            <w:top w:w="0" w:type="dxa"/>
            <w:bottom w:w="0" w:type="dxa"/>
          </w:tblCellMar>
        </w:tblPrEx>
        <w:tc>
          <w:tcPr>
            <w:tcW w:w="2561" w:type="dxa"/>
            <w:tcMar>
              <w:top w:w="60" w:type="dxa"/>
              <w:left w:w="110" w:type="dxa"/>
              <w:bottom w:w="60" w:type="dxa"/>
              <w:right w:w="110" w:type="dxa"/>
            </w:tcMar>
          </w:tcPr>
          <w:p w14:paraId="44DE9D05" w14:textId="77777777" w:rsidR="0085380A" w:rsidRDefault="00000000">
            <w:r>
              <w:rPr>
                <w:sz w:val="19"/>
                <w:szCs w:val="19"/>
              </w:rPr>
              <w:t>Entra authentication</w:t>
            </w:r>
          </w:p>
        </w:tc>
        <w:tc>
          <w:tcPr>
            <w:tcW w:w="2561" w:type="dxa"/>
            <w:tcMar>
              <w:top w:w="60" w:type="dxa"/>
              <w:left w:w="110" w:type="dxa"/>
              <w:bottom w:w="60" w:type="dxa"/>
              <w:right w:w="110" w:type="dxa"/>
            </w:tcMar>
          </w:tcPr>
          <w:p w14:paraId="44DE9D06" w14:textId="77777777" w:rsidR="0085380A" w:rsidRDefault="00000000">
            <w:r>
              <w:rPr>
                <w:rFonts w:ascii="Consolas" w:eastAsia="Consolas" w:hAnsi="Consolas" w:cs="Consolas"/>
                <w:sz w:val="19"/>
                <w:szCs w:val="19"/>
              </w:rPr>
              <w:t>login.microsoftonline.us</w:t>
            </w:r>
          </w:p>
        </w:tc>
        <w:tc>
          <w:tcPr>
            <w:tcW w:w="4238" w:type="dxa"/>
            <w:tcMar>
              <w:top w:w="60" w:type="dxa"/>
              <w:left w:w="110" w:type="dxa"/>
              <w:bottom w:w="60" w:type="dxa"/>
              <w:right w:w="110" w:type="dxa"/>
            </w:tcMar>
          </w:tcPr>
          <w:p w14:paraId="44DE9D07" w14:textId="77777777" w:rsidR="0085380A" w:rsidRDefault="00000000">
            <w:r>
              <w:rPr>
                <w:rFonts w:ascii="Consolas" w:eastAsia="Consolas" w:hAnsi="Consolas" w:cs="Consolas"/>
                <w:sz w:val="19"/>
                <w:szCs w:val="19"/>
              </w:rPr>
              <w:t>login.microsoftonline.com</w:t>
            </w:r>
            <w:r>
              <w:rPr>
                <w:sz w:val="19"/>
                <w:szCs w:val="19"/>
              </w:rPr>
              <w:t xml:space="preserve">, </w:t>
            </w:r>
            <w:r>
              <w:rPr>
                <w:rFonts w:ascii="Consolas" w:eastAsia="Consolas" w:hAnsi="Consolas" w:cs="Consolas"/>
                <w:sz w:val="19"/>
                <w:szCs w:val="19"/>
              </w:rPr>
              <w:t>login.windows.net</w:t>
            </w:r>
          </w:p>
        </w:tc>
      </w:tr>
      <w:tr w:rsidR="0085380A" w14:paraId="44DE9D0C" w14:textId="77777777">
        <w:tblPrEx>
          <w:tblCellMar>
            <w:top w:w="0" w:type="dxa"/>
            <w:bottom w:w="0" w:type="dxa"/>
          </w:tblCellMar>
        </w:tblPrEx>
        <w:tc>
          <w:tcPr>
            <w:tcW w:w="2561" w:type="dxa"/>
            <w:tcMar>
              <w:top w:w="60" w:type="dxa"/>
              <w:left w:w="110" w:type="dxa"/>
              <w:bottom w:w="60" w:type="dxa"/>
              <w:right w:w="110" w:type="dxa"/>
            </w:tcMar>
          </w:tcPr>
          <w:p w14:paraId="44DE9D09" w14:textId="77777777" w:rsidR="0085380A" w:rsidRDefault="00000000">
            <w:r>
              <w:rPr>
                <w:sz w:val="19"/>
                <w:szCs w:val="19"/>
              </w:rPr>
              <w:t>Microsoft Graph</w:t>
            </w:r>
          </w:p>
        </w:tc>
        <w:tc>
          <w:tcPr>
            <w:tcW w:w="2561" w:type="dxa"/>
            <w:tcMar>
              <w:top w:w="60" w:type="dxa"/>
              <w:left w:w="110" w:type="dxa"/>
              <w:bottom w:w="60" w:type="dxa"/>
              <w:right w:w="110" w:type="dxa"/>
            </w:tcMar>
          </w:tcPr>
          <w:p w14:paraId="44DE9D0A" w14:textId="77777777" w:rsidR="0085380A" w:rsidRDefault="00000000">
            <w:r>
              <w:rPr>
                <w:rFonts w:ascii="Consolas" w:eastAsia="Consolas" w:hAnsi="Consolas" w:cs="Consolas"/>
                <w:sz w:val="19"/>
                <w:szCs w:val="19"/>
              </w:rPr>
              <w:t>graph.microsoft.us</w:t>
            </w:r>
          </w:p>
        </w:tc>
        <w:tc>
          <w:tcPr>
            <w:tcW w:w="4238" w:type="dxa"/>
            <w:tcMar>
              <w:top w:w="60" w:type="dxa"/>
              <w:left w:w="110" w:type="dxa"/>
              <w:bottom w:w="60" w:type="dxa"/>
              <w:right w:w="110" w:type="dxa"/>
            </w:tcMar>
          </w:tcPr>
          <w:p w14:paraId="44DE9D0B" w14:textId="77777777" w:rsidR="0085380A" w:rsidRDefault="00000000">
            <w:r>
              <w:rPr>
                <w:rFonts w:ascii="Consolas" w:eastAsia="Consolas" w:hAnsi="Consolas" w:cs="Consolas"/>
                <w:sz w:val="19"/>
                <w:szCs w:val="19"/>
              </w:rPr>
              <w:t>graph.microsoft.com</w:t>
            </w:r>
          </w:p>
        </w:tc>
      </w:tr>
      <w:tr w:rsidR="0085380A" w14:paraId="44DE9D10" w14:textId="77777777">
        <w:tblPrEx>
          <w:tblCellMar>
            <w:top w:w="0" w:type="dxa"/>
            <w:bottom w:w="0" w:type="dxa"/>
          </w:tblCellMar>
        </w:tblPrEx>
        <w:tc>
          <w:tcPr>
            <w:tcW w:w="2561" w:type="dxa"/>
            <w:tcMar>
              <w:top w:w="60" w:type="dxa"/>
              <w:left w:w="110" w:type="dxa"/>
              <w:bottom w:w="60" w:type="dxa"/>
              <w:right w:w="110" w:type="dxa"/>
            </w:tcMar>
          </w:tcPr>
          <w:p w14:paraId="44DE9D0D" w14:textId="77777777" w:rsidR="0085380A" w:rsidRDefault="00000000">
            <w:r>
              <w:rPr>
                <w:sz w:val="19"/>
                <w:szCs w:val="19"/>
              </w:rPr>
              <w:t>Exchange Online PowerShell</w:t>
            </w:r>
          </w:p>
        </w:tc>
        <w:tc>
          <w:tcPr>
            <w:tcW w:w="2561" w:type="dxa"/>
            <w:tcMar>
              <w:top w:w="60" w:type="dxa"/>
              <w:left w:w="110" w:type="dxa"/>
              <w:bottom w:w="60" w:type="dxa"/>
              <w:right w:w="110" w:type="dxa"/>
            </w:tcMar>
          </w:tcPr>
          <w:p w14:paraId="44DE9D0E" w14:textId="77777777" w:rsidR="0085380A" w:rsidRDefault="00000000">
            <w:r>
              <w:rPr>
                <w:rFonts w:ascii="Consolas" w:eastAsia="Consolas" w:hAnsi="Consolas" w:cs="Consolas"/>
                <w:sz w:val="19"/>
                <w:szCs w:val="19"/>
              </w:rPr>
              <w:t>outlook.office365.us</w:t>
            </w:r>
          </w:p>
        </w:tc>
        <w:tc>
          <w:tcPr>
            <w:tcW w:w="4238" w:type="dxa"/>
            <w:tcMar>
              <w:top w:w="60" w:type="dxa"/>
              <w:left w:w="110" w:type="dxa"/>
              <w:bottom w:w="60" w:type="dxa"/>
              <w:right w:w="110" w:type="dxa"/>
            </w:tcMar>
          </w:tcPr>
          <w:p w14:paraId="44DE9D0F" w14:textId="77777777" w:rsidR="0085380A" w:rsidRDefault="00000000">
            <w:r>
              <w:rPr>
                <w:rFonts w:ascii="Consolas" w:eastAsia="Consolas" w:hAnsi="Consolas" w:cs="Consolas"/>
                <w:sz w:val="19"/>
                <w:szCs w:val="19"/>
              </w:rPr>
              <w:t>outlook.office365.com</w:t>
            </w:r>
            <w:r>
              <w:rPr>
                <w:sz w:val="19"/>
                <w:szCs w:val="19"/>
              </w:rPr>
              <w:t xml:space="preserve">, </w:t>
            </w:r>
            <w:r>
              <w:rPr>
                <w:rFonts w:ascii="Consolas" w:eastAsia="Consolas" w:hAnsi="Consolas" w:cs="Consolas"/>
                <w:sz w:val="19"/>
                <w:szCs w:val="19"/>
              </w:rPr>
              <w:t>outlook.office.com</w:t>
            </w:r>
          </w:p>
        </w:tc>
      </w:tr>
      <w:tr w:rsidR="0085380A" w14:paraId="44DE9D14" w14:textId="77777777">
        <w:tblPrEx>
          <w:tblCellMar>
            <w:top w:w="0" w:type="dxa"/>
            <w:bottom w:w="0" w:type="dxa"/>
          </w:tblCellMar>
        </w:tblPrEx>
        <w:tc>
          <w:tcPr>
            <w:tcW w:w="2561" w:type="dxa"/>
            <w:tcMar>
              <w:top w:w="60" w:type="dxa"/>
              <w:left w:w="110" w:type="dxa"/>
              <w:bottom w:w="60" w:type="dxa"/>
              <w:right w:w="110" w:type="dxa"/>
            </w:tcMar>
          </w:tcPr>
          <w:p w14:paraId="44DE9D11" w14:textId="77777777" w:rsidR="0085380A" w:rsidRDefault="00000000">
            <w:r>
              <w:rPr>
                <w:sz w:val="19"/>
                <w:szCs w:val="19"/>
              </w:rPr>
              <w:t>Autodiscover (legacy sharing)</w:t>
            </w:r>
          </w:p>
        </w:tc>
        <w:tc>
          <w:tcPr>
            <w:tcW w:w="2561" w:type="dxa"/>
            <w:tcMar>
              <w:top w:w="60" w:type="dxa"/>
              <w:left w:w="110" w:type="dxa"/>
              <w:bottom w:w="60" w:type="dxa"/>
              <w:right w:w="110" w:type="dxa"/>
            </w:tcMar>
          </w:tcPr>
          <w:p w14:paraId="44DE9D12" w14:textId="77777777" w:rsidR="0085380A" w:rsidRDefault="00000000">
            <w:r>
              <w:rPr>
                <w:rFonts w:ascii="Consolas" w:eastAsia="Consolas" w:hAnsi="Consolas" w:cs="Consolas"/>
                <w:sz w:val="19"/>
                <w:szCs w:val="19"/>
              </w:rPr>
              <w:t>autodiscover-s.office365.us</w:t>
            </w:r>
          </w:p>
        </w:tc>
        <w:tc>
          <w:tcPr>
            <w:tcW w:w="4238" w:type="dxa"/>
            <w:tcMar>
              <w:top w:w="60" w:type="dxa"/>
              <w:left w:w="110" w:type="dxa"/>
              <w:bottom w:w="60" w:type="dxa"/>
              <w:right w:w="110" w:type="dxa"/>
            </w:tcMar>
          </w:tcPr>
          <w:p w14:paraId="44DE9D13" w14:textId="77777777" w:rsidR="0085380A" w:rsidRDefault="00000000">
            <w:r>
              <w:rPr>
                <w:rFonts w:ascii="Consolas" w:eastAsia="Consolas" w:hAnsi="Consolas" w:cs="Consolas"/>
                <w:sz w:val="19"/>
                <w:szCs w:val="19"/>
              </w:rPr>
              <w:t>autodiscover-s.outlook.com</w:t>
            </w:r>
          </w:p>
        </w:tc>
      </w:tr>
    </w:tbl>
    <w:p w14:paraId="44DE9D15" w14:textId="77777777" w:rsidR="0085380A" w:rsidRDefault="0085380A">
      <w:pPr>
        <w:spacing w:after="160"/>
      </w:pPr>
    </w:p>
    <w:p w14:paraId="44DE9D16" w14:textId="77777777" w:rsidR="0085380A" w:rsidRDefault="00000000">
      <w:pPr>
        <w:spacing w:after="120" w:line="276" w:lineRule="auto"/>
      </w:pPr>
      <w:r>
        <w:t xml:space="preserve">Azure Government platform endpoints used by the runbook: </w:t>
      </w:r>
      <w:r>
        <w:rPr>
          <w:rFonts w:ascii="Consolas" w:eastAsia="Consolas" w:hAnsi="Consolas" w:cs="Consolas"/>
          <w:sz w:val="19"/>
          <w:szCs w:val="19"/>
        </w:rPr>
        <w:t>management.usgovcloudapi.net</w:t>
      </w:r>
      <w:r>
        <w:t xml:space="preserve">, </w:t>
      </w:r>
      <w:r>
        <w:rPr>
          <w:rFonts w:ascii="Consolas" w:eastAsia="Consolas" w:hAnsi="Consolas" w:cs="Consolas"/>
          <w:sz w:val="19"/>
          <w:szCs w:val="19"/>
        </w:rPr>
        <w:t>*.vault.usgovcloudapi.net</w:t>
      </w:r>
      <w:r>
        <w:t xml:space="preserve">, </w:t>
      </w:r>
      <w:r>
        <w:rPr>
          <w:rFonts w:ascii="Consolas" w:eastAsia="Consolas" w:hAnsi="Consolas" w:cs="Consolas"/>
          <w:sz w:val="19"/>
          <w:szCs w:val="19"/>
        </w:rPr>
        <w:t>*.blob.core.usgovcloudapi.net</w:t>
      </w:r>
      <w:r>
        <w:t xml:space="preserve">, </w:t>
      </w:r>
      <w:r>
        <w:rPr>
          <w:rFonts w:ascii="Consolas" w:eastAsia="Consolas" w:hAnsi="Consolas" w:cs="Consolas"/>
          <w:sz w:val="19"/>
          <w:szCs w:val="19"/>
        </w:rPr>
        <w:t>*.azure-automation.us</w:t>
      </w:r>
      <w:r>
        <w:t xml:space="preserve">, </w:t>
      </w:r>
      <w:r>
        <w:rPr>
          <w:rFonts w:ascii="Consolas" w:eastAsia="Consolas" w:hAnsi="Consolas" w:cs="Consolas"/>
          <w:sz w:val="19"/>
          <w:szCs w:val="19"/>
        </w:rPr>
        <w:t>*.ods.opinsights.azure.us</w:t>
      </w:r>
      <w:r>
        <w:t xml:space="preserve">, </w:t>
      </w:r>
      <w:r>
        <w:rPr>
          <w:rFonts w:ascii="Consolas" w:eastAsia="Consolas" w:hAnsi="Consolas" w:cs="Consolas"/>
          <w:sz w:val="19"/>
          <w:szCs w:val="19"/>
        </w:rPr>
        <w:t>*.oms.opinsights.azure.us</w:t>
      </w:r>
      <w:r>
        <w:t xml:space="preserve">, </w:t>
      </w:r>
      <w:r>
        <w:rPr>
          <w:rFonts w:ascii="Consolas" w:eastAsia="Consolas" w:hAnsi="Consolas" w:cs="Consolas"/>
          <w:sz w:val="19"/>
          <w:szCs w:val="19"/>
        </w:rPr>
        <w:t>*.agentsvc.azure.us</w:t>
      </w:r>
      <w:r>
        <w:t>.</w:t>
      </w:r>
    </w:p>
    <w:p w14:paraId="44DE9D17" w14:textId="77777777" w:rsidR="0085380A" w:rsidRDefault="00000000">
      <w:pPr>
        <w:pStyle w:val="Heading1"/>
        <w:keepNext/>
        <w:spacing w:before="360" w:after="140"/>
      </w:pPr>
      <w:bookmarkStart w:id="28" w:name="_Toc239065950"/>
      <w:r>
        <w:t>Appendix B — Repository layout</w:t>
      </w:r>
      <w:bookmarkEnd w:id="28"/>
    </w:p>
    <w:p w14:paraId="44DE9D18" w14:textId="77777777" w:rsidR="0085380A" w:rsidRDefault="00000000">
      <w:pPr>
        <w:shd w:val="clear" w:color="auto" w:fill="F2F4F7"/>
        <w:spacing w:before="60"/>
        <w:ind w:left="180" w:right="180"/>
      </w:pPr>
      <w:r>
        <w:rPr>
          <w:rFonts w:ascii="Consolas" w:eastAsia="Consolas" w:hAnsi="Consolas" w:cs="Consolas"/>
          <w:sz w:val="17"/>
          <w:szCs w:val="17"/>
        </w:rPr>
        <w:t>config/galsync.config.json          Runtime configuration (tenants, scope, attributes, safety)</w:t>
      </w:r>
    </w:p>
    <w:p w14:paraId="44DE9D19" w14:textId="77777777" w:rsidR="0085380A" w:rsidRDefault="00000000">
      <w:pPr>
        <w:shd w:val="clear" w:color="auto" w:fill="F2F4F7"/>
        <w:ind w:left="180" w:right="180"/>
      </w:pPr>
      <w:r>
        <w:rPr>
          <w:rFonts w:ascii="Consolas" w:eastAsia="Consolas" w:hAnsi="Consolas" w:cs="Consolas"/>
          <w:sz w:val="17"/>
          <w:szCs w:val="17"/>
        </w:rPr>
        <w:t>src/GalSync/                        Sync engine module (GalSync.psd1, GalSync.psm1)</w:t>
      </w:r>
    </w:p>
    <w:p w14:paraId="44DE9D1A" w14:textId="77777777" w:rsidR="0085380A" w:rsidRDefault="00000000">
      <w:pPr>
        <w:shd w:val="clear" w:color="auto" w:fill="F2F4F7"/>
        <w:ind w:left="180" w:right="180"/>
      </w:pPr>
      <w:r>
        <w:rPr>
          <w:rFonts w:ascii="Consolas" w:eastAsia="Consolas" w:hAnsi="Consolas" w:cs="Consolas"/>
          <w:sz w:val="17"/>
          <w:szCs w:val="17"/>
        </w:rPr>
        <w:t>src/Invoke-GalSyncRunbook.ps1       Automation runbook entry point</w:t>
      </w:r>
    </w:p>
    <w:p w14:paraId="44DE9D1B" w14:textId="77777777" w:rsidR="0085380A" w:rsidRDefault="00000000">
      <w:pPr>
        <w:shd w:val="clear" w:color="auto" w:fill="F2F4F7"/>
        <w:ind w:left="180" w:right="180"/>
      </w:pPr>
      <w:r>
        <w:rPr>
          <w:rFonts w:ascii="Consolas" w:eastAsia="Consolas" w:hAnsi="Consolas" w:cs="Consolas"/>
          <w:sz w:val="17"/>
          <w:szCs w:val="17"/>
        </w:rPr>
        <w:t>scripts/New-GalSyncAppRegistration.ps1   Per-tenant app, certificate, permissions, Key Vault import</w:t>
      </w:r>
    </w:p>
    <w:p w14:paraId="44DE9D1C" w14:textId="77777777" w:rsidR="0085380A" w:rsidRDefault="00000000">
      <w:pPr>
        <w:shd w:val="clear" w:color="auto" w:fill="F2F4F7"/>
        <w:ind w:left="180" w:right="180"/>
      </w:pPr>
      <w:r>
        <w:rPr>
          <w:rFonts w:ascii="Consolas" w:eastAsia="Consolas" w:hAnsi="Consolas" w:cs="Consolas"/>
          <w:sz w:val="17"/>
          <w:szCs w:val="17"/>
        </w:rPr>
        <w:t>scripts/Test-GalSyncPrereqs.ps1     Pre-flight validation and preview</w:t>
      </w:r>
    </w:p>
    <w:p w14:paraId="44DE9D1D" w14:textId="77777777" w:rsidR="0085380A" w:rsidRDefault="00000000">
      <w:pPr>
        <w:shd w:val="clear" w:color="auto" w:fill="F2F4F7"/>
        <w:ind w:left="180" w:right="180"/>
      </w:pPr>
      <w:r>
        <w:rPr>
          <w:rFonts w:ascii="Consolas" w:eastAsia="Consolas" w:hAnsi="Consolas" w:cs="Consolas"/>
          <w:sz w:val="17"/>
          <w:szCs w:val="17"/>
        </w:rPr>
        <w:t>scripts/Set-CrossCloudFreeBusy.ps1  Cross-Tenant Access Policy (and legacy bridge)</w:t>
      </w:r>
    </w:p>
    <w:p w14:paraId="44DE9D1E" w14:textId="77777777" w:rsidR="0085380A" w:rsidRDefault="00000000">
      <w:pPr>
        <w:shd w:val="clear" w:color="auto" w:fill="F2F4F7"/>
        <w:ind w:left="180" w:right="180"/>
      </w:pPr>
      <w:r>
        <w:rPr>
          <w:rFonts w:ascii="Consolas" w:eastAsia="Consolas" w:hAnsi="Consolas" w:cs="Consolas"/>
          <w:sz w:val="17"/>
          <w:szCs w:val="17"/>
        </w:rPr>
        <w:t>scripts/Set-TeamsFederation.ps1     Allow-listed Teams external access</w:t>
      </w:r>
    </w:p>
    <w:p w14:paraId="44DE9D1F" w14:textId="77777777" w:rsidR="0085380A" w:rsidRDefault="00000000">
      <w:pPr>
        <w:shd w:val="clear" w:color="auto" w:fill="F2F4F7"/>
        <w:ind w:left="180" w:right="180"/>
      </w:pPr>
      <w:r>
        <w:rPr>
          <w:rFonts w:ascii="Consolas" w:eastAsia="Consolas" w:hAnsi="Consolas" w:cs="Consolas"/>
          <w:sz w:val="17"/>
          <w:szCs w:val="17"/>
        </w:rPr>
        <w:t>infra/main.bicep                    Automation, Key Vault, storage, Log Analytics, alerts, RBAC</w:t>
      </w:r>
    </w:p>
    <w:p w14:paraId="44DE9D20" w14:textId="77777777" w:rsidR="0085380A" w:rsidRDefault="00000000">
      <w:pPr>
        <w:shd w:val="clear" w:color="auto" w:fill="F2F4F7"/>
        <w:ind w:left="180" w:right="180"/>
      </w:pPr>
      <w:r>
        <w:rPr>
          <w:rFonts w:ascii="Consolas" w:eastAsia="Consolas" w:hAnsi="Consolas" w:cs="Consolas"/>
          <w:sz w:val="17"/>
          <w:szCs w:val="17"/>
        </w:rPr>
        <w:t>infra/network.bicep                 Azure Firewall egress policy (optional)</w:t>
      </w:r>
    </w:p>
    <w:p w14:paraId="44DE9D21" w14:textId="77777777" w:rsidR="0085380A" w:rsidRDefault="00000000">
      <w:pPr>
        <w:shd w:val="clear" w:color="auto" w:fill="F2F4F7"/>
        <w:ind w:left="180" w:right="180"/>
      </w:pPr>
      <w:r>
        <w:rPr>
          <w:rFonts w:ascii="Consolas" w:eastAsia="Consolas" w:hAnsi="Consolas" w:cs="Consolas"/>
          <w:sz w:val="17"/>
          <w:szCs w:val="17"/>
        </w:rPr>
        <w:t>tests/GalSync.Tests.ps1             Pester tests for scoping, projection, planning, safety gate</w:t>
      </w:r>
    </w:p>
    <w:p w14:paraId="44DE9D22" w14:textId="77777777" w:rsidR="0085380A" w:rsidRDefault="00000000">
      <w:pPr>
        <w:shd w:val="clear" w:color="auto" w:fill="F2F4F7"/>
        <w:spacing w:after="160"/>
        <w:ind w:left="180" w:right="180"/>
      </w:pPr>
      <w:r>
        <w:rPr>
          <w:rFonts w:ascii="Consolas" w:eastAsia="Consolas" w:hAnsi="Consolas" w:cs="Consolas"/>
          <w:sz w:val="17"/>
          <w:szCs w:val="17"/>
        </w:rPr>
        <w:t>docs/                               This design, the operations runbook, the attribute inventory</w:t>
      </w:r>
    </w:p>
    <w:p w14:paraId="44DE9D23" w14:textId="77777777" w:rsidR="0085380A" w:rsidRDefault="00000000">
      <w:pPr>
        <w:pStyle w:val="Heading1"/>
        <w:keepNext/>
        <w:spacing w:before="360" w:after="140"/>
      </w:pPr>
      <w:bookmarkStart w:id="29" w:name="_Toc239065951"/>
      <w:r>
        <w:t>Appendix C — References</w:t>
      </w:r>
      <w:bookmarkEnd w:id="29"/>
    </w:p>
    <w:p w14:paraId="44DE9D24" w14:textId="77777777" w:rsidR="0085380A" w:rsidRDefault="00000000">
      <w:pPr>
        <w:pStyle w:val="ListParagraph"/>
        <w:numPr>
          <w:ilvl w:val="0"/>
          <w:numId w:val="5"/>
        </w:numPr>
        <w:spacing w:after="60" w:line="276" w:lineRule="auto"/>
      </w:pPr>
      <w:r>
        <w:t>App-only authentication in Exchange Online PowerShell — https://learn.microsoft.com/powershell/exchange/app-only-auth-powershell-v2</w:t>
      </w:r>
    </w:p>
    <w:p w14:paraId="44DE9D25" w14:textId="77777777" w:rsidR="0085380A" w:rsidRDefault="00000000">
      <w:pPr>
        <w:pStyle w:val="ListParagraph"/>
        <w:numPr>
          <w:ilvl w:val="0"/>
          <w:numId w:val="5"/>
        </w:numPr>
        <w:spacing w:after="60" w:line="276" w:lineRule="auto"/>
      </w:pPr>
      <w:r>
        <w:t>Microsoft Graph national cloud deployments — https://learn.microsoft.com/graph/deployments</w:t>
      </w:r>
    </w:p>
    <w:p w14:paraId="44DE9D26" w14:textId="77777777" w:rsidR="0085380A" w:rsidRDefault="00000000">
      <w:pPr>
        <w:pStyle w:val="ListParagraph"/>
        <w:numPr>
          <w:ilvl w:val="0"/>
          <w:numId w:val="5"/>
        </w:numPr>
        <w:spacing w:after="60" w:line="276" w:lineRule="auto"/>
      </w:pPr>
      <w:r>
        <w:t>orgContact resource type (read-only) — https://learn.microsoft.com/graph/api/resources/orgcontact</w:t>
      </w:r>
    </w:p>
    <w:p w14:paraId="44DE9D27" w14:textId="77777777" w:rsidR="0085380A" w:rsidRDefault="00000000">
      <w:pPr>
        <w:pStyle w:val="ListParagraph"/>
        <w:numPr>
          <w:ilvl w:val="0"/>
          <w:numId w:val="5"/>
        </w:numPr>
        <w:spacing w:after="60" w:line="276" w:lineRule="auto"/>
      </w:pPr>
      <w:r>
        <w:lastRenderedPageBreak/>
        <w:t>Migrate to Microsoft 365 Cross-Tenant Access Policy for Free/Busy, Calendars and MailTips — https://learn.microsoft.com/exchange/sharing/migrate-to-m365-xtap</w:t>
      </w:r>
    </w:p>
    <w:p w14:paraId="44DE9D28" w14:textId="77777777" w:rsidR="0085380A" w:rsidRDefault="00000000">
      <w:pPr>
        <w:pStyle w:val="ListParagraph"/>
        <w:numPr>
          <w:ilvl w:val="0"/>
          <w:numId w:val="5"/>
        </w:numPr>
        <w:spacing w:after="60" w:line="276" w:lineRule="auto"/>
      </w:pPr>
      <w:r>
        <w:t>Microsoft cloud settings for cross-cloud B2B — https://learn.microsoft.com/entra/external-id/cross-cloud-settings</w:t>
      </w:r>
    </w:p>
    <w:p w14:paraId="44DE9D29" w14:textId="77777777" w:rsidR="0085380A" w:rsidRDefault="00000000">
      <w:pPr>
        <w:pStyle w:val="ListParagraph"/>
        <w:numPr>
          <w:ilvl w:val="0"/>
          <w:numId w:val="5"/>
        </w:numPr>
        <w:spacing w:after="60" w:line="276" w:lineRule="auto"/>
      </w:pPr>
      <w:r>
        <w:t>Collaborate with guests from other Microsoft 365 cloud environments — https://learn.microsoft.com/microsoft-365/solutions/collaborate-guests-cross-cloud</w:t>
      </w:r>
    </w:p>
    <w:p w14:paraId="44DE9D2A" w14:textId="77777777" w:rsidR="0085380A" w:rsidRDefault="00000000">
      <w:pPr>
        <w:pStyle w:val="ListParagraph"/>
        <w:numPr>
          <w:ilvl w:val="0"/>
          <w:numId w:val="5"/>
        </w:numPr>
        <w:spacing w:after="60" w:line="276" w:lineRule="auto"/>
      </w:pPr>
      <w:r>
        <w:t>Manage external meetings and chat — https://learn.microsoft.com/microsoftteams/trusted-organizations-external-meetings-chat</w:t>
      </w:r>
    </w:p>
    <w:p w14:paraId="44DE9D2B" w14:textId="77777777" w:rsidR="0085380A" w:rsidRDefault="00000000">
      <w:pPr>
        <w:pStyle w:val="ListParagraph"/>
        <w:numPr>
          <w:ilvl w:val="0"/>
          <w:numId w:val="5"/>
        </w:numPr>
        <w:spacing w:after="60" w:line="276" w:lineRule="auto"/>
      </w:pPr>
      <w:r>
        <w:t>MC1446796 — Migrate Free/Busy, MailTips and Calendar Sharing before EWS deprecation</w:t>
      </w:r>
    </w:p>
    <w:sectPr w:rsidR="008538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2657"/>
    <w:multiLevelType w:val="hybridMultilevel"/>
    <w:tmpl w:val="3D7AE5BA"/>
    <w:lvl w:ilvl="0" w:tplc="91C81DC6">
      <w:start w:val="1"/>
      <w:numFmt w:val="bullet"/>
      <w:lvlText w:val="•"/>
      <w:lvlJc w:val="left"/>
      <w:pPr>
        <w:ind w:left="431" w:hanging="259"/>
      </w:pPr>
    </w:lvl>
    <w:lvl w:ilvl="1" w:tplc="A7283402">
      <w:start w:val="1"/>
      <w:numFmt w:val="bullet"/>
      <w:lvlText w:val="◦"/>
      <w:lvlJc w:val="left"/>
      <w:pPr>
        <w:ind w:left="863" w:hanging="259"/>
      </w:pPr>
    </w:lvl>
    <w:lvl w:ilvl="2" w:tplc="934EA2CE">
      <w:numFmt w:val="decimal"/>
      <w:lvlText w:val=""/>
      <w:lvlJc w:val="left"/>
    </w:lvl>
    <w:lvl w:ilvl="3" w:tplc="602C039A">
      <w:numFmt w:val="decimal"/>
      <w:lvlText w:val=""/>
      <w:lvlJc w:val="left"/>
    </w:lvl>
    <w:lvl w:ilvl="4" w:tplc="99A85F48">
      <w:numFmt w:val="decimal"/>
      <w:lvlText w:val=""/>
      <w:lvlJc w:val="left"/>
    </w:lvl>
    <w:lvl w:ilvl="5" w:tplc="D80E124A">
      <w:numFmt w:val="decimal"/>
      <w:lvlText w:val=""/>
      <w:lvlJc w:val="left"/>
    </w:lvl>
    <w:lvl w:ilvl="6" w:tplc="0E3C8396">
      <w:numFmt w:val="decimal"/>
      <w:lvlText w:val=""/>
      <w:lvlJc w:val="left"/>
    </w:lvl>
    <w:lvl w:ilvl="7" w:tplc="73CCDB76">
      <w:numFmt w:val="decimal"/>
      <w:lvlText w:val=""/>
      <w:lvlJc w:val="left"/>
    </w:lvl>
    <w:lvl w:ilvl="8" w:tplc="E46EE576">
      <w:numFmt w:val="decimal"/>
      <w:lvlText w:val=""/>
      <w:lvlJc w:val="left"/>
    </w:lvl>
  </w:abstractNum>
  <w:abstractNum w:abstractNumId="1" w15:restartNumberingAfterBreak="0">
    <w:nsid w:val="2AF65C7A"/>
    <w:multiLevelType w:val="hybridMultilevel"/>
    <w:tmpl w:val="9D2C2AA8"/>
    <w:lvl w:ilvl="0" w:tplc="FC340474">
      <w:start w:val="1"/>
      <w:numFmt w:val="bullet"/>
      <w:lvlText w:val="●"/>
      <w:lvlJc w:val="left"/>
      <w:pPr>
        <w:ind w:left="720" w:hanging="360"/>
      </w:pPr>
    </w:lvl>
    <w:lvl w:ilvl="1" w:tplc="4288D09E">
      <w:start w:val="1"/>
      <w:numFmt w:val="bullet"/>
      <w:lvlText w:val="○"/>
      <w:lvlJc w:val="left"/>
      <w:pPr>
        <w:ind w:left="1440" w:hanging="360"/>
      </w:pPr>
    </w:lvl>
    <w:lvl w:ilvl="2" w:tplc="F9E099A8">
      <w:start w:val="1"/>
      <w:numFmt w:val="bullet"/>
      <w:lvlText w:val="■"/>
      <w:lvlJc w:val="left"/>
      <w:pPr>
        <w:ind w:left="2160" w:hanging="360"/>
      </w:pPr>
    </w:lvl>
    <w:lvl w:ilvl="3" w:tplc="59BCDB8E">
      <w:start w:val="1"/>
      <w:numFmt w:val="bullet"/>
      <w:lvlText w:val="●"/>
      <w:lvlJc w:val="left"/>
      <w:pPr>
        <w:ind w:left="2880" w:hanging="360"/>
      </w:pPr>
    </w:lvl>
    <w:lvl w:ilvl="4" w:tplc="7B26FE34">
      <w:start w:val="1"/>
      <w:numFmt w:val="bullet"/>
      <w:lvlText w:val="○"/>
      <w:lvlJc w:val="left"/>
      <w:pPr>
        <w:ind w:left="3600" w:hanging="360"/>
      </w:pPr>
    </w:lvl>
    <w:lvl w:ilvl="5" w:tplc="C8C256E2">
      <w:start w:val="1"/>
      <w:numFmt w:val="bullet"/>
      <w:lvlText w:val="■"/>
      <w:lvlJc w:val="left"/>
      <w:pPr>
        <w:ind w:left="4320" w:hanging="360"/>
      </w:pPr>
    </w:lvl>
    <w:lvl w:ilvl="6" w:tplc="97922386">
      <w:start w:val="1"/>
      <w:numFmt w:val="bullet"/>
      <w:lvlText w:val="●"/>
      <w:lvlJc w:val="left"/>
      <w:pPr>
        <w:ind w:left="5040" w:hanging="360"/>
      </w:pPr>
    </w:lvl>
    <w:lvl w:ilvl="7" w:tplc="2940FBE2">
      <w:start w:val="1"/>
      <w:numFmt w:val="bullet"/>
      <w:lvlText w:val="●"/>
      <w:lvlJc w:val="left"/>
      <w:pPr>
        <w:ind w:left="5760" w:hanging="360"/>
      </w:pPr>
    </w:lvl>
    <w:lvl w:ilvl="8" w:tplc="98009EFE">
      <w:start w:val="1"/>
      <w:numFmt w:val="bullet"/>
      <w:lvlText w:val="●"/>
      <w:lvlJc w:val="left"/>
      <w:pPr>
        <w:ind w:left="6480" w:hanging="360"/>
      </w:pPr>
    </w:lvl>
  </w:abstractNum>
  <w:abstractNum w:abstractNumId="2" w15:restartNumberingAfterBreak="0">
    <w:nsid w:val="78634FDA"/>
    <w:multiLevelType w:val="hybridMultilevel"/>
    <w:tmpl w:val="37288582"/>
    <w:lvl w:ilvl="0" w:tplc="34D2C8F6">
      <w:start w:val="1"/>
      <w:numFmt w:val="decimal"/>
      <w:lvlText w:val="%1."/>
      <w:lvlJc w:val="left"/>
      <w:pPr>
        <w:ind w:left="431" w:hanging="259"/>
      </w:pPr>
    </w:lvl>
    <w:lvl w:ilvl="1" w:tplc="43D47F9C">
      <w:numFmt w:val="decimal"/>
      <w:lvlText w:val=""/>
      <w:lvlJc w:val="left"/>
    </w:lvl>
    <w:lvl w:ilvl="2" w:tplc="1ED2CD76">
      <w:numFmt w:val="decimal"/>
      <w:lvlText w:val=""/>
      <w:lvlJc w:val="left"/>
    </w:lvl>
    <w:lvl w:ilvl="3" w:tplc="C21EA8E8">
      <w:numFmt w:val="decimal"/>
      <w:lvlText w:val=""/>
      <w:lvlJc w:val="left"/>
    </w:lvl>
    <w:lvl w:ilvl="4" w:tplc="55BC77B4">
      <w:numFmt w:val="decimal"/>
      <w:lvlText w:val=""/>
      <w:lvlJc w:val="left"/>
    </w:lvl>
    <w:lvl w:ilvl="5" w:tplc="CD9EA6DC">
      <w:numFmt w:val="decimal"/>
      <w:lvlText w:val=""/>
      <w:lvlJc w:val="left"/>
    </w:lvl>
    <w:lvl w:ilvl="6" w:tplc="B6707508">
      <w:numFmt w:val="decimal"/>
      <w:lvlText w:val=""/>
      <w:lvlJc w:val="left"/>
    </w:lvl>
    <w:lvl w:ilvl="7" w:tplc="52668468">
      <w:numFmt w:val="decimal"/>
      <w:lvlText w:val=""/>
      <w:lvlJc w:val="left"/>
    </w:lvl>
    <w:lvl w:ilvl="8" w:tplc="221E4EA2">
      <w:numFmt w:val="decimal"/>
      <w:lvlText w:val=""/>
      <w:lvlJc w:val="left"/>
    </w:lvl>
  </w:abstractNum>
  <w:num w:numId="1" w16cid:durableId="565801010">
    <w:abstractNumId w:val="1"/>
    <w:lvlOverride w:ilvl="0">
      <w:startOverride w:val="1"/>
    </w:lvlOverride>
  </w:num>
  <w:num w:numId="2" w16cid:durableId="562719163">
    <w:abstractNumId w:val="2"/>
    <w:lvlOverride w:ilvl="0">
      <w:startOverride w:val="1"/>
    </w:lvlOverride>
  </w:num>
  <w:num w:numId="3" w16cid:durableId="1003361276">
    <w:abstractNumId w:val="2"/>
    <w:lvlOverride w:ilvl="0">
      <w:startOverride w:val="1"/>
    </w:lvlOverride>
  </w:num>
  <w:num w:numId="4" w16cid:durableId="185683843">
    <w:abstractNumId w:val="2"/>
    <w:lvlOverride w:ilvl="0">
      <w:startOverride w:val="1"/>
    </w:lvlOverride>
  </w:num>
  <w:num w:numId="5" w16cid:durableId="147092068">
    <w:abstractNumId w:val="0"/>
    <w:lvlOverride w:ilvl="0">
      <w:startOverride w:val="1"/>
    </w:lvlOverride>
  </w:num>
  <w:num w:numId="6" w16cid:durableId="1335256088">
    <w:abstractNumId w:val="2"/>
    <w:lvlOverride w:ilvl="0">
      <w:startOverride w:val="1"/>
    </w:lvlOverride>
  </w:num>
  <w:num w:numId="7" w16cid:durableId="699626750">
    <w:abstractNumId w:val="2"/>
    <w:lvlOverride w:ilvl="0">
      <w:startOverride w:val="1"/>
    </w:lvlOverride>
  </w:num>
  <w:num w:numId="8" w16cid:durableId="10434828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80A"/>
    <w:rsid w:val="00214BA5"/>
    <w:rsid w:val="004130AB"/>
    <w:rsid w:val="00415DA9"/>
    <w:rsid w:val="00687924"/>
    <w:rsid w:val="00853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9B41"/>
  <w15:docId w15:val="{709A39BE-2B2A-450D-B90B-BA2D9475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4E79"/>
      <w:sz w:val="32"/>
      <w:szCs w:val="32"/>
    </w:rPr>
  </w:style>
  <w:style w:type="paragraph" w:styleId="Heading2">
    <w:name w:val="heading 2"/>
    <w:uiPriority w:val="9"/>
    <w:unhideWhenUsed/>
    <w:qFormat/>
    <w:pPr>
      <w:outlineLvl w:val="1"/>
    </w:pPr>
    <w:rPr>
      <w:rFonts w:ascii="Calibri Light" w:eastAsia="Calibri Light" w:hAnsi="Calibri Light" w:cs="Calibri Light"/>
      <w:b/>
      <w:bCs/>
      <w:color w:val="2E75B6"/>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5DA9"/>
    <w:pPr>
      <w:spacing w:after="100"/>
    </w:pPr>
  </w:style>
  <w:style w:type="paragraph" w:styleId="TOC2">
    <w:name w:val="toc 2"/>
    <w:basedOn w:val="Normal"/>
    <w:next w:val="Normal"/>
    <w:autoRedefine/>
    <w:uiPriority w:val="39"/>
    <w:unhideWhenUsed/>
    <w:rsid w:val="00415DA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16</Pages>
  <Words>5326</Words>
  <Characters>30363</Characters>
  <Application>Microsoft Office Word</Application>
  <DocSecurity>0</DocSecurity>
  <Lines>253</Lines>
  <Paragraphs>71</Paragraphs>
  <ScaleCrop>false</ScaleCrop>
  <Company/>
  <LinksUpToDate>false</LinksUpToDate>
  <CharactersWithSpaces>35618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Cross-Cloud GAL Synchronisation</dc:title>
  <dc:creator>Contoso Cloud Engineering</dc:creator>
  <dc:description>Microsoft 365 GCC High to Microsoft 365 Commercial — Architecture and Compliance Design</dc:description>
  <cp:lastModifiedBy>Bradford Busch</cp:lastModifiedBy>
  <cp:revision>4</cp:revision>
  <dcterms:created xsi:type="dcterms:W3CDTF">2026-08-28T19:15:00Z</dcterms:created>
  <dcterms:modified xsi:type="dcterms:W3CDTF">2026-08-31T18:16:00Z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3cd3fd5c-9878-4f27-bf62-413c0b553a30</vt:lpwstr>
  </property>
</Properties>
</file>