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4748" w14:textId="14A0F1C4" w:rsidR="000F01B0" w:rsidRDefault="000F01B0" w:rsidP="000F01B0">
      <w:pPr>
        <w:pStyle w:val="Cover-PublSeries"/>
      </w:pPr>
      <w:r>
        <w:t xml:space="preserve">Regional </w:t>
      </w:r>
      <w:r w:rsidR="0046660D">
        <w:t>Operational Plan</w:t>
      </w:r>
      <w:r>
        <w:t xml:space="preserve"> </w:t>
      </w:r>
      <w:proofErr w:type="gramStart"/>
      <w:r w:rsidR="0007513C" w:rsidRPr="00534FF2">
        <w:rPr>
          <w:highlight w:val="yellow"/>
        </w:rPr>
        <w:t>DF</w:t>
      </w:r>
      <w:r w:rsidR="0046660D" w:rsidRPr="00534FF2">
        <w:rPr>
          <w:highlight w:val="yellow"/>
        </w:rPr>
        <w:t>.</w:t>
      </w:r>
      <w:r w:rsidR="0007513C" w:rsidRPr="00534FF2">
        <w:rPr>
          <w:highlight w:val="yellow"/>
        </w:rPr>
        <w:t>#</w:t>
      </w:r>
      <w:proofErr w:type="gramEnd"/>
      <w:r w:rsidR="0007513C" w:rsidRPr="00534FF2">
        <w:rPr>
          <w:highlight w:val="yellow"/>
        </w:rPr>
        <w:t>R</w:t>
      </w:r>
      <w:r w:rsidR="0046660D" w:rsidRPr="00800FD2">
        <w:t>.</w:t>
      </w:r>
      <w:r w:rsidR="00800FD2" w:rsidRPr="00800FD2">
        <w:t>2019</w:t>
      </w:r>
      <w:r w:rsidR="004D3765" w:rsidRPr="00800FD2">
        <w:t>.</w:t>
      </w:r>
      <w:r w:rsidR="0007513C" w:rsidRPr="00534FF2">
        <w:rPr>
          <w:highlight w:val="yellow"/>
        </w:rPr>
        <w:t>XX</w:t>
      </w:r>
    </w:p>
    <w:p w14:paraId="5F765525" w14:textId="77777777" w:rsidR="000F01B0" w:rsidRPr="00B205F2" w:rsidRDefault="00725DBC" w:rsidP="000F01B0">
      <w:pPr>
        <w:pStyle w:val="Cover-ReptTitle"/>
      </w:pPr>
      <w:r w:rsidRPr="00725DBC">
        <w:t xml:space="preserve">Estimation and Projection of Statewide </w:t>
      </w:r>
      <w:r>
        <w:t xml:space="preserve">Recreational </w:t>
      </w:r>
      <w:r w:rsidRPr="00725DBC">
        <w:t>Halibut Harvest</w:t>
      </w:r>
    </w:p>
    <w:p w14:paraId="59AD4AED" w14:textId="77777777" w:rsidR="000F01B0" w:rsidRDefault="000F01B0" w:rsidP="004D3765">
      <w:pPr>
        <w:pStyle w:val="Cover-byAuthors0"/>
      </w:pPr>
      <w:r>
        <w:t>by</w:t>
      </w:r>
    </w:p>
    <w:p w14:paraId="682041CF" w14:textId="77777777" w:rsidR="000F01B0" w:rsidRDefault="00534FF2" w:rsidP="00BE09B2">
      <w:pPr>
        <w:pStyle w:val="Cover-byAuthors0"/>
      </w:pPr>
      <w:r>
        <w:t>Sarah R. Webster</w:t>
      </w:r>
    </w:p>
    <w:p w14:paraId="388988A1" w14:textId="77777777" w:rsidR="000F01B0" w:rsidRDefault="000F01B0" w:rsidP="00BE09B2">
      <w:pPr>
        <w:pStyle w:val="Cover-byAuthors0"/>
      </w:pPr>
    </w:p>
    <w:p w14:paraId="0F4B4795" w14:textId="7F2277A2" w:rsidR="000F01B0" w:rsidRDefault="000F01B0" w:rsidP="00763249">
      <w:pPr>
        <w:sectPr w:rsidR="000F01B0" w:rsidSect="00284CC1">
          <w:footerReference w:type="even" r:id="rId9"/>
          <w:footerReference w:type="default" r:id="rId10"/>
          <w:pgSz w:w="12240" w:h="15840" w:code="1"/>
          <w:pgMar w:top="1440" w:right="1440" w:bottom="1440" w:left="1440" w:header="720" w:footer="720" w:gutter="0"/>
          <w:cols w:space="720"/>
        </w:sectPr>
      </w:pPr>
      <w:r>
        <w:rPr>
          <w:noProof/>
        </w:rPr>
        <w:drawing>
          <wp:anchor distT="0" distB="0" distL="114300" distR="114300" simplePos="0" relativeHeight="251637248" behindDoc="0" locked="0" layoutInCell="1" allowOverlap="0" wp14:anchorId="3F99BC2F" wp14:editId="07D539FC">
            <wp:simplePos x="0" y="0"/>
            <wp:positionH relativeFrom="page">
              <wp:posOffset>3009900</wp:posOffset>
            </wp:positionH>
            <wp:positionV relativeFrom="page">
              <wp:posOffset>7800975</wp:posOffset>
            </wp:positionV>
            <wp:extent cx="1682750" cy="1715770"/>
            <wp:effectExtent l="19050" t="0" r="0" b="0"/>
            <wp:wrapTight wrapText="bothSides">
              <wp:wrapPolygon edited="0">
                <wp:start x="-245" y="0"/>
                <wp:lineTo x="-245" y="21344"/>
                <wp:lineTo x="21518" y="21344"/>
                <wp:lineTo x="21518" y="0"/>
                <wp:lineTo x="-245" y="0"/>
              </wp:wrapPolygon>
            </wp:wrapTight>
            <wp:docPr id="654" name="Picture 654" descr="ADF&amp;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ADF&amp;G Logo"/>
                    <pic:cNvPicPr>
                      <a:picLocks noChangeAspect="1" noChangeArrowheads="1"/>
                    </pic:cNvPicPr>
                  </pic:nvPicPr>
                  <pic:blipFill>
                    <a:blip r:embed="rId11" cstate="print"/>
                    <a:srcRect/>
                    <a:stretch>
                      <a:fillRect/>
                    </a:stretch>
                  </pic:blipFill>
                  <pic:spPr bwMode="auto">
                    <a:xfrm>
                      <a:off x="0" y="0"/>
                      <a:ext cx="1682750" cy="1715770"/>
                    </a:xfrm>
                    <a:prstGeom prst="rect">
                      <a:avLst/>
                    </a:prstGeom>
                    <a:noFill/>
                    <a:ln w="9525">
                      <a:noFill/>
                      <a:miter lim="800000"/>
                      <a:headEnd/>
                      <a:tailEnd/>
                    </a:ln>
                  </pic:spPr>
                </pic:pic>
              </a:graphicData>
            </a:graphic>
          </wp:anchor>
        </w:drawing>
      </w:r>
      <w:r w:rsidR="00E15CDC">
        <w:rPr>
          <w:noProof/>
        </w:rPr>
        <mc:AlternateContent>
          <mc:Choice Requires="wps">
            <w:drawing>
              <wp:anchor distT="0" distB="0" distL="114300" distR="114300" simplePos="0" relativeHeight="251646464" behindDoc="0" locked="0" layoutInCell="1" allowOverlap="1" wp14:anchorId="1A1E2309" wp14:editId="164C1085">
                <wp:simplePos x="0" y="0"/>
                <wp:positionH relativeFrom="column">
                  <wp:posOffset>-95250</wp:posOffset>
                </wp:positionH>
                <wp:positionV relativeFrom="page">
                  <wp:posOffset>7258050</wp:posOffset>
                </wp:positionV>
                <wp:extent cx="6057900" cy="571500"/>
                <wp:effectExtent l="0" t="0" r="0" b="0"/>
                <wp:wrapNone/>
                <wp:docPr id="1716"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76C9D" w14:textId="48A9E97B" w:rsidR="000B0B97" w:rsidRDefault="000B0B97" w:rsidP="000F01B0">
                            <w:pPr>
                              <w:pStyle w:val="Cover-PublDate"/>
                              <w:ind w:right="-72"/>
                            </w:pPr>
                            <w:r>
                              <w:t>August 2019</w:t>
                            </w:r>
                          </w:p>
                          <w:p w14:paraId="6ECEA590" w14:textId="77777777" w:rsidR="000B0B97" w:rsidRDefault="000B0B97" w:rsidP="000F01B0">
                            <w:pPr>
                              <w:pStyle w:val="Cover-DeptDiv"/>
                            </w:pPr>
                            <w:r>
                              <w:t>Alaska Department of Fish and Game</w:t>
                            </w:r>
                            <w:r>
                              <w:tab/>
                              <w:t>Divisions of Sport Fish and Commercial Fisheries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E2309" id="_x0000_t202" coordsize="21600,21600" o:spt="202" path="m,l,21600r21600,l21600,xe">
                <v:stroke joinstyle="miter"/>
                <v:path gradientshapeok="t" o:connecttype="rect"/>
              </v:shapetype>
              <v:shape id="Text Box 148" o:spid="_x0000_s1026" type="#_x0000_t202" style="position:absolute;left:0;text-align:left;margin-left:-7.5pt;margin-top:571.5pt;width:477pt;height: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W2BwIAAPQDAAAOAAAAZHJzL2Uyb0RvYy54bWysU9tu2zAMfR+wfxD0vtgOcmmNOEWXIsOA&#10;7gK0+wBZlm1htqhRSuzs60fJaZptb8P0IIgidchzSG3uxr5jR4VOgyl4Nks5U0ZCpU1T8G/P+3c3&#10;nDkvTCU6MKrgJ+X43fbtm81gczWHFrpKISMQ4/LBFrz13uZJ4mSreuFmYJUhZw3YC08mNkmFYiD0&#10;vkvmabpKBsDKIkjlHN0+TE6+jfh1raT/UtdOedYVnGrzcce4l2FPthuRNyhsq+W5DPEPVfRCG0p6&#10;gXoQXrAD6r+gei0RHNR+JqFPoK61VJEDscnSP9g8tcKqyIXEcfYik/t/sPLz8SsyXVHv1tmKMyN6&#10;6tKzGj17DyPLFjdBosG6nCKfLMX6kRwUHuk6+wjyu2MGdq0wjbpHhKFVoqISs/AyuXo64bgAUg6f&#10;oKJE4uAhAo019kE/UoQROrXqdGlPKEbS5Spdrm9TcknyLdfZks4hhchfXlt0/oOCnoVDwZHaH9HF&#10;8dH5KfQlJCRz0Olqr7suGtiUuw7ZUdCo7OM6o/8W1pkQbCA8mxDDTaQZmE0c/ViO5AzcS6hORBhh&#10;Gj36KnRoAX9yNtDYFdz9OAhUnHUfDYl2my0WYU6jsViu52Tgtae89ggjCargnrPpuPPTbB8s6qal&#10;TFObDNyT0LWOGrxWda6bRiuqeP4GYXav7Rj1+lm3vwAAAP//AwBQSwMEFAAGAAgAAAAhAO2LInTf&#10;AAAADQEAAA8AAABkcnMvZG93bnJldi54bWxMT8tugzAQvFfqP1gbqZcqMYQ8CsVEbaVWvSbNBxi8&#10;ARS8RtgJ5O+7PTW32ZnR7Ey+m2wnrjj41pGCeBGBQKqcaalWcPz5nL+A8EGT0Z0jVHBDD7vi8SHX&#10;mXEj7fF6CLXgEPKZVtCE0GdS+qpBq/3C9UisndxgdeBzqKUZ9MjhtpPLKNpIq1viD43u8aPB6ny4&#10;WAWn7/F5nY7lVzhu96vNu263pbsp9TSb3l5BBJzCvxn+6nN1KLhT6S5kvOgUzOM1bwksxKuEEVvS&#10;JGVQMrVMmJJFLu9XFL8AAAD//wMAUEsBAi0AFAAGAAgAAAAhALaDOJL+AAAA4QEAABMAAAAAAAAA&#10;AAAAAAAAAAAAAFtDb250ZW50X1R5cGVzXS54bWxQSwECLQAUAAYACAAAACEAOP0h/9YAAACUAQAA&#10;CwAAAAAAAAAAAAAAAAAvAQAAX3JlbHMvLnJlbHNQSwECLQAUAAYACAAAACEAMZ3VtgcCAAD0AwAA&#10;DgAAAAAAAAAAAAAAAAAuAgAAZHJzL2Uyb0RvYy54bWxQSwECLQAUAAYACAAAACEA7YsidN8AAAAN&#10;AQAADwAAAAAAAAAAAAAAAABhBAAAZHJzL2Rvd25yZXYueG1sUEsFBgAAAAAEAAQA8wAAAG0FAAAA&#10;AA==&#10;" stroked="f">
                <v:textbox>
                  <w:txbxContent>
                    <w:p w14:paraId="43B76C9D" w14:textId="48A9E97B" w:rsidR="000B0B97" w:rsidRDefault="000B0B97" w:rsidP="000F01B0">
                      <w:pPr>
                        <w:pStyle w:val="Cover-PublDate"/>
                        <w:ind w:right="-72"/>
                      </w:pPr>
                      <w:r>
                        <w:t>August 2019</w:t>
                      </w:r>
                    </w:p>
                    <w:p w14:paraId="6ECEA590" w14:textId="77777777" w:rsidR="000B0B97" w:rsidRDefault="000B0B97" w:rsidP="000F01B0">
                      <w:pPr>
                        <w:pStyle w:val="Cover-DeptDiv"/>
                      </w:pPr>
                      <w:r>
                        <w:t>Alaska Department of Fish and Game</w:t>
                      </w:r>
                      <w:r>
                        <w:tab/>
                        <w:t>Divisions of Sport Fish and Commercial Fisheries</w:t>
                      </w:r>
                    </w:p>
                  </w:txbxContent>
                </v:textbox>
                <w10:wrap anchory="page"/>
              </v:shape>
            </w:pict>
          </mc:Fallback>
        </mc:AlternateContent>
      </w:r>
    </w:p>
    <w:p w14:paraId="5605D05B" w14:textId="77777777" w:rsidR="000F01B0" w:rsidRDefault="000F01B0" w:rsidP="000F01B0">
      <w:pPr>
        <w:pStyle w:val="SymbolsandAbbrevTitle"/>
        <w:spacing w:after="60"/>
      </w:pPr>
      <w:r>
        <w:lastRenderedPageBreak/>
        <w:t>Symbols and Abbreviations</w:t>
      </w:r>
    </w:p>
    <w:p w14:paraId="381719DC" w14:textId="77777777" w:rsidR="000F01B0" w:rsidRDefault="000F01B0" w:rsidP="000F01B0">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14:paraId="6947EEDA" w14:textId="77777777" w:rsidR="000F01B0" w:rsidRDefault="000F01B0" w:rsidP="000F01B0">
      <w:pPr>
        <w:pStyle w:val="Keywords"/>
        <w:sectPr w:rsidR="000F01B0" w:rsidSect="00284CC1">
          <w:footerReference w:type="default" r:id="rId12"/>
          <w:headerReference w:type="first" r:id="rId13"/>
          <w:pgSz w:w="12240" w:h="15840" w:code="1"/>
          <w:pgMar w:top="1440" w:right="1440" w:bottom="1440" w:left="1440" w:header="720" w:footer="547" w:gutter="0"/>
          <w:cols w:space="720"/>
          <w:formProt w:val="0"/>
        </w:sectPr>
      </w:pPr>
    </w:p>
    <w:p w14:paraId="07A30A8C" w14:textId="77777777" w:rsidR="000F01B0" w:rsidRDefault="000F01B0" w:rsidP="000F01B0">
      <w:pPr>
        <w:pStyle w:val="TableRow"/>
        <w:tabs>
          <w:tab w:val="left" w:pos="2448"/>
          <w:tab w:val="left" w:pos="2988"/>
        </w:tabs>
        <w:spacing w:line="180" w:lineRule="exact"/>
        <w:jc w:val="left"/>
        <w:rPr>
          <w:sz w:val="16"/>
        </w:rPr>
      </w:pPr>
      <w:r>
        <w:rPr>
          <w:b/>
          <w:sz w:val="16"/>
        </w:rPr>
        <w:t>Weights and measures (metric)</w:t>
      </w:r>
      <w:r>
        <w:rPr>
          <w:b/>
          <w:sz w:val="16"/>
        </w:rPr>
        <w:tab/>
      </w:r>
    </w:p>
    <w:p w14:paraId="14D85F2D" w14:textId="77777777" w:rsidR="000F01B0" w:rsidRDefault="000F01B0" w:rsidP="000F01B0">
      <w:pPr>
        <w:pStyle w:val="TableRow"/>
        <w:tabs>
          <w:tab w:val="left" w:pos="2448"/>
          <w:tab w:val="left" w:pos="2988"/>
        </w:tabs>
        <w:spacing w:line="180" w:lineRule="exact"/>
        <w:ind w:right="-240"/>
        <w:jc w:val="left"/>
        <w:rPr>
          <w:sz w:val="16"/>
        </w:rPr>
      </w:pPr>
      <w:r>
        <w:rPr>
          <w:sz w:val="16"/>
        </w:rPr>
        <w:t>centimeter</w:t>
      </w:r>
      <w:r>
        <w:rPr>
          <w:sz w:val="16"/>
        </w:rPr>
        <w:tab/>
        <w:t>cm</w:t>
      </w:r>
    </w:p>
    <w:p w14:paraId="4BC7EB4F" w14:textId="77777777" w:rsidR="000F01B0" w:rsidRPr="00D544B2" w:rsidRDefault="000F01B0" w:rsidP="000F01B0">
      <w:pPr>
        <w:pStyle w:val="TableRow"/>
        <w:tabs>
          <w:tab w:val="left" w:pos="2448"/>
          <w:tab w:val="left" w:pos="2988"/>
        </w:tabs>
        <w:spacing w:line="180" w:lineRule="exact"/>
        <w:jc w:val="left"/>
        <w:rPr>
          <w:sz w:val="16"/>
          <w:lang w:val="es-MX"/>
        </w:rPr>
      </w:pPr>
      <w:proofErr w:type="spellStart"/>
      <w:r w:rsidRPr="00D544B2">
        <w:rPr>
          <w:sz w:val="16"/>
          <w:lang w:val="es-MX"/>
        </w:rPr>
        <w:t>deciliter</w:t>
      </w:r>
      <w:proofErr w:type="spellEnd"/>
      <w:r w:rsidRPr="00D544B2">
        <w:rPr>
          <w:sz w:val="16"/>
          <w:lang w:val="es-MX"/>
        </w:rPr>
        <w:t xml:space="preserve"> </w:t>
      </w:r>
      <w:r w:rsidRPr="00D544B2">
        <w:rPr>
          <w:sz w:val="16"/>
          <w:lang w:val="es-MX"/>
        </w:rPr>
        <w:tab/>
      </w:r>
      <w:proofErr w:type="spellStart"/>
      <w:r w:rsidRPr="00D544B2">
        <w:rPr>
          <w:sz w:val="16"/>
          <w:lang w:val="es-MX"/>
        </w:rPr>
        <w:t>dL</w:t>
      </w:r>
      <w:proofErr w:type="spellEnd"/>
    </w:p>
    <w:p w14:paraId="4F9B04BF" w14:textId="77777777" w:rsidR="000F01B0" w:rsidRPr="00D544B2" w:rsidRDefault="000F01B0" w:rsidP="000F01B0">
      <w:pPr>
        <w:pStyle w:val="TableRow"/>
        <w:tabs>
          <w:tab w:val="left" w:pos="2448"/>
          <w:tab w:val="left" w:pos="2988"/>
        </w:tabs>
        <w:spacing w:line="180" w:lineRule="exact"/>
        <w:jc w:val="left"/>
        <w:rPr>
          <w:sz w:val="16"/>
          <w:lang w:val="es-MX"/>
        </w:rPr>
      </w:pPr>
      <w:proofErr w:type="spellStart"/>
      <w:r w:rsidRPr="00D544B2">
        <w:rPr>
          <w:sz w:val="16"/>
          <w:lang w:val="es-MX"/>
        </w:rPr>
        <w:t>gram</w:t>
      </w:r>
      <w:proofErr w:type="spellEnd"/>
      <w:r w:rsidRPr="00D544B2">
        <w:rPr>
          <w:sz w:val="16"/>
          <w:lang w:val="es-MX"/>
        </w:rPr>
        <w:t xml:space="preserve"> </w:t>
      </w:r>
      <w:r w:rsidRPr="00D544B2">
        <w:rPr>
          <w:sz w:val="16"/>
          <w:lang w:val="es-MX"/>
        </w:rPr>
        <w:tab/>
        <w:t>g</w:t>
      </w:r>
    </w:p>
    <w:p w14:paraId="0912056E" w14:textId="77777777" w:rsidR="000F01B0" w:rsidRPr="00D544B2" w:rsidRDefault="000F01B0" w:rsidP="000F01B0">
      <w:pPr>
        <w:pStyle w:val="TableRow"/>
        <w:tabs>
          <w:tab w:val="left" w:pos="2448"/>
          <w:tab w:val="left" w:pos="2988"/>
        </w:tabs>
        <w:spacing w:line="180" w:lineRule="exact"/>
        <w:jc w:val="left"/>
        <w:rPr>
          <w:sz w:val="16"/>
          <w:lang w:val="es-MX"/>
        </w:rPr>
      </w:pPr>
      <w:proofErr w:type="spellStart"/>
      <w:r w:rsidRPr="00D544B2">
        <w:rPr>
          <w:sz w:val="16"/>
          <w:lang w:val="es-MX"/>
        </w:rPr>
        <w:t>hectare</w:t>
      </w:r>
      <w:proofErr w:type="spellEnd"/>
      <w:r w:rsidRPr="00D544B2">
        <w:rPr>
          <w:sz w:val="16"/>
          <w:lang w:val="es-MX"/>
        </w:rPr>
        <w:tab/>
        <w:t>ha</w:t>
      </w:r>
    </w:p>
    <w:p w14:paraId="136711F9" w14:textId="77777777" w:rsidR="000F01B0" w:rsidRDefault="000F01B0" w:rsidP="000F01B0">
      <w:pPr>
        <w:pStyle w:val="TableRow"/>
        <w:tabs>
          <w:tab w:val="left" w:pos="2448"/>
          <w:tab w:val="left" w:pos="2988"/>
        </w:tabs>
        <w:spacing w:line="180" w:lineRule="exact"/>
        <w:jc w:val="left"/>
        <w:rPr>
          <w:sz w:val="16"/>
        </w:rPr>
      </w:pPr>
      <w:r>
        <w:rPr>
          <w:sz w:val="16"/>
        </w:rPr>
        <w:t>kilogram</w:t>
      </w:r>
      <w:r>
        <w:rPr>
          <w:sz w:val="16"/>
        </w:rPr>
        <w:tab/>
        <w:t>kg</w:t>
      </w:r>
    </w:p>
    <w:p w14:paraId="74293C18" w14:textId="77777777" w:rsidR="000F01B0" w:rsidRDefault="000F01B0" w:rsidP="000F01B0">
      <w:pPr>
        <w:pStyle w:val="TableRow"/>
        <w:tabs>
          <w:tab w:val="left" w:pos="2448"/>
          <w:tab w:val="left" w:pos="2988"/>
        </w:tabs>
        <w:spacing w:line="180" w:lineRule="exact"/>
        <w:jc w:val="left"/>
        <w:rPr>
          <w:sz w:val="16"/>
        </w:rPr>
      </w:pPr>
      <w:r>
        <w:rPr>
          <w:sz w:val="16"/>
        </w:rPr>
        <w:t>kilometer</w:t>
      </w:r>
      <w:r>
        <w:rPr>
          <w:sz w:val="16"/>
        </w:rPr>
        <w:tab/>
        <w:t>km</w:t>
      </w:r>
    </w:p>
    <w:p w14:paraId="6CF35F39" w14:textId="77777777" w:rsidR="000F01B0" w:rsidRDefault="000F01B0" w:rsidP="000F01B0">
      <w:pPr>
        <w:pStyle w:val="TableRow"/>
        <w:tabs>
          <w:tab w:val="left" w:pos="2448"/>
          <w:tab w:val="left" w:pos="2988"/>
        </w:tabs>
        <w:spacing w:line="180" w:lineRule="exact"/>
        <w:jc w:val="left"/>
        <w:rPr>
          <w:sz w:val="16"/>
        </w:rPr>
      </w:pPr>
      <w:r>
        <w:rPr>
          <w:sz w:val="16"/>
        </w:rPr>
        <w:t>liter</w:t>
      </w:r>
      <w:r>
        <w:rPr>
          <w:sz w:val="16"/>
        </w:rPr>
        <w:tab/>
        <w:t>L</w:t>
      </w:r>
      <w:r>
        <w:rPr>
          <w:vanish/>
          <w:sz w:val="16"/>
        </w:rPr>
        <w:t xml:space="preserve"> </w:t>
      </w:r>
    </w:p>
    <w:p w14:paraId="4F990D4F" w14:textId="77777777" w:rsidR="000F01B0" w:rsidRDefault="000F01B0" w:rsidP="000F01B0">
      <w:pPr>
        <w:pStyle w:val="TableRow"/>
        <w:tabs>
          <w:tab w:val="left" w:pos="2448"/>
          <w:tab w:val="left" w:pos="2988"/>
        </w:tabs>
        <w:spacing w:line="180" w:lineRule="exact"/>
        <w:jc w:val="left"/>
        <w:rPr>
          <w:sz w:val="16"/>
        </w:rPr>
      </w:pPr>
      <w:r>
        <w:rPr>
          <w:sz w:val="16"/>
        </w:rPr>
        <w:t>meter</w:t>
      </w:r>
      <w:r>
        <w:rPr>
          <w:sz w:val="16"/>
        </w:rPr>
        <w:tab/>
        <w:t>m</w:t>
      </w:r>
    </w:p>
    <w:p w14:paraId="3DA0766D" w14:textId="77777777" w:rsidR="000F01B0" w:rsidRDefault="000F01B0" w:rsidP="000F01B0">
      <w:pPr>
        <w:pStyle w:val="TableRow"/>
        <w:tabs>
          <w:tab w:val="left" w:pos="2448"/>
          <w:tab w:val="left" w:pos="2988"/>
        </w:tabs>
        <w:spacing w:line="180" w:lineRule="exact"/>
        <w:jc w:val="left"/>
        <w:rPr>
          <w:sz w:val="16"/>
        </w:rPr>
      </w:pPr>
      <w:r>
        <w:rPr>
          <w:sz w:val="16"/>
        </w:rPr>
        <w:t>milliliter</w:t>
      </w:r>
      <w:r>
        <w:rPr>
          <w:sz w:val="16"/>
        </w:rPr>
        <w:tab/>
        <w:t>mL</w:t>
      </w:r>
    </w:p>
    <w:p w14:paraId="4FEC0E8F" w14:textId="77777777" w:rsidR="000F01B0" w:rsidRDefault="000F01B0" w:rsidP="000F01B0">
      <w:pPr>
        <w:pStyle w:val="TableRow"/>
        <w:tabs>
          <w:tab w:val="left" w:pos="2448"/>
          <w:tab w:val="left" w:pos="2988"/>
        </w:tabs>
        <w:spacing w:line="180" w:lineRule="exact"/>
        <w:jc w:val="left"/>
        <w:rPr>
          <w:sz w:val="16"/>
        </w:rPr>
      </w:pPr>
      <w:r>
        <w:rPr>
          <w:sz w:val="16"/>
        </w:rPr>
        <w:t>millimeter</w:t>
      </w:r>
      <w:r>
        <w:rPr>
          <w:sz w:val="16"/>
        </w:rPr>
        <w:tab/>
        <w:t>mm</w:t>
      </w:r>
    </w:p>
    <w:p w14:paraId="2DF7716C" w14:textId="77777777" w:rsidR="000F01B0" w:rsidRDefault="000F01B0" w:rsidP="000F01B0">
      <w:pPr>
        <w:pStyle w:val="TableRow"/>
        <w:tabs>
          <w:tab w:val="left" w:pos="2448"/>
          <w:tab w:val="left" w:pos="2988"/>
        </w:tabs>
        <w:spacing w:line="180" w:lineRule="exact"/>
        <w:jc w:val="left"/>
        <w:rPr>
          <w:sz w:val="16"/>
        </w:rPr>
      </w:pPr>
      <w:r>
        <w:rPr>
          <w:sz w:val="16"/>
        </w:rPr>
        <w:tab/>
      </w:r>
    </w:p>
    <w:p w14:paraId="08C6FE2D" w14:textId="77777777" w:rsidR="000F01B0" w:rsidRDefault="000F01B0" w:rsidP="000F01B0">
      <w:pPr>
        <w:pStyle w:val="TableRow"/>
        <w:tabs>
          <w:tab w:val="left" w:pos="2448"/>
          <w:tab w:val="left" w:pos="2988"/>
        </w:tabs>
        <w:spacing w:line="180" w:lineRule="exact"/>
        <w:jc w:val="left"/>
        <w:rPr>
          <w:sz w:val="16"/>
        </w:rPr>
      </w:pPr>
      <w:r>
        <w:rPr>
          <w:b/>
          <w:sz w:val="16"/>
        </w:rPr>
        <w:t>Weights and measures (English)</w:t>
      </w:r>
      <w:r>
        <w:rPr>
          <w:sz w:val="16"/>
        </w:rPr>
        <w:tab/>
      </w:r>
    </w:p>
    <w:p w14:paraId="5511B1D4" w14:textId="77777777" w:rsidR="000F01B0" w:rsidRDefault="000F01B0" w:rsidP="000F01B0">
      <w:pPr>
        <w:pStyle w:val="TableRow"/>
        <w:tabs>
          <w:tab w:val="left" w:pos="2448"/>
          <w:tab w:val="left" w:pos="2988"/>
        </w:tabs>
        <w:spacing w:line="180" w:lineRule="exact"/>
        <w:jc w:val="left"/>
        <w:rPr>
          <w:sz w:val="16"/>
        </w:rPr>
      </w:pPr>
      <w:r>
        <w:rPr>
          <w:sz w:val="16"/>
        </w:rPr>
        <w:t>cubic feet per second</w:t>
      </w:r>
      <w:r>
        <w:rPr>
          <w:sz w:val="16"/>
        </w:rPr>
        <w:tab/>
        <w:t>ft</w:t>
      </w:r>
      <w:r>
        <w:rPr>
          <w:sz w:val="16"/>
          <w:vertAlign w:val="superscript"/>
        </w:rPr>
        <w:t>3</w:t>
      </w:r>
      <w:r>
        <w:rPr>
          <w:sz w:val="16"/>
        </w:rPr>
        <w:t>/s</w:t>
      </w:r>
    </w:p>
    <w:p w14:paraId="22DFF5AC" w14:textId="77777777" w:rsidR="000F01B0" w:rsidRDefault="000F01B0" w:rsidP="000F01B0">
      <w:pPr>
        <w:pStyle w:val="TableRow"/>
        <w:tabs>
          <w:tab w:val="left" w:pos="2448"/>
          <w:tab w:val="left" w:pos="2988"/>
        </w:tabs>
        <w:spacing w:line="180" w:lineRule="exact"/>
        <w:jc w:val="left"/>
        <w:rPr>
          <w:sz w:val="16"/>
        </w:rPr>
      </w:pPr>
      <w:r>
        <w:rPr>
          <w:sz w:val="16"/>
        </w:rPr>
        <w:t>foot</w:t>
      </w:r>
      <w:r>
        <w:rPr>
          <w:sz w:val="16"/>
        </w:rPr>
        <w:tab/>
        <w:t>ft</w:t>
      </w:r>
    </w:p>
    <w:p w14:paraId="04E0914B" w14:textId="77777777" w:rsidR="000F01B0" w:rsidRDefault="000F01B0" w:rsidP="000F01B0">
      <w:pPr>
        <w:pStyle w:val="TableRow"/>
        <w:tabs>
          <w:tab w:val="left" w:pos="2448"/>
          <w:tab w:val="left" w:pos="2988"/>
        </w:tabs>
        <w:spacing w:line="180" w:lineRule="exact"/>
        <w:jc w:val="left"/>
        <w:rPr>
          <w:sz w:val="16"/>
        </w:rPr>
      </w:pPr>
      <w:r>
        <w:rPr>
          <w:sz w:val="16"/>
        </w:rPr>
        <w:t>gallon</w:t>
      </w:r>
      <w:r>
        <w:rPr>
          <w:sz w:val="16"/>
        </w:rPr>
        <w:tab/>
        <w:t>gal</w:t>
      </w:r>
    </w:p>
    <w:p w14:paraId="36329A80" w14:textId="77777777" w:rsidR="000F01B0" w:rsidRDefault="000F01B0" w:rsidP="000F01B0">
      <w:pPr>
        <w:pStyle w:val="TableRow"/>
        <w:tabs>
          <w:tab w:val="left" w:pos="2448"/>
          <w:tab w:val="left" w:pos="2988"/>
        </w:tabs>
        <w:spacing w:line="180" w:lineRule="exact"/>
        <w:jc w:val="left"/>
        <w:rPr>
          <w:sz w:val="16"/>
        </w:rPr>
      </w:pPr>
      <w:r>
        <w:rPr>
          <w:sz w:val="16"/>
        </w:rPr>
        <w:t>inch</w:t>
      </w:r>
      <w:r>
        <w:rPr>
          <w:sz w:val="16"/>
        </w:rPr>
        <w:tab/>
        <w:t>in</w:t>
      </w:r>
    </w:p>
    <w:p w14:paraId="4E5DF970" w14:textId="77777777" w:rsidR="000F01B0" w:rsidRDefault="000F01B0" w:rsidP="000F01B0">
      <w:pPr>
        <w:pStyle w:val="TableRow"/>
        <w:tabs>
          <w:tab w:val="left" w:pos="2448"/>
          <w:tab w:val="left" w:pos="2988"/>
        </w:tabs>
        <w:spacing w:line="180" w:lineRule="exact"/>
        <w:jc w:val="left"/>
        <w:rPr>
          <w:sz w:val="16"/>
        </w:rPr>
      </w:pPr>
      <w:r>
        <w:rPr>
          <w:sz w:val="16"/>
        </w:rPr>
        <w:t>mile</w:t>
      </w:r>
      <w:r>
        <w:rPr>
          <w:sz w:val="16"/>
        </w:rPr>
        <w:tab/>
        <w:t>mi</w:t>
      </w:r>
    </w:p>
    <w:p w14:paraId="06372ED5" w14:textId="77777777" w:rsidR="000F01B0" w:rsidRDefault="000F01B0" w:rsidP="000F01B0">
      <w:pPr>
        <w:pStyle w:val="TableRow"/>
        <w:tabs>
          <w:tab w:val="left" w:pos="2448"/>
          <w:tab w:val="left" w:pos="2988"/>
        </w:tabs>
        <w:spacing w:line="180" w:lineRule="exact"/>
        <w:jc w:val="left"/>
        <w:rPr>
          <w:sz w:val="16"/>
        </w:rPr>
      </w:pPr>
      <w:r>
        <w:rPr>
          <w:sz w:val="16"/>
        </w:rPr>
        <w:t>nautical mile</w:t>
      </w:r>
      <w:r>
        <w:rPr>
          <w:sz w:val="16"/>
        </w:rPr>
        <w:tab/>
      </w:r>
      <w:proofErr w:type="spellStart"/>
      <w:r>
        <w:rPr>
          <w:sz w:val="16"/>
        </w:rPr>
        <w:t>nmi</w:t>
      </w:r>
      <w:proofErr w:type="spellEnd"/>
    </w:p>
    <w:p w14:paraId="0E0C5F7F" w14:textId="77777777" w:rsidR="000F01B0" w:rsidRDefault="000F01B0" w:rsidP="000F01B0">
      <w:pPr>
        <w:pStyle w:val="TableRow"/>
        <w:tabs>
          <w:tab w:val="left" w:pos="2448"/>
          <w:tab w:val="left" w:pos="2988"/>
        </w:tabs>
        <w:spacing w:line="180" w:lineRule="exact"/>
        <w:jc w:val="left"/>
        <w:rPr>
          <w:sz w:val="16"/>
        </w:rPr>
      </w:pPr>
      <w:r>
        <w:rPr>
          <w:sz w:val="16"/>
        </w:rPr>
        <w:t>ounce</w:t>
      </w:r>
      <w:r>
        <w:rPr>
          <w:sz w:val="16"/>
        </w:rPr>
        <w:tab/>
        <w:t>oz</w:t>
      </w:r>
    </w:p>
    <w:p w14:paraId="0BB854DF" w14:textId="77777777" w:rsidR="000F01B0" w:rsidRDefault="000F01B0" w:rsidP="000F01B0">
      <w:pPr>
        <w:pStyle w:val="TableRow"/>
        <w:tabs>
          <w:tab w:val="left" w:pos="2448"/>
          <w:tab w:val="left" w:pos="2988"/>
        </w:tabs>
        <w:spacing w:line="180" w:lineRule="exact"/>
        <w:jc w:val="left"/>
        <w:rPr>
          <w:sz w:val="16"/>
        </w:rPr>
      </w:pPr>
      <w:r>
        <w:rPr>
          <w:sz w:val="16"/>
        </w:rPr>
        <w:t>pound</w:t>
      </w:r>
      <w:r>
        <w:rPr>
          <w:sz w:val="16"/>
        </w:rPr>
        <w:tab/>
      </w:r>
      <w:proofErr w:type="spellStart"/>
      <w:r>
        <w:rPr>
          <w:sz w:val="16"/>
        </w:rPr>
        <w:t>lb</w:t>
      </w:r>
      <w:proofErr w:type="spellEnd"/>
    </w:p>
    <w:p w14:paraId="399C984C" w14:textId="77777777" w:rsidR="000F01B0" w:rsidRDefault="000F01B0" w:rsidP="000F01B0">
      <w:pPr>
        <w:pStyle w:val="TableRow"/>
        <w:tabs>
          <w:tab w:val="left" w:pos="2448"/>
          <w:tab w:val="left" w:pos="2988"/>
        </w:tabs>
        <w:spacing w:line="180" w:lineRule="exact"/>
        <w:jc w:val="left"/>
        <w:rPr>
          <w:sz w:val="16"/>
        </w:rPr>
      </w:pPr>
      <w:r>
        <w:rPr>
          <w:sz w:val="16"/>
        </w:rPr>
        <w:t>quart</w:t>
      </w:r>
      <w:r>
        <w:rPr>
          <w:sz w:val="16"/>
        </w:rPr>
        <w:tab/>
        <w:t>qt</w:t>
      </w:r>
    </w:p>
    <w:p w14:paraId="478B78AC" w14:textId="77777777" w:rsidR="000F01B0" w:rsidRDefault="000F01B0" w:rsidP="000F01B0">
      <w:pPr>
        <w:pStyle w:val="TableRow"/>
        <w:tabs>
          <w:tab w:val="left" w:pos="2448"/>
          <w:tab w:val="left" w:pos="2988"/>
        </w:tabs>
        <w:spacing w:line="180" w:lineRule="exact"/>
        <w:jc w:val="left"/>
        <w:rPr>
          <w:sz w:val="16"/>
        </w:rPr>
      </w:pPr>
      <w:r>
        <w:rPr>
          <w:sz w:val="16"/>
        </w:rPr>
        <w:t>yard</w:t>
      </w:r>
      <w:r>
        <w:rPr>
          <w:sz w:val="16"/>
        </w:rPr>
        <w:tab/>
        <w:t>yd</w:t>
      </w:r>
    </w:p>
    <w:p w14:paraId="4CA128E3" w14:textId="77777777" w:rsidR="000F01B0" w:rsidRDefault="000F01B0" w:rsidP="000F01B0">
      <w:pPr>
        <w:pStyle w:val="TableRow"/>
        <w:tabs>
          <w:tab w:val="left" w:pos="2448"/>
          <w:tab w:val="left" w:pos="2988"/>
        </w:tabs>
        <w:spacing w:line="180" w:lineRule="exact"/>
        <w:jc w:val="left"/>
        <w:rPr>
          <w:sz w:val="16"/>
        </w:rPr>
      </w:pPr>
      <w:r>
        <w:rPr>
          <w:sz w:val="16"/>
        </w:rPr>
        <w:tab/>
      </w:r>
    </w:p>
    <w:p w14:paraId="5DAA7477" w14:textId="77777777" w:rsidR="000F01B0" w:rsidRDefault="000F01B0" w:rsidP="000F01B0">
      <w:pPr>
        <w:pStyle w:val="TableRow"/>
        <w:tabs>
          <w:tab w:val="left" w:pos="2448"/>
          <w:tab w:val="left" w:pos="2988"/>
        </w:tabs>
        <w:spacing w:line="180" w:lineRule="exact"/>
        <w:jc w:val="left"/>
        <w:rPr>
          <w:sz w:val="16"/>
        </w:rPr>
      </w:pPr>
      <w:r>
        <w:rPr>
          <w:b/>
          <w:sz w:val="16"/>
        </w:rPr>
        <w:t>Time and temperature</w:t>
      </w:r>
      <w:r>
        <w:rPr>
          <w:sz w:val="16"/>
        </w:rPr>
        <w:tab/>
      </w:r>
    </w:p>
    <w:p w14:paraId="6F42D790" w14:textId="77777777" w:rsidR="000F01B0" w:rsidRDefault="000F01B0" w:rsidP="000F01B0">
      <w:pPr>
        <w:pStyle w:val="TableRow"/>
        <w:tabs>
          <w:tab w:val="left" w:pos="2448"/>
          <w:tab w:val="left" w:pos="2988"/>
        </w:tabs>
        <w:spacing w:line="180" w:lineRule="exact"/>
        <w:jc w:val="left"/>
        <w:rPr>
          <w:sz w:val="16"/>
        </w:rPr>
      </w:pPr>
      <w:r>
        <w:rPr>
          <w:sz w:val="16"/>
        </w:rPr>
        <w:t>day</w:t>
      </w:r>
      <w:r>
        <w:rPr>
          <w:sz w:val="16"/>
        </w:rPr>
        <w:tab/>
        <w:t>d</w:t>
      </w:r>
    </w:p>
    <w:p w14:paraId="7254A373" w14:textId="77777777" w:rsidR="000F01B0" w:rsidRDefault="000F01B0" w:rsidP="000F01B0">
      <w:pPr>
        <w:pStyle w:val="TableRow"/>
        <w:tabs>
          <w:tab w:val="left" w:pos="2448"/>
          <w:tab w:val="left" w:pos="2988"/>
        </w:tabs>
        <w:spacing w:line="180" w:lineRule="exact"/>
        <w:jc w:val="left"/>
        <w:rPr>
          <w:sz w:val="16"/>
        </w:rPr>
      </w:pPr>
      <w:r>
        <w:rPr>
          <w:sz w:val="16"/>
        </w:rPr>
        <w:t>degrees Celsius</w:t>
      </w:r>
      <w:r>
        <w:rPr>
          <w:sz w:val="16"/>
        </w:rPr>
        <w:tab/>
        <w:t>°C</w:t>
      </w:r>
    </w:p>
    <w:p w14:paraId="340F6199" w14:textId="77777777" w:rsidR="000F01B0" w:rsidRDefault="000F01B0" w:rsidP="000F01B0">
      <w:pPr>
        <w:pStyle w:val="TableRow"/>
        <w:tabs>
          <w:tab w:val="left" w:pos="2448"/>
          <w:tab w:val="left" w:pos="2988"/>
        </w:tabs>
        <w:spacing w:line="180" w:lineRule="exact"/>
        <w:jc w:val="left"/>
        <w:rPr>
          <w:sz w:val="16"/>
        </w:rPr>
      </w:pPr>
      <w:r>
        <w:rPr>
          <w:sz w:val="16"/>
        </w:rPr>
        <w:t>degrees Fahrenheit</w:t>
      </w:r>
      <w:r>
        <w:rPr>
          <w:sz w:val="16"/>
        </w:rPr>
        <w:tab/>
        <w:t>°F</w:t>
      </w:r>
    </w:p>
    <w:p w14:paraId="4D1FF6EF" w14:textId="77777777" w:rsidR="000F01B0" w:rsidRDefault="000F01B0" w:rsidP="000F01B0">
      <w:pPr>
        <w:pStyle w:val="TableRow"/>
        <w:tabs>
          <w:tab w:val="left" w:pos="2448"/>
          <w:tab w:val="left" w:pos="2988"/>
        </w:tabs>
        <w:spacing w:line="180" w:lineRule="exact"/>
        <w:jc w:val="left"/>
        <w:rPr>
          <w:sz w:val="16"/>
        </w:rPr>
      </w:pPr>
      <w:r>
        <w:rPr>
          <w:sz w:val="16"/>
        </w:rPr>
        <w:t>degrees kelvin</w:t>
      </w:r>
      <w:r>
        <w:rPr>
          <w:sz w:val="16"/>
        </w:rPr>
        <w:tab/>
        <w:t>K</w:t>
      </w:r>
    </w:p>
    <w:p w14:paraId="5E510C2F" w14:textId="77777777" w:rsidR="000F01B0" w:rsidRDefault="000F01B0" w:rsidP="000F01B0">
      <w:pPr>
        <w:pStyle w:val="TableRow"/>
        <w:tabs>
          <w:tab w:val="left" w:pos="2448"/>
          <w:tab w:val="left" w:pos="2988"/>
        </w:tabs>
        <w:spacing w:line="180" w:lineRule="exact"/>
        <w:jc w:val="left"/>
        <w:rPr>
          <w:sz w:val="16"/>
        </w:rPr>
      </w:pPr>
      <w:r>
        <w:rPr>
          <w:sz w:val="16"/>
        </w:rPr>
        <w:t xml:space="preserve">hour </w:t>
      </w:r>
      <w:r>
        <w:rPr>
          <w:sz w:val="16"/>
        </w:rPr>
        <w:tab/>
        <w:t>h</w:t>
      </w:r>
    </w:p>
    <w:p w14:paraId="664D4D59" w14:textId="77777777" w:rsidR="000F01B0" w:rsidRDefault="000F01B0" w:rsidP="000F01B0">
      <w:pPr>
        <w:pStyle w:val="TableRow"/>
        <w:tabs>
          <w:tab w:val="left" w:pos="2448"/>
          <w:tab w:val="left" w:pos="2988"/>
        </w:tabs>
        <w:spacing w:line="180" w:lineRule="exact"/>
        <w:jc w:val="left"/>
        <w:rPr>
          <w:sz w:val="16"/>
        </w:rPr>
      </w:pPr>
      <w:r>
        <w:rPr>
          <w:sz w:val="16"/>
        </w:rPr>
        <w:t>minute</w:t>
      </w:r>
      <w:r>
        <w:rPr>
          <w:sz w:val="16"/>
        </w:rPr>
        <w:tab/>
        <w:t>min</w:t>
      </w:r>
    </w:p>
    <w:p w14:paraId="3E9D4D36" w14:textId="77777777" w:rsidR="000F01B0" w:rsidRDefault="000F01B0" w:rsidP="000F01B0">
      <w:pPr>
        <w:pStyle w:val="TableRow"/>
        <w:tabs>
          <w:tab w:val="left" w:pos="2448"/>
          <w:tab w:val="left" w:pos="2988"/>
        </w:tabs>
        <w:spacing w:line="180" w:lineRule="exact"/>
        <w:jc w:val="left"/>
        <w:rPr>
          <w:sz w:val="16"/>
        </w:rPr>
      </w:pPr>
      <w:r>
        <w:rPr>
          <w:sz w:val="16"/>
        </w:rPr>
        <w:t>second</w:t>
      </w:r>
      <w:r>
        <w:rPr>
          <w:sz w:val="16"/>
        </w:rPr>
        <w:tab/>
        <w:t>s</w:t>
      </w:r>
    </w:p>
    <w:p w14:paraId="33A7F074" w14:textId="77777777" w:rsidR="000F01B0" w:rsidRDefault="000F01B0" w:rsidP="000F01B0">
      <w:pPr>
        <w:pStyle w:val="TableRow"/>
        <w:tabs>
          <w:tab w:val="left" w:pos="2448"/>
          <w:tab w:val="left" w:pos="2988"/>
        </w:tabs>
        <w:spacing w:line="180" w:lineRule="exact"/>
        <w:jc w:val="left"/>
        <w:rPr>
          <w:sz w:val="16"/>
        </w:rPr>
      </w:pPr>
      <w:r>
        <w:rPr>
          <w:sz w:val="16"/>
        </w:rPr>
        <w:tab/>
      </w:r>
    </w:p>
    <w:p w14:paraId="4CC051D4" w14:textId="77777777" w:rsidR="000F01B0" w:rsidRDefault="000F01B0" w:rsidP="000F01B0">
      <w:pPr>
        <w:pStyle w:val="TableRow"/>
        <w:tabs>
          <w:tab w:val="left" w:pos="2448"/>
          <w:tab w:val="left" w:pos="2988"/>
        </w:tabs>
        <w:spacing w:line="180" w:lineRule="exact"/>
        <w:jc w:val="left"/>
        <w:rPr>
          <w:sz w:val="16"/>
        </w:rPr>
      </w:pPr>
      <w:r>
        <w:rPr>
          <w:b/>
          <w:sz w:val="16"/>
        </w:rPr>
        <w:t>Physics and chemistry</w:t>
      </w:r>
      <w:r>
        <w:rPr>
          <w:sz w:val="16"/>
        </w:rPr>
        <w:tab/>
      </w:r>
    </w:p>
    <w:p w14:paraId="09101AFE" w14:textId="77777777" w:rsidR="000F01B0" w:rsidRDefault="000F01B0" w:rsidP="000F01B0">
      <w:pPr>
        <w:pStyle w:val="TableRow"/>
        <w:tabs>
          <w:tab w:val="left" w:pos="2448"/>
          <w:tab w:val="left" w:pos="2988"/>
        </w:tabs>
        <w:spacing w:line="180" w:lineRule="exact"/>
        <w:jc w:val="left"/>
        <w:rPr>
          <w:sz w:val="16"/>
        </w:rPr>
      </w:pPr>
      <w:r>
        <w:rPr>
          <w:sz w:val="16"/>
        </w:rPr>
        <w:t>all atomic symbols</w:t>
      </w:r>
      <w:r>
        <w:rPr>
          <w:sz w:val="16"/>
        </w:rPr>
        <w:tab/>
      </w:r>
    </w:p>
    <w:p w14:paraId="49E8481B" w14:textId="77777777" w:rsidR="000F01B0" w:rsidRDefault="000F01B0" w:rsidP="000F01B0">
      <w:pPr>
        <w:pStyle w:val="TableRow"/>
        <w:tabs>
          <w:tab w:val="left" w:pos="2448"/>
          <w:tab w:val="left" w:pos="2988"/>
        </w:tabs>
        <w:spacing w:line="180" w:lineRule="exact"/>
        <w:jc w:val="left"/>
        <w:rPr>
          <w:sz w:val="16"/>
        </w:rPr>
      </w:pPr>
      <w:r>
        <w:rPr>
          <w:sz w:val="16"/>
        </w:rPr>
        <w:t>alternating current</w:t>
      </w:r>
      <w:r>
        <w:rPr>
          <w:sz w:val="16"/>
        </w:rPr>
        <w:tab/>
        <w:t>AC</w:t>
      </w:r>
    </w:p>
    <w:p w14:paraId="6F2318BC" w14:textId="77777777" w:rsidR="000F01B0" w:rsidRDefault="000F01B0" w:rsidP="000F01B0">
      <w:pPr>
        <w:pStyle w:val="TableRow"/>
        <w:tabs>
          <w:tab w:val="left" w:pos="2448"/>
          <w:tab w:val="left" w:pos="2988"/>
        </w:tabs>
        <w:spacing w:line="180" w:lineRule="exact"/>
        <w:jc w:val="left"/>
        <w:rPr>
          <w:sz w:val="16"/>
        </w:rPr>
      </w:pPr>
      <w:r>
        <w:rPr>
          <w:sz w:val="16"/>
        </w:rPr>
        <w:t>ampere</w:t>
      </w:r>
      <w:r>
        <w:rPr>
          <w:sz w:val="16"/>
        </w:rPr>
        <w:tab/>
        <w:t>A</w:t>
      </w:r>
    </w:p>
    <w:p w14:paraId="3078D7D6" w14:textId="77777777" w:rsidR="000F01B0" w:rsidRDefault="000F01B0" w:rsidP="000F01B0">
      <w:pPr>
        <w:pStyle w:val="TableRow"/>
        <w:tabs>
          <w:tab w:val="left" w:pos="2448"/>
          <w:tab w:val="left" w:pos="2988"/>
        </w:tabs>
        <w:spacing w:line="180" w:lineRule="exact"/>
        <w:jc w:val="left"/>
        <w:rPr>
          <w:sz w:val="16"/>
        </w:rPr>
      </w:pPr>
      <w:r>
        <w:rPr>
          <w:sz w:val="16"/>
        </w:rPr>
        <w:t>calorie</w:t>
      </w:r>
      <w:r>
        <w:rPr>
          <w:sz w:val="16"/>
        </w:rPr>
        <w:tab/>
      </w:r>
      <w:proofErr w:type="spellStart"/>
      <w:r>
        <w:rPr>
          <w:sz w:val="16"/>
        </w:rPr>
        <w:t>cal</w:t>
      </w:r>
      <w:proofErr w:type="spellEnd"/>
    </w:p>
    <w:p w14:paraId="26FD0A2E" w14:textId="77777777" w:rsidR="000F01B0" w:rsidRDefault="000F01B0" w:rsidP="000F01B0">
      <w:pPr>
        <w:pStyle w:val="TableRow"/>
        <w:tabs>
          <w:tab w:val="left" w:pos="2448"/>
          <w:tab w:val="left" w:pos="2988"/>
        </w:tabs>
        <w:spacing w:line="180" w:lineRule="exact"/>
        <w:jc w:val="left"/>
        <w:rPr>
          <w:sz w:val="16"/>
        </w:rPr>
      </w:pPr>
      <w:r>
        <w:rPr>
          <w:sz w:val="16"/>
        </w:rPr>
        <w:t>direct current</w:t>
      </w:r>
      <w:r>
        <w:rPr>
          <w:sz w:val="16"/>
        </w:rPr>
        <w:tab/>
        <w:t>DC</w:t>
      </w:r>
    </w:p>
    <w:p w14:paraId="547C4D98" w14:textId="77777777" w:rsidR="000F01B0" w:rsidRDefault="000F01B0" w:rsidP="000F01B0">
      <w:pPr>
        <w:pStyle w:val="TableRow"/>
        <w:tabs>
          <w:tab w:val="left" w:pos="2448"/>
          <w:tab w:val="left" w:pos="2988"/>
        </w:tabs>
        <w:spacing w:line="180" w:lineRule="exact"/>
        <w:jc w:val="left"/>
        <w:rPr>
          <w:sz w:val="16"/>
        </w:rPr>
      </w:pPr>
      <w:r>
        <w:rPr>
          <w:sz w:val="16"/>
        </w:rPr>
        <w:t>hertz</w:t>
      </w:r>
      <w:r>
        <w:rPr>
          <w:sz w:val="16"/>
        </w:rPr>
        <w:tab/>
        <w:t>Hz</w:t>
      </w:r>
    </w:p>
    <w:p w14:paraId="3FB9939D" w14:textId="77777777" w:rsidR="000F01B0" w:rsidRDefault="000F01B0" w:rsidP="000F01B0">
      <w:pPr>
        <w:pStyle w:val="TableRow"/>
        <w:tabs>
          <w:tab w:val="left" w:pos="2448"/>
          <w:tab w:val="left" w:pos="2988"/>
        </w:tabs>
        <w:spacing w:line="180" w:lineRule="exact"/>
        <w:jc w:val="left"/>
        <w:rPr>
          <w:sz w:val="16"/>
        </w:rPr>
      </w:pPr>
      <w:r>
        <w:rPr>
          <w:sz w:val="16"/>
        </w:rPr>
        <w:t>horsepower</w:t>
      </w:r>
      <w:r>
        <w:rPr>
          <w:sz w:val="16"/>
        </w:rPr>
        <w:tab/>
        <w:t>hp</w:t>
      </w:r>
    </w:p>
    <w:p w14:paraId="4D60CE3E" w14:textId="77777777" w:rsidR="000F01B0" w:rsidRDefault="000F01B0" w:rsidP="000F01B0">
      <w:pPr>
        <w:pStyle w:val="TableRow"/>
        <w:tabs>
          <w:tab w:val="left" w:pos="2448"/>
          <w:tab w:val="left" w:pos="2988"/>
        </w:tabs>
        <w:spacing w:line="180" w:lineRule="exact"/>
        <w:jc w:val="left"/>
        <w:rPr>
          <w:sz w:val="16"/>
        </w:rPr>
      </w:pPr>
      <w:r>
        <w:rPr>
          <w:sz w:val="16"/>
        </w:rPr>
        <w:t>hydrogen ion activity</w:t>
      </w:r>
      <w:r>
        <w:rPr>
          <w:sz w:val="16"/>
        </w:rPr>
        <w:tab/>
        <w:t>pH</w:t>
      </w:r>
    </w:p>
    <w:p w14:paraId="15D5030F" w14:textId="77777777" w:rsidR="000F01B0" w:rsidRDefault="000F01B0" w:rsidP="000F01B0">
      <w:pPr>
        <w:pStyle w:val="TableRow"/>
        <w:tabs>
          <w:tab w:val="left" w:pos="2448"/>
          <w:tab w:val="left" w:pos="2988"/>
        </w:tabs>
        <w:spacing w:line="180" w:lineRule="exact"/>
        <w:jc w:val="left"/>
        <w:rPr>
          <w:sz w:val="16"/>
        </w:rPr>
      </w:pPr>
      <w:r>
        <w:rPr>
          <w:sz w:val="16"/>
        </w:rPr>
        <w:t xml:space="preserve">     (negative log of)</w:t>
      </w:r>
      <w:r>
        <w:rPr>
          <w:sz w:val="16"/>
        </w:rPr>
        <w:tab/>
      </w:r>
    </w:p>
    <w:p w14:paraId="27E30475" w14:textId="77777777" w:rsidR="000F01B0" w:rsidRDefault="000F01B0" w:rsidP="000F01B0">
      <w:pPr>
        <w:pStyle w:val="TableRow"/>
        <w:tabs>
          <w:tab w:val="left" w:pos="2448"/>
          <w:tab w:val="left" w:pos="2988"/>
        </w:tabs>
        <w:spacing w:line="180" w:lineRule="exact"/>
        <w:jc w:val="left"/>
        <w:rPr>
          <w:sz w:val="16"/>
        </w:rPr>
      </w:pPr>
      <w:r>
        <w:rPr>
          <w:sz w:val="16"/>
        </w:rPr>
        <w:t>parts per million</w:t>
      </w:r>
      <w:r>
        <w:rPr>
          <w:sz w:val="16"/>
        </w:rPr>
        <w:tab/>
        <w:t>ppm</w:t>
      </w:r>
    </w:p>
    <w:p w14:paraId="4B2EC436" w14:textId="77777777" w:rsidR="000F01B0" w:rsidRDefault="000F01B0" w:rsidP="000F01B0">
      <w:pPr>
        <w:pStyle w:val="TableRow"/>
        <w:tabs>
          <w:tab w:val="left" w:pos="2448"/>
          <w:tab w:val="left" w:pos="2988"/>
        </w:tabs>
        <w:spacing w:line="180" w:lineRule="exact"/>
        <w:jc w:val="left"/>
        <w:rPr>
          <w:sz w:val="16"/>
        </w:rPr>
      </w:pPr>
      <w:r>
        <w:rPr>
          <w:sz w:val="16"/>
        </w:rPr>
        <w:t>parts per thousand</w:t>
      </w:r>
      <w:r>
        <w:rPr>
          <w:sz w:val="16"/>
        </w:rPr>
        <w:tab/>
        <w:t>ppt,</w:t>
      </w:r>
    </w:p>
    <w:p w14:paraId="5C2A1EF0" w14:textId="77777777" w:rsidR="000F01B0" w:rsidRDefault="000F01B0" w:rsidP="000F01B0">
      <w:pPr>
        <w:pStyle w:val="TableRow"/>
        <w:tabs>
          <w:tab w:val="left" w:pos="2448"/>
          <w:tab w:val="left" w:pos="2988"/>
        </w:tabs>
        <w:spacing w:line="180" w:lineRule="exact"/>
        <w:jc w:val="left"/>
        <w:rPr>
          <w:sz w:val="16"/>
        </w:rPr>
      </w:pPr>
      <w:r>
        <w:rPr>
          <w:sz w:val="16"/>
        </w:rPr>
        <w:tab/>
        <w:t xml:space="preserve"> ‰</w:t>
      </w:r>
    </w:p>
    <w:p w14:paraId="56F1B66D" w14:textId="77777777" w:rsidR="000F01B0" w:rsidRDefault="000F01B0" w:rsidP="000F01B0">
      <w:pPr>
        <w:pStyle w:val="TableRow"/>
        <w:tabs>
          <w:tab w:val="left" w:pos="2448"/>
          <w:tab w:val="left" w:pos="2988"/>
        </w:tabs>
        <w:spacing w:line="180" w:lineRule="exact"/>
        <w:jc w:val="left"/>
        <w:rPr>
          <w:sz w:val="16"/>
        </w:rPr>
      </w:pPr>
      <w:r>
        <w:rPr>
          <w:sz w:val="16"/>
        </w:rPr>
        <w:t>volts</w:t>
      </w:r>
      <w:r>
        <w:rPr>
          <w:sz w:val="16"/>
        </w:rPr>
        <w:tab/>
        <w:t>V</w:t>
      </w:r>
    </w:p>
    <w:p w14:paraId="11F05A41" w14:textId="77777777" w:rsidR="000F01B0" w:rsidRDefault="000F01B0" w:rsidP="000F01B0">
      <w:pPr>
        <w:pStyle w:val="TableRow"/>
        <w:tabs>
          <w:tab w:val="left" w:pos="2448"/>
          <w:tab w:val="left" w:pos="2988"/>
        </w:tabs>
        <w:spacing w:line="180" w:lineRule="exact"/>
        <w:jc w:val="left"/>
        <w:rPr>
          <w:sz w:val="16"/>
        </w:rPr>
      </w:pPr>
      <w:r>
        <w:rPr>
          <w:sz w:val="16"/>
        </w:rPr>
        <w:t>watts</w:t>
      </w:r>
      <w:r>
        <w:rPr>
          <w:sz w:val="16"/>
        </w:rPr>
        <w:tab/>
        <w:t>W</w:t>
      </w:r>
    </w:p>
    <w:p w14:paraId="4CC31D3F" w14:textId="77777777" w:rsidR="000F01B0" w:rsidRDefault="000F01B0" w:rsidP="000F01B0">
      <w:pPr>
        <w:pStyle w:val="TableRow"/>
        <w:tabs>
          <w:tab w:val="left" w:pos="2448"/>
          <w:tab w:val="left" w:pos="2988"/>
        </w:tabs>
        <w:spacing w:line="180" w:lineRule="exact"/>
        <w:jc w:val="left"/>
        <w:rPr>
          <w:sz w:val="16"/>
        </w:rPr>
      </w:pPr>
      <w:r>
        <w:rPr>
          <w:sz w:val="16"/>
        </w:rPr>
        <w:br w:type="column"/>
      </w:r>
      <w:r>
        <w:rPr>
          <w:b/>
          <w:sz w:val="16"/>
        </w:rPr>
        <w:t>General</w:t>
      </w:r>
      <w:r>
        <w:rPr>
          <w:b/>
          <w:sz w:val="16"/>
        </w:rPr>
        <w:tab/>
      </w:r>
    </w:p>
    <w:p w14:paraId="7445C51D" w14:textId="77777777" w:rsidR="000F01B0" w:rsidRDefault="000F01B0" w:rsidP="000F01B0">
      <w:pPr>
        <w:pStyle w:val="TableRow"/>
        <w:tabs>
          <w:tab w:val="left" w:pos="1728"/>
          <w:tab w:val="left" w:pos="3348"/>
        </w:tabs>
        <w:spacing w:line="180" w:lineRule="exact"/>
        <w:jc w:val="left"/>
        <w:rPr>
          <w:sz w:val="16"/>
        </w:rPr>
      </w:pPr>
      <w:r>
        <w:rPr>
          <w:sz w:val="16"/>
        </w:rPr>
        <w:t xml:space="preserve">Alaska Administrative </w:t>
      </w:r>
    </w:p>
    <w:p w14:paraId="33A7D176" w14:textId="77777777" w:rsidR="000F01B0" w:rsidRDefault="000F01B0" w:rsidP="000F01B0">
      <w:pPr>
        <w:pStyle w:val="TableRow"/>
        <w:tabs>
          <w:tab w:val="left" w:pos="1728"/>
          <w:tab w:val="left" w:pos="3348"/>
        </w:tabs>
        <w:spacing w:line="180" w:lineRule="exact"/>
        <w:jc w:val="left"/>
        <w:rPr>
          <w:sz w:val="16"/>
        </w:rPr>
      </w:pPr>
      <w:r>
        <w:rPr>
          <w:sz w:val="16"/>
        </w:rPr>
        <w:t xml:space="preserve">    Code</w:t>
      </w:r>
      <w:r>
        <w:rPr>
          <w:sz w:val="16"/>
        </w:rPr>
        <w:tab/>
        <w:t>AAC</w:t>
      </w:r>
    </w:p>
    <w:p w14:paraId="481B734F" w14:textId="77777777" w:rsidR="000F01B0" w:rsidRDefault="000F01B0" w:rsidP="000F01B0">
      <w:pPr>
        <w:pStyle w:val="TableRow"/>
        <w:tabs>
          <w:tab w:val="left" w:pos="1728"/>
          <w:tab w:val="left" w:pos="3348"/>
        </w:tabs>
        <w:spacing w:line="180" w:lineRule="exact"/>
        <w:jc w:val="left"/>
        <w:rPr>
          <w:sz w:val="16"/>
        </w:rPr>
      </w:pPr>
      <w:r>
        <w:rPr>
          <w:sz w:val="16"/>
        </w:rPr>
        <w:t xml:space="preserve">all commonly accepted </w:t>
      </w:r>
    </w:p>
    <w:p w14:paraId="60237690"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 xml:space="preserve">    abbreviations</w:t>
      </w:r>
      <w:r>
        <w:rPr>
          <w:sz w:val="16"/>
        </w:rPr>
        <w:tab/>
        <w:t xml:space="preserve">e.g., Mr., Mrs., </w:t>
      </w:r>
      <w:proofErr w:type="gramStart"/>
      <w:r>
        <w:rPr>
          <w:smallCaps/>
          <w:sz w:val="12"/>
        </w:rPr>
        <w:t>AM</w:t>
      </w:r>
      <w:r>
        <w:rPr>
          <w:sz w:val="16"/>
        </w:rPr>
        <w:t xml:space="preserve">,   </w:t>
      </w:r>
      <w:proofErr w:type="gramEnd"/>
      <w:r>
        <w:rPr>
          <w:smallCaps/>
          <w:sz w:val="12"/>
        </w:rPr>
        <w:t>PM</w:t>
      </w:r>
      <w:r>
        <w:rPr>
          <w:sz w:val="16"/>
        </w:rPr>
        <w:t>, etc.</w:t>
      </w:r>
    </w:p>
    <w:p w14:paraId="4B885C7C" w14:textId="77777777" w:rsidR="000F01B0" w:rsidRDefault="000F01B0" w:rsidP="000F01B0">
      <w:pPr>
        <w:pStyle w:val="TableRow"/>
        <w:tabs>
          <w:tab w:val="left" w:pos="1728"/>
          <w:tab w:val="left" w:pos="3348"/>
        </w:tabs>
        <w:spacing w:line="180" w:lineRule="exact"/>
        <w:jc w:val="left"/>
        <w:rPr>
          <w:sz w:val="16"/>
        </w:rPr>
      </w:pPr>
      <w:r>
        <w:rPr>
          <w:sz w:val="16"/>
        </w:rPr>
        <w:t xml:space="preserve">all commonly accepted </w:t>
      </w:r>
    </w:p>
    <w:p w14:paraId="4950E9A6"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 xml:space="preserve">    professional titles</w:t>
      </w:r>
      <w:r>
        <w:rPr>
          <w:sz w:val="16"/>
        </w:rPr>
        <w:tab/>
        <w:t xml:space="preserve">e.g., Dr., Ph.D., </w:t>
      </w:r>
    </w:p>
    <w:p w14:paraId="40204EA9"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ab/>
        <w:t>R.N., etc.</w:t>
      </w:r>
    </w:p>
    <w:p w14:paraId="32767C91" w14:textId="77777777" w:rsidR="000F01B0" w:rsidRDefault="000F01B0" w:rsidP="000F01B0">
      <w:pPr>
        <w:pStyle w:val="TableRow"/>
        <w:tabs>
          <w:tab w:val="left" w:pos="1728"/>
          <w:tab w:val="left" w:pos="3348"/>
        </w:tabs>
        <w:spacing w:line="180" w:lineRule="exact"/>
        <w:jc w:val="left"/>
        <w:rPr>
          <w:sz w:val="16"/>
        </w:rPr>
      </w:pPr>
      <w:r>
        <w:rPr>
          <w:sz w:val="16"/>
        </w:rPr>
        <w:t>at</w:t>
      </w:r>
      <w:r>
        <w:rPr>
          <w:sz w:val="16"/>
        </w:rPr>
        <w:tab/>
        <w:t>@</w:t>
      </w:r>
    </w:p>
    <w:p w14:paraId="069591FC" w14:textId="77777777" w:rsidR="000F01B0" w:rsidRDefault="000F01B0" w:rsidP="000F01B0">
      <w:pPr>
        <w:pStyle w:val="TableRow"/>
        <w:tabs>
          <w:tab w:val="left" w:pos="1728"/>
          <w:tab w:val="left" w:pos="3348"/>
        </w:tabs>
        <w:spacing w:line="180" w:lineRule="exact"/>
        <w:jc w:val="left"/>
        <w:rPr>
          <w:sz w:val="16"/>
        </w:rPr>
      </w:pPr>
      <w:r>
        <w:rPr>
          <w:sz w:val="16"/>
        </w:rPr>
        <w:t>compass directions:</w:t>
      </w:r>
      <w:r>
        <w:rPr>
          <w:sz w:val="16"/>
        </w:rPr>
        <w:tab/>
      </w:r>
    </w:p>
    <w:p w14:paraId="330E12B7" w14:textId="77777777" w:rsidR="000F01B0" w:rsidRDefault="000F01B0" w:rsidP="000F01B0">
      <w:pPr>
        <w:pStyle w:val="TableRow"/>
        <w:tabs>
          <w:tab w:val="left" w:pos="1728"/>
          <w:tab w:val="left" w:pos="3348"/>
        </w:tabs>
        <w:spacing w:line="180" w:lineRule="exact"/>
        <w:ind w:left="432"/>
        <w:jc w:val="left"/>
        <w:rPr>
          <w:sz w:val="16"/>
        </w:rPr>
      </w:pPr>
      <w:r>
        <w:rPr>
          <w:sz w:val="16"/>
        </w:rPr>
        <w:t>east</w:t>
      </w:r>
      <w:r>
        <w:rPr>
          <w:sz w:val="16"/>
        </w:rPr>
        <w:tab/>
        <w:t>E</w:t>
      </w:r>
    </w:p>
    <w:p w14:paraId="3DF0C9BA" w14:textId="77777777" w:rsidR="000F01B0" w:rsidRDefault="000F01B0" w:rsidP="000F01B0">
      <w:pPr>
        <w:pStyle w:val="TableRow"/>
        <w:tabs>
          <w:tab w:val="left" w:pos="1728"/>
          <w:tab w:val="left" w:pos="3348"/>
        </w:tabs>
        <w:spacing w:line="180" w:lineRule="exact"/>
        <w:ind w:left="432"/>
        <w:jc w:val="left"/>
        <w:rPr>
          <w:sz w:val="16"/>
        </w:rPr>
      </w:pPr>
      <w:r>
        <w:rPr>
          <w:sz w:val="16"/>
        </w:rPr>
        <w:t>north</w:t>
      </w:r>
      <w:r>
        <w:rPr>
          <w:sz w:val="16"/>
        </w:rPr>
        <w:tab/>
        <w:t>N</w:t>
      </w:r>
    </w:p>
    <w:p w14:paraId="5977B6D7" w14:textId="77777777" w:rsidR="000F01B0" w:rsidRDefault="000F01B0" w:rsidP="000F01B0">
      <w:pPr>
        <w:pStyle w:val="TableRow"/>
        <w:tabs>
          <w:tab w:val="left" w:pos="1728"/>
          <w:tab w:val="left" w:pos="3348"/>
        </w:tabs>
        <w:spacing w:line="180" w:lineRule="exact"/>
        <w:ind w:left="432"/>
        <w:jc w:val="left"/>
        <w:rPr>
          <w:sz w:val="16"/>
        </w:rPr>
      </w:pPr>
      <w:r>
        <w:rPr>
          <w:sz w:val="16"/>
        </w:rPr>
        <w:t>south</w:t>
      </w:r>
      <w:r>
        <w:rPr>
          <w:sz w:val="16"/>
        </w:rPr>
        <w:tab/>
        <w:t>S</w:t>
      </w:r>
    </w:p>
    <w:p w14:paraId="60AE40E0" w14:textId="77777777" w:rsidR="000F01B0" w:rsidRDefault="000F01B0" w:rsidP="000F01B0">
      <w:pPr>
        <w:pStyle w:val="TableRow"/>
        <w:tabs>
          <w:tab w:val="left" w:pos="1728"/>
          <w:tab w:val="left" w:pos="3348"/>
        </w:tabs>
        <w:spacing w:line="180" w:lineRule="exact"/>
        <w:ind w:left="432"/>
        <w:jc w:val="left"/>
        <w:rPr>
          <w:sz w:val="16"/>
        </w:rPr>
      </w:pPr>
      <w:r>
        <w:rPr>
          <w:sz w:val="16"/>
        </w:rPr>
        <w:t>west</w:t>
      </w:r>
      <w:r>
        <w:rPr>
          <w:sz w:val="16"/>
        </w:rPr>
        <w:tab/>
        <w:t>W</w:t>
      </w:r>
    </w:p>
    <w:p w14:paraId="17FBCB5C" w14:textId="77777777" w:rsidR="000F01B0" w:rsidRDefault="000F01B0" w:rsidP="000F01B0">
      <w:pPr>
        <w:pStyle w:val="TableRow"/>
        <w:tabs>
          <w:tab w:val="left" w:pos="1728"/>
          <w:tab w:val="left" w:pos="3348"/>
        </w:tabs>
        <w:spacing w:line="180" w:lineRule="exact"/>
        <w:jc w:val="left"/>
        <w:rPr>
          <w:sz w:val="16"/>
        </w:rPr>
      </w:pPr>
      <w:r>
        <w:rPr>
          <w:sz w:val="16"/>
        </w:rPr>
        <w:t>copyright</w:t>
      </w:r>
      <w:r>
        <w:rPr>
          <w:sz w:val="16"/>
        </w:rPr>
        <w:tab/>
      </w:r>
      <w:r>
        <w:rPr>
          <w:sz w:val="16"/>
        </w:rPr>
        <w:sym w:font="Symbol" w:char="F0E3"/>
      </w:r>
    </w:p>
    <w:p w14:paraId="31B5572C" w14:textId="77777777" w:rsidR="000F01B0" w:rsidRDefault="000F01B0" w:rsidP="000F01B0">
      <w:pPr>
        <w:pStyle w:val="TableRow"/>
        <w:tabs>
          <w:tab w:val="left" w:pos="1728"/>
          <w:tab w:val="left" w:pos="3348"/>
        </w:tabs>
        <w:spacing w:line="180" w:lineRule="exact"/>
        <w:jc w:val="left"/>
        <w:rPr>
          <w:sz w:val="16"/>
        </w:rPr>
      </w:pPr>
      <w:r>
        <w:rPr>
          <w:sz w:val="16"/>
        </w:rPr>
        <w:t>corporate suffixes:</w:t>
      </w:r>
      <w:r>
        <w:rPr>
          <w:sz w:val="16"/>
        </w:rPr>
        <w:tab/>
      </w:r>
    </w:p>
    <w:p w14:paraId="14DE0928" w14:textId="77777777" w:rsidR="000F01B0" w:rsidRDefault="000F01B0" w:rsidP="000F01B0">
      <w:pPr>
        <w:pStyle w:val="TableRow"/>
        <w:tabs>
          <w:tab w:val="left" w:pos="1728"/>
          <w:tab w:val="left" w:pos="3348"/>
        </w:tabs>
        <w:spacing w:line="180" w:lineRule="exact"/>
        <w:ind w:left="432"/>
        <w:jc w:val="left"/>
        <w:rPr>
          <w:sz w:val="16"/>
        </w:rPr>
      </w:pPr>
      <w:r>
        <w:rPr>
          <w:sz w:val="16"/>
        </w:rPr>
        <w:t>Company</w:t>
      </w:r>
      <w:r>
        <w:rPr>
          <w:sz w:val="16"/>
        </w:rPr>
        <w:tab/>
        <w:t>Co.</w:t>
      </w:r>
    </w:p>
    <w:p w14:paraId="2511F2AA" w14:textId="77777777" w:rsidR="000F01B0" w:rsidRDefault="000F01B0" w:rsidP="000F01B0">
      <w:pPr>
        <w:pStyle w:val="TableRow"/>
        <w:tabs>
          <w:tab w:val="left" w:pos="1728"/>
          <w:tab w:val="left" w:pos="3348"/>
        </w:tabs>
        <w:spacing w:line="180" w:lineRule="exact"/>
        <w:ind w:left="432"/>
        <w:jc w:val="left"/>
        <w:rPr>
          <w:sz w:val="16"/>
        </w:rPr>
      </w:pPr>
      <w:r>
        <w:rPr>
          <w:sz w:val="16"/>
        </w:rPr>
        <w:t>Corporation</w:t>
      </w:r>
      <w:r>
        <w:rPr>
          <w:sz w:val="16"/>
        </w:rPr>
        <w:tab/>
        <w:t>Corp.</w:t>
      </w:r>
    </w:p>
    <w:p w14:paraId="3C9720E6" w14:textId="77777777" w:rsidR="000F01B0" w:rsidRDefault="000F01B0" w:rsidP="000F01B0">
      <w:pPr>
        <w:pStyle w:val="TableRow"/>
        <w:tabs>
          <w:tab w:val="left" w:pos="1728"/>
          <w:tab w:val="left" w:pos="3348"/>
        </w:tabs>
        <w:spacing w:line="180" w:lineRule="exact"/>
        <w:ind w:left="432"/>
        <w:jc w:val="left"/>
        <w:rPr>
          <w:sz w:val="16"/>
        </w:rPr>
      </w:pPr>
      <w:r>
        <w:rPr>
          <w:sz w:val="16"/>
        </w:rPr>
        <w:t>Incorporated</w:t>
      </w:r>
      <w:r>
        <w:rPr>
          <w:sz w:val="16"/>
        </w:rPr>
        <w:tab/>
        <w:t>Inc.</w:t>
      </w:r>
    </w:p>
    <w:p w14:paraId="0CD5F9CA" w14:textId="77777777" w:rsidR="000F01B0" w:rsidRDefault="000F01B0" w:rsidP="000F01B0">
      <w:pPr>
        <w:pStyle w:val="TableRow"/>
        <w:tabs>
          <w:tab w:val="left" w:pos="1728"/>
          <w:tab w:val="left" w:pos="3348"/>
        </w:tabs>
        <w:spacing w:line="180" w:lineRule="exact"/>
        <w:ind w:left="432"/>
        <w:jc w:val="left"/>
        <w:rPr>
          <w:sz w:val="16"/>
        </w:rPr>
      </w:pPr>
      <w:r>
        <w:rPr>
          <w:sz w:val="16"/>
        </w:rPr>
        <w:t>Limited</w:t>
      </w:r>
      <w:r>
        <w:rPr>
          <w:sz w:val="16"/>
        </w:rPr>
        <w:tab/>
        <w:t>Ltd.</w:t>
      </w:r>
    </w:p>
    <w:p w14:paraId="07DC72E2" w14:textId="77777777" w:rsidR="000F01B0" w:rsidRDefault="000F01B0" w:rsidP="000F01B0">
      <w:pPr>
        <w:pStyle w:val="TableRow"/>
        <w:tabs>
          <w:tab w:val="left" w:pos="1728"/>
          <w:tab w:val="left" w:pos="3348"/>
        </w:tabs>
        <w:spacing w:line="180" w:lineRule="exact"/>
        <w:jc w:val="left"/>
        <w:rPr>
          <w:sz w:val="16"/>
        </w:rPr>
      </w:pPr>
      <w:r>
        <w:rPr>
          <w:sz w:val="16"/>
        </w:rPr>
        <w:t>District of Columbia</w:t>
      </w:r>
      <w:r>
        <w:rPr>
          <w:sz w:val="16"/>
        </w:rPr>
        <w:tab/>
        <w:t>D.C.</w:t>
      </w:r>
    </w:p>
    <w:p w14:paraId="2F2FF9EE" w14:textId="77777777" w:rsidR="000F01B0" w:rsidRDefault="000F01B0" w:rsidP="000F01B0">
      <w:pPr>
        <w:pStyle w:val="TableRow"/>
        <w:tabs>
          <w:tab w:val="left" w:pos="1728"/>
          <w:tab w:val="left" w:pos="3348"/>
        </w:tabs>
        <w:spacing w:line="180" w:lineRule="exact"/>
        <w:jc w:val="left"/>
        <w:rPr>
          <w:sz w:val="16"/>
        </w:rPr>
      </w:pPr>
      <w:r>
        <w:rPr>
          <w:sz w:val="16"/>
        </w:rPr>
        <w:t xml:space="preserve">et </w:t>
      </w:r>
      <w:proofErr w:type="spellStart"/>
      <w:r>
        <w:rPr>
          <w:sz w:val="16"/>
        </w:rPr>
        <w:t>alii</w:t>
      </w:r>
      <w:proofErr w:type="spellEnd"/>
      <w:r>
        <w:rPr>
          <w:sz w:val="16"/>
        </w:rPr>
        <w:t xml:space="preserve"> (and others) </w:t>
      </w:r>
      <w:r>
        <w:rPr>
          <w:sz w:val="16"/>
        </w:rPr>
        <w:tab/>
        <w:t>et al.</w:t>
      </w:r>
    </w:p>
    <w:p w14:paraId="5E93F148" w14:textId="77777777" w:rsidR="000F01B0" w:rsidRDefault="000F01B0" w:rsidP="000F01B0">
      <w:pPr>
        <w:pStyle w:val="TableRow"/>
        <w:tabs>
          <w:tab w:val="left" w:pos="1728"/>
          <w:tab w:val="left" w:pos="3348"/>
        </w:tabs>
        <w:spacing w:line="180" w:lineRule="exact"/>
        <w:jc w:val="left"/>
        <w:rPr>
          <w:sz w:val="16"/>
        </w:rPr>
      </w:pPr>
      <w:r>
        <w:rPr>
          <w:sz w:val="16"/>
        </w:rPr>
        <w:t>et cetera (and so forth)</w:t>
      </w:r>
      <w:r>
        <w:rPr>
          <w:sz w:val="16"/>
        </w:rPr>
        <w:tab/>
        <w:t>etc.</w:t>
      </w:r>
    </w:p>
    <w:p w14:paraId="6C9C3E7B" w14:textId="77777777" w:rsidR="000F01B0" w:rsidRDefault="000F01B0" w:rsidP="000F01B0">
      <w:pPr>
        <w:pStyle w:val="TableRow"/>
        <w:tabs>
          <w:tab w:val="left" w:pos="1728"/>
          <w:tab w:val="left" w:pos="3348"/>
        </w:tabs>
        <w:spacing w:line="180" w:lineRule="exact"/>
        <w:jc w:val="left"/>
        <w:rPr>
          <w:sz w:val="16"/>
        </w:rPr>
      </w:pPr>
      <w:r>
        <w:rPr>
          <w:sz w:val="16"/>
        </w:rPr>
        <w:t xml:space="preserve">exempli gratia </w:t>
      </w:r>
    </w:p>
    <w:p w14:paraId="4115E108" w14:textId="77777777" w:rsidR="000F01B0" w:rsidRDefault="000F01B0" w:rsidP="000F01B0">
      <w:pPr>
        <w:pStyle w:val="TableRow"/>
        <w:tabs>
          <w:tab w:val="left" w:pos="1728"/>
          <w:tab w:val="left" w:pos="3348"/>
        </w:tabs>
        <w:spacing w:line="180" w:lineRule="exact"/>
        <w:jc w:val="left"/>
        <w:rPr>
          <w:sz w:val="16"/>
        </w:rPr>
      </w:pPr>
      <w:r>
        <w:rPr>
          <w:sz w:val="16"/>
        </w:rPr>
        <w:t xml:space="preserve">    (for example)</w:t>
      </w:r>
      <w:r>
        <w:rPr>
          <w:sz w:val="16"/>
        </w:rPr>
        <w:tab/>
        <w:t>e.g.</w:t>
      </w:r>
    </w:p>
    <w:p w14:paraId="7F66BC8E" w14:textId="77777777" w:rsidR="000F01B0" w:rsidRDefault="000F01B0" w:rsidP="000F01B0">
      <w:pPr>
        <w:pStyle w:val="TableRow"/>
        <w:tabs>
          <w:tab w:val="left" w:pos="1728"/>
          <w:tab w:val="left" w:pos="3348"/>
        </w:tabs>
        <w:spacing w:line="180" w:lineRule="exact"/>
        <w:jc w:val="left"/>
        <w:rPr>
          <w:sz w:val="16"/>
        </w:rPr>
      </w:pPr>
      <w:r>
        <w:rPr>
          <w:sz w:val="16"/>
        </w:rPr>
        <w:t xml:space="preserve">Federal Information </w:t>
      </w:r>
    </w:p>
    <w:p w14:paraId="235C8CD2" w14:textId="77777777" w:rsidR="000F01B0" w:rsidRDefault="000F01B0" w:rsidP="000F01B0">
      <w:pPr>
        <w:pStyle w:val="TableRow"/>
        <w:tabs>
          <w:tab w:val="left" w:pos="1728"/>
          <w:tab w:val="left" w:pos="3348"/>
        </w:tabs>
        <w:spacing w:line="180" w:lineRule="exact"/>
        <w:jc w:val="left"/>
        <w:rPr>
          <w:sz w:val="16"/>
        </w:rPr>
      </w:pPr>
      <w:r>
        <w:rPr>
          <w:sz w:val="16"/>
        </w:rPr>
        <w:t xml:space="preserve">    Code</w:t>
      </w:r>
      <w:r>
        <w:rPr>
          <w:sz w:val="16"/>
        </w:rPr>
        <w:tab/>
        <w:t>FIC</w:t>
      </w:r>
    </w:p>
    <w:p w14:paraId="30932A3C" w14:textId="77777777" w:rsidR="000F01B0" w:rsidRDefault="000F01B0" w:rsidP="000F01B0">
      <w:pPr>
        <w:pStyle w:val="TableRow"/>
        <w:tabs>
          <w:tab w:val="left" w:pos="1728"/>
          <w:tab w:val="left" w:pos="3348"/>
        </w:tabs>
        <w:spacing w:line="180" w:lineRule="exact"/>
        <w:jc w:val="left"/>
        <w:rPr>
          <w:sz w:val="16"/>
        </w:rPr>
      </w:pPr>
      <w:r>
        <w:rPr>
          <w:sz w:val="16"/>
        </w:rPr>
        <w:t xml:space="preserve">id </w:t>
      </w:r>
      <w:proofErr w:type="spellStart"/>
      <w:r>
        <w:rPr>
          <w:sz w:val="16"/>
        </w:rPr>
        <w:t>est</w:t>
      </w:r>
      <w:proofErr w:type="spellEnd"/>
      <w:r>
        <w:rPr>
          <w:sz w:val="16"/>
        </w:rPr>
        <w:t xml:space="preserve"> (that is)</w:t>
      </w:r>
      <w:r>
        <w:rPr>
          <w:sz w:val="16"/>
        </w:rPr>
        <w:tab/>
        <w:t>i.e.</w:t>
      </w:r>
    </w:p>
    <w:p w14:paraId="18C80063" w14:textId="77777777" w:rsidR="000F01B0" w:rsidRDefault="000F01B0" w:rsidP="000F01B0">
      <w:pPr>
        <w:pStyle w:val="TableRow"/>
        <w:tabs>
          <w:tab w:val="left" w:pos="1728"/>
          <w:tab w:val="left" w:pos="3348"/>
        </w:tabs>
        <w:spacing w:line="180" w:lineRule="exact"/>
        <w:jc w:val="left"/>
        <w:rPr>
          <w:sz w:val="16"/>
        </w:rPr>
      </w:pPr>
      <w:r>
        <w:rPr>
          <w:sz w:val="16"/>
        </w:rPr>
        <w:t>latitude or longitude</w:t>
      </w:r>
      <w:r>
        <w:rPr>
          <w:sz w:val="16"/>
        </w:rPr>
        <w:tab/>
      </w:r>
      <w:proofErr w:type="spellStart"/>
      <w:r>
        <w:rPr>
          <w:sz w:val="16"/>
        </w:rPr>
        <w:t>lat</w:t>
      </w:r>
      <w:proofErr w:type="spellEnd"/>
      <w:r>
        <w:rPr>
          <w:sz w:val="16"/>
        </w:rPr>
        <w:t xml:space="preserve"> or long</w:t>
      </w:r>
    </w:p>
    <w:p w14:paraId="4BC39F78" w14:textId="77777777" w:rsidR="000F01B0" w:rsidRDefault="000F01B0" w:rsidP="000F01B0">
      <w:pPr>
        <w:pStyle w:val="TableRow"/>
        <w:tabs>
          <w:tab w:val="left" w:pos="1728"/>
          <w:tab w:val="left" w:pos="3348"/>
        </w:tabs>
        <w:spacing w:line="180" w:lineRule="exact"/>
        <w:jc w:val="left"/>
        <w:rPr>
          <w:sz w:val="16"/>
        </w:rPr>
      </w:pPr>
      <w:r>
        <w:rPr>
          <w:sz w:val="16"/>
        </w:rPr>
        <w:t>monetary symbols</w:t>
      </w:r>
    </w:p>
    <w:p w14:paraId="2AC99FB4" w14:textId="77777777" w:rsidR="000F01B0" w:rsidRDefault="000F01B0" w:rsidP="000F01B0">
      <w:pPr>
        <w:pStyle w:val="TableRow"/>
        <w:tabs>
          <w:tab w:val="left" w:pos="1728"/>
          <w:tab w:val="left" w:pos="3348"/>
        </w:tabs>
        <w:spacing w:line="180" w:lineRule="exact"/>
        <w:jc w:val="left"/>
        <w:rPr>
          <w:sz w:val="16"/>
        </w:rPr>
      </w:pPr>
      <w:r>
        <w:rPr>
          <w:sz w:val="16"/>
        </w:rPr>
        <w:t xml:space="preserve">     (U.S.)</w:t>
      </w:r>
      <w:r>
        <w:rPr>
          <w:sz w:val="16"/>
        </w:rPr>
        <w:tab/>
        <w:t>$, ¢</w:t>
      </w:r>
    </w:p>
    <w:p w14:paraId="14007F74" w14:textId="77777777" w:rsidR="000F01B0" w:rsidRDefault="000F01B0" w:rsidP="000F01B0">
      <w:pPr>
        <w:pStyle w:val="TableRow"/>
        <w:tabs>
          <w:tab w:val="left" w:pos="1728"/>
          <w:tab w:val="left" w:pos="3348"/>
        </w:tabs>
        <w:spacing w:line="180" w:lineRule="exact"/>
        <w:jc w:val="left"/>
        <w:rPr>
          <w:sz w:val="16"/>
        </w:rPr>
      </w:pPr>
      <w:r>
        <w:rPr>
          <w:sz w:val="16"/>
        </w:rPr>
        <w:t>months (tables and</w:t>
      </w:r>
    </w:p>
    <w:p w14:paraId="72264E6B" w14:textId="77777777" w:rsidR="000F01B0" w:rsidRDefault="000F01B0" w:rsidP="000F01B0">
      <w:pPr>
        <w:pStyle w:val="TableRow"/>
        <w:tabs>
          <w:tab w:val="left" w:pos="1728"/>
          <w:tab w:val="left" w:pos="3348"/>
        </w:tabs>
        <w:spacing w:line="180" w:lineRule="exact"/>
        <w:jc w:val="left"/>
        <w:rPr>
          <w:sz w:val="16"/>
        </w:rPr>
      </w:pPr>
      <w:r>
        <w:rPr>
          <w:sz w:val="16"/>
        </w:rPr>
        <w:t xml:space="preserve">     figures): first three </w:t>
      </w:r>
    </w:p>
    <w:p w14:paraId="429B5170" w14:textId="77777777" w:rsidR="000F01B0" w:rsidRDefault="000F01B0" w:rsidP="000F01B0">
      <w:pPr>
        <w:pStyle w:val="TableRow"/>
        <w:tabs>
          <w:tab w:val="left" w:pos="1728"/>
          <w:tab w:val="left" w:pos="3348"/>
        </w:tabs>
        <w:spacing w:line="180" w:lineRule="exact"/>
        <w:jc w:val="left"/>
        <w:rPr>
          <w:sz w:val="16"/>
        </w:rPr>
      </w:pPr>
      <w:r>
        <w:rPr>
          <w:sz w:val="16"/>
        </w:rPr>
        <w:t xml:space="preserve">     letters</w:t>
      </w:r>
      <w:r>
        <w:rPr>
          <w:sz w:val="16"/>
        </w:rPr>
        <w:tab/>
      </w:r>
      <w:proofErr w:type="gramStart"/>
      <w:r>
        <w:rPr>
          <w:sz w:val="16"/>
        </w:rPr>
        <w:t>Jan,...</w:t>
      </w:r>
      <w:proofErr w:type="gramEnd"/>
      <w:r>
        <w:rPr>
          <w:sz w:val="16"/>
        </w:rPr>
        <w:t>,Dec</w:t>
      </w:r>
    </w:p>
    <w:p w14:paraId="5B90052F" w14:textId="77777777" w:rsidR="000F01B0" w:rsidRDefault="000F01B0" w:rsidP="000F01B0">
      <w:pPr>
        <w:pStyle w:val="TableRow"/>
        <w:tabs>
          <w:tab w:val="left" w:pos="1728"/>
          <w:tab w:val="left" w:pos="3348"/>
        </w:tabs>
        <w:spacing w:line="180" w:lineRule="exact"/>
        <w:jc w:val="left"/>
        <w:rPr>
          <w:sz w:val="16"/>
        </w:rPr>
      </w:pPr>
      <w:r>
        <w:rPr>
          <w:sz w:val="16"/>
        </w:rPr>
        <w:t>registered trademark</w:t>
      </w:r>
      <w:r>
        <w:rPr>
          <w:sz w:val="16"/>
        </w:rPr>
        <w:tab/>
      </w:r>
      <w:r>
        <w:rPr>
          <w:sz w:val="16"/>
        </w:rPr>
        <w:sym w:font="Symbol" w:char="F0E2"/>
      </w:r>
    </w:p>
    <w:p w14:paraId="3F23D190" w14:textId="77777777" w:rsidR="000F01B0" w:rsidRDefault="000F01B0" w:rsidP="000F01B0">
      <w:pPr>
        <w:pStyle w:val="TableRow"/>
        <w:tabs>
          <w:tab w:val="left" w:pos="1728"/>
          <w:tab w:val="left" w:pos="3348"/>
        </w:tabs>
        <w:spacing w:line="180" w:lineRule="exact"/>
        <w:jc w:val="left"/>
        <w:rPr>
          <w:sz w:val="16"/>
        </w:rPr>
      </w:pPr>
      <w:r>
        <w:rPr>
          <w:sz w:val="16"/>
        </w:rPr>
        <w:t>trademark</w:t>
      </w:r>
      <w:r>
        <w:rPr>
          <w:sz w:val="16"/>
        </w:rPr>
        <w:tab/>
      </w:r>
      <w:r>
        <w:rPr>
          <w:sz w:val="16"/>
        </w:rPr>
        <w:sym w:font="Symbol" w:char="F0E4"/>
      </w:r>
    </w:p>
    <w:p w14:paraId="5C2B53F5" w14:textId="77777777" w:rsidR="000F01B0" w:rsidRDefault="000F01B0" w:rsidP="000F01B0">
      <w:pPr>
        <w:pStyle w:val="TableRow"/>
        <w:tabs>
          <w:tab w:val="left" w:pos="1728"/>
          <w:tab w:val="left" w:pos="3348"/>
        </w:tabs>
        <w:spacing w:line="180" w:lineRule="exact"/>
        <w:jc w:val="left"/>
        <w:rPr>
          <w:sz w:val="16"/>
        </w:rPr>
      </w:pPr>
      <w:r>
        <w:rPr>
          <w:sz w:val="16"/>
        </w:rPr>
        <w:t>United States</w:t>
      </w:r>
    </w:p>
    <w:p w14:paraId="0540C542" w14:textId="77777777" w:rsidR="000F01B0" w:rsidRDefault="000F01B0" w:rsidP="000F01B0">
      <w:pPr>
        <w:pStyle w:val="TableRow"/>
        <w:tabs>
          <w:tab w:val="left" w:pos="1728"/>
          <w:tab w:val="left" w:pos="3348"/>
        </w:tabs>
        <w:spacing w:line="180" w:lineRule="exact"/>
        <w:jc w:val="left"/>
        <w:rPr>
          <w:sz w:val="16"/>
        </w:rPr>
      </w:pPr>
      <w:r>
        <w:rPr>
          <w:sz w:val="16"/>
        </w:rPr>
        <w:t xml:space="preserve">    (adjective)</w:t>
      </w:r>
      <w:r>
        <w:rPr>
          <w:sz w:val="16"/>
        </w:rPr>
        <w:tab/>
        <w:t>U.S.</w:t>
      </w:r>
    </w:p>
    <w:p w14:paraId="20DC33FE" w14:textId="77777777" w:rsidR="000F01B0" w:rsidRDefault="000F01B0" w:rsidP="000F01B0">
      <w:pPr>
        <w:pStyle w:val="TableRow"/>
        <w:tabs>
          <w:tab w:val="left" w:pos="1728"/>
          <w:tab w:val="left" w:pos="3348"/>
        </w:tabs>
        <w:spacing w:line="180" w:lineRule="exact"/>
        <w:jc w:val="left"/>
        <w:rPr>
          <w:sz w:val="16"/>
        </w:rPr>
      </w:pPr>
      <w:r>
        <w:rPr>
          <w:sz w:val="16"/>
        </w:rPr>
        <w:t xml:space="preserve">United States of </w:t>
      </w:r>
    </w:p>
    <w:p w14:paraId="3AC367E6" w14:textId="77777777" w:rsidR="000F01B0" w:rsidRDefault="000F01B0" w:rsidP="000F01B0">
      <w:pPr>
        <w:pStyle w:val="TableRow"/>
        <w:tabs>
          <w:tab w:val="left" w:pos="1728"/>
          <w:tab w:val="left" w:pos="3348"/>
        </w:tabs>
        <w:spacing w:line="180" w:lineRule="exact"/>
        <w:jc w:val="left"/>
        <w:rPr>
          <w:sz w:val="16"/>
        </w:rPr>
      </w:pPr>
      <w:r>
        <w:rPr>
          <w:sz w:val="16"/>
        </w:rPr>
        <w:t xml:space="preserve">    America (noun)</w:t>
      </w:r>
      <w:r>
        <w:rPr>
          <w:sz w:val="16"/>
        </w:rPr>
        <w:tab/>
        <w:t>USA</w:t>
      </w:r>
    </w:p>
    <w:p w14:paraId="7575A71C"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14:paraId="3D98E518"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14:paraId="2D999061" w14:textId="77777777" w:rsidR="000F01B0" w:rsidRDefault="000F01B0" w:rsidP="000F01B0">
      <w:pPr>
        <w:pStyle w:val="TableRow"/>
        <w:tabs>
          <w:tab w:val="left" w:pos="2988"/>
        </w:tabs>
        <w:spacing w:line="180" w:lineRule="exact"/>
        <w:jc w:val="left"/>
        <w:rPr>
          <w:sz w:val="16"/>
        </w:rPr>
      </w:pPr>
      <w:r>
        <w:rPr>
          <w:b/>
          <w:bCs/>
          <w:sz w:val="16"/>
        </w:rPr>
        <w:br w:type="column"/>
      </w:r>
      <w:r>
        <w:rPr>
          <w:b/>
          <w:sz w:val="16"/>
        </w:rPr>
        <w:t>Mathematics, statistics</w:t>
      </w:r>
    </w:p>
    <w:p w14:paraId="774497BA" w14:textId="77777777" w:rsidR="000F01B0" w:rsidRDefault="000F01B0" w:rsidP="000F01B0">
      <w:pPr>
        <w:pStyle w:val="TableRow"/>
        <w:tabs>
          <w:tab w:val="left" w:pos="2016"/>
          <w:tab w:val="left" w:pos="2988"/>
        </w:tabs>
        <w:spacing w:line="180" w:lineRule="exact"/>
        <w:jc w:val="left"/>
        <w:rPr>
          <w:i/>
          <w:iCs/>
          <w:sz w:val="16"/>
        </w:rPr>
      </w:pPr>
      <w:r>
        <w:rPr>
          <w:i/>
          <w:iCs/>
          <w:sz w:val="16"/>
        </w:rPr>
        <w:t>all standard mathematical</w:t>
      </w:r>
    </w:p>
    <w:p w14:paraId="1D7DA725" w14:textId="77777777" w:rsidR="000F01B0" w:rsidRDefault="000F01B0" w:rsidP="000F01B0">
      <w:pPr>
        <w:pStyle w:val="TableRow"/>
        <w:tabs>
          <w:tab w:val="left" w:pos="2016"/>
          <w:tab w:val="left" w:pos="2988"/>
        </w:tabs>
        <w:spacing w:line="180" w:lineRule="exact"/>
        <w:jc w:val="left"/>
        <w:rPr>
          <w:i/>
          <w:iCs/>
          <w:sz w:val="16"/>
        </w:rPr>
      </w:pPr>
      <w:r>
        <w:rPr>
          <w:i/>
          <w:iCs/>
          <w:sz w:val="16"/>
        </w:rPr>
        <w:t xml:space="preserve">    signs, symbols and </w:t>
      </w:r>
    </w:p>
    <w:p w14:paraId="7881F18F" w14:textId="77777777" w:rsidR="000F01B0" w:rsidRDefault="000F01B0" w:rsidP="000F01B0">
      <w:pPr>
        <w:pStyle w:val="TableRow"/>
        <w:tabs>
          <w:tab w:val="left" w:pos="2016"/>
          <w:tab w:val="left" w:pos="2988"/>
        </w:tabs>
        <w:spacing w:line="180" w:lineRule="exact"/>
        <w:jc w:val="left"/>
        <w:rPr>
          <w:sz w:val="16"/>
        </w:rPr>
      </w:pPr>
      <w:r>
        <w:rPr>
          <w:i/>
          <w:iCs/>
          <w:sz w:val="16"/>
        </w:rPr>
        <w:t xml:space="preserve">    abbreviations</w:t>
      </w:r>
      <w:r>
        <w:rPr>
          <w:i/>
          <w:iCs/>
          <w:sz w:val="16"/>
        </w:rPr>
        <w:tab/>
      </w:r>
    </w:p>
    <w:p w14:paraId="2C1CE0DA" w14:textId="77777777" w:rsidR="000F01B0" w:rsidRDefault="000F01B0" w:rsidP="000F01B0">
      <w:pPr>
        <w:pStyle w:val="TableRow"/>
        <w:tabs>
          <w:tab w:val="left" w:pos="2016"/>
          <w:tab w:val="left" w:pos="2988"/>
        </w:tabs>
        <w:spacing w:line="180" w:lineRule="exact"/>
        <w:jc w:val="left"/>
        <w:rPr>
          <w:sz w:val="16"/>
        </w:rPr>
      </w:pPr>
      <w:r>
        <w:rPr>
          <w:sz w:val="16"/>
        </w:rPr>
        <w:t>alternate hypothesis</w:t>
      </w:r>
      <w:r>
        <w:rPr>
          <w:sz w:val="16"/>
        </w:rPr>
        <w:tab/>
        <w:t>H</w:t>
      </w:r>
      <w:r>
        <w:rPr>
          <w:sz w:val="16"/>
          <w:vertAlign w:val="subscript"/>
        </w:rPr>
        <w:t>A</w:t>
      </w:r>
    </w:p>
    <w:p w14:paraId="6AEAE63B" w14:textId="77777777" w:rsidR="000F01B0" w:rsidRDefault="000F01B0" w:rsidP="000F01B0">
      <w:pPr>
        <w:pStyle w:val="TableRow"/>
        <w:tabs>
          <w:tab w:val="left" w:pos="2016"/>
          <w:tab w:val="left" w:pos="2988"/>
        </w:tabs>
        <w:spacing w:line="180" w:lineRule="exact"/>
        <w:jc w:val="left"/>
        <w:rPr>
          <w:i/>
          <w:iCs/>
          <w:sz w:val="16"/>
        </w:rPr>
      </w:pPr>
      <w:r>
        <w:rPr>
          <w:sz w:val="16"/>
        </w:rPr>
        <w:t>base of natural logarithm</w:t>
      </w:r>
      <w:r>
        <w:rPr>
          <w:sz w:val="16"/>
        </w:rPr>
        <w:tab/>
      </w:r>
      <w:r>
        <w:rPr>
          <w:i/>
          <w:iCs/>
          <w:sz w:val="16"/>
        </w:rPr>
        <w:t>e</w:t>
      </w:r>
    </w:p>
    <w:p w14:paraId="508F59DF" w14:textId="77777777" w:rsidR="000F01B0" w:rsidRDefault="000F01B0" w:rsidP="000F01B0">
      <w:pPr>
        <w:pStyle w:val="TableRow"/>
        <w:tabs>
          <w:tab w:val="left" w:pos="2016"/>
          <w:tab w:val="left" w:pos="2988"/>
        </w:tabs>
        <w:spacing w:line="180" w:lineRule="exact"/>
        <w:jc w:val="left"/>
        <w:rPr>
          <w:sz w:val="16"/>
        </w:rPr>
      </w:pPr>
      <w:r>
        <w:rPr>
          <w:sz w:val="16"/>
        </w:rPr>
        <w:t>catch per unit effort</w:t>
      </w:r>
      <w:r>
        <w:rPr>
          <w:sz w:val="16"/>
        </w:rPr>
        <w:tab/>
        <w:t>CPUE</w:t>
      </w:r>
    </w:p>
    <w:p w14:paraId="2677A458" w14:textId="77777777" w:rsidR="000F01B0" w:rsidRDefault="000F01B0" w:rsidP="000F01B0">
      <w:pPr>
        <w:pStyle w:val="TableRow"/>
        <w:tabs>
          <w:tab w:val="left" w:pos="2016"/>
          <w:tab w:val="left" w:pos="2988"/>
        </w:tabs>
        <w:spacing w:line="180" w:lineRule="exact"/>
        <w:jc w:val="left"/>
        <w:rPr>
          <w:sz w:val="16"/>
        </w:rPr>
      </w:pPr>
      <w:r>
        <w:rPr>
          <w:sz w:val="16"/>
        </w:rPr>
        <w:t>coefficient of variation</w:t>
      </w:r>
      <w:r>
        <w:rPr>
          <w:sz w:val="16"/>
        </w:rPr>
        <w:tab/>
        <w:t>CV</w:t>
      </w:r>
    </w:p>
    <w:p w14:paraId="56E87FC3" w14:textId="77777777" w:rsidR="000F01B0" w:rsidRDefault="000F01B0" w:rsidP="000F01B0">
      <w:pPr>
        <w:pStyle w:val="TableRow"/>
        <w:tabs>
          <w:tab w:val="left" w:pos="2016"/>
          <w:tab w:val="left" w:pos="2988"/>
        </w:tabs>
        <w:spacing w:line="180" w:lineRule="exact"/>
        <w:jc w:val="left"/>
        <w:rPr>
          <w:sz w:val="16"/>
        </w:rPr>
      </w:pPr>
      <w:r>
        <w:rPr>
          <w:sz w:val="16"/>
        </w:rPr>
        <w:t>common test statistics</w:t>
      </w:r>
      <w:r>
        <w:rPr>
          <w:sz w:val="16"/>
        </w:rPr>
        <w:tab/>
        <w:t xml:space="preserve">(F, t, </w:t>
      </w:r>
      <w:r>
        <w:rPr>
          <w:position w:val="2"/>
          <w:sz w:val="16"/>
        </w:rPr>
        <w:sym w:font="Symbol" w:char="F063"/>
      </w:r>
      <w:r>
        <w:rPr>
          <w:sz w:val="16"/>
          <w:vertAlign w:val="superscript"/>
        </w:rPr>
        <w:t>2</w:t>
      </w:r>
      <w:r>
        <w:rPr>
          <w:sz w:val="16"/>
        </w:rPr>
        <w:t>, etc.)</w:t>
      </w:r>
    </w:p>
    <w:p w14:paraId="307A33BB" w14:textId="77777777" w:rsidR="000F01B0" w:rsidRDefault="000F01B0" w:rsidP="000F01B0">
      <w:pPr>
        <w:pStyle w:val="TableRow"/>
        <w:tabs>
          <w:tab w:val="left" w:pos="2016"/>
          <w:tab w:val="left" w:pos="2988"/>
        </w:tabs>
        <w:spacing w:line="180" w:lineRule="exact"/>
        <w:jc w:val="left"/>
        <w:rPr>
          <w:sz w:val="16"/>
        </w:rPr>
      </w:pPr>
      <w:r>
        <w:rPr>
          <w:sz w:val="16"/>
        </w:rPr>
        <w:t>confidence interval</w:t>
      </w:r>
      <w:r>
        <w:rPr>
          <w:sz w:val="16"/>
        </w:rPr>
        <w:tab/>
        <w:t>CI</w:t>
      </w:r>
    </w:p>
    <w:p w14:paraId="5B1F693E" w14:textId="77777777" w:rsidR="000F01B0" w:rsidRDefault="000F01B0" w:rsidP="000F01B0">
      <w:pPr>
        <w:pStyle w:val="TableRow"/>
        <w:tabs>
          <w:tab w:val="left" w:pos="2016"/>
          <w:tab w:val="left" w:pos="2988"/>
        </w:tabs>
        <w:spacing w:line="180" w:lineRule="exact"/>
        <w:jc w:val="left"/>
        <w:rPr>
          <w:sz w:val="16"/>
        </w:rPr>
      </w:pPr>
      <w:r>
        <w:rPr>
          <w:sz w:val="16"/>
        </w:rPr>
        <w:t xml:space="preserve">correlation coefficient </w:t>
      </w:r>
    </w:p>
    <w:p w14:paraId="5F156755" w14:textId="77777777" w:rsidR="000F01B0" w:rsidRDefault="000F01B0" w:rsidP="000F01B0">
      <w:pPr>
        <w:pStyle w:val="TableRow"/>
        <w:tabs>
          <w:tab w:val="left" w:pos="2016"/>
          <w:tab w:val="left" w:pos="2988"/>
        </w:tabs>
        <w:spacing w:line="180" w:lineRule="exact"/>
        <w:jc w:val="left"/>
        <w:rPr>
          <w:sz w:val="16"/>
        </w:rPr>
      </w:pPr>
      <w:r>
        <w:rPr>
          <w:sz w:val="16"/>
        </w:rPr>
        <w:t xml:space="preserve">   (multiple)</w:t>
      </w:r>
      <w:r>
        <w:rPr>
          <w:sz w:val="16"/>
        </w:rPr>
        <w:tab/>
        <w:t xml:space="preserve">R </w:t>
      </w:r>
    </w:p>
    <w:p w14:paraId="532A12BA" w14:textId="77777777" w:rsidR="000F01B0" w:rsidRDefault="000F01B0" w:rsidP="000F01B0">
      <w:pPr>
        <w:pStyle w:val="TableRow"/>
        <w:tabs>
          <w:tab w:val="left" w:pos="2016"/>
          <w:tab w:val="left" w:pos="2988"/>
        </w:tabs>
        <w:spacing w:line="180" w:lineRule="exact"/>
        <w:jc w:val="left"/>
        <w:rPr>
          <w:sz w:val="16"/>
        </w:rPr>
      </w:pPr>
      <w:r>
        <w:rPr>
          <w:sz w:val="16"/>
        </w:rPr>
        <w:t>correlation coefficient</w:t>
      </w:r>
    </w:p>
    <w:p w14:paraId="101D4429" w14:textId="77777777" w:rsidR="000F01B0" w:rsidRDefault="000F01B0" w:rsidP="000F01B0">
      <w:pPr>
        <w:pStyle w:val="TableRow"/>
        <w:tabs>
          <w:tab w:val="left" w:pos="2016"/>
          <w:tab w:val="left" w:pos="2988"/>
        </w:tabs>
        <w:spacing w:line="180" w:lineRule="exact"/>
        <w:jc w:val="left"/>
        <w:rPr>
          <w:sz w:val="16"/>
        </w:rPr>
      </w:pPr>
      <w:r>
        <w:rPr>
          <w:sz w:val="16"/>
        </w:rPr>
        <w:t xml:space="preserve">    (simple)</w:t>
      </w:r>
      <w:r>
        <w:rPr>
          <w:sz w:val="16"/>
        </w:rPr>
        <w:tab/>
        <w:t xml:space="preserve">r </w:t>
      </w:r>
    </w:p>
    <w:p w14:paraId="4DCCA386" w14:textId="77777777" w:rsidR="000F01B0" w:rsidRDefault="000F01B0" w:rsidP="000F01B0">
      <w:pPr>
        <w:pStyle w:val="TableRow"/>
        <w:tabs>
          <w:tab w:val="left" w:pos="2016"/>
          <w:tab w:val="left" w:pos="2988"/>
        </w:tabs>
        <w:spacing w:line="180" w:lineRule="exact"/>
        <w:jc w:val="left"/>
        <w:rPr>
          <w:sz w:val="16"/>
        </w:rPr>
      </w:pPr>
      <w:r>
        <w:rPr>
          <w:sz w:val="16"/>
        </w:rPr>
        <w:t>covariance</w:t>
      </w:r>
      <w:r>
        <w:rPr>
          <w:sz w:val="16"/>
        </w:rPr>
        <w:tab/>
      </w:r>
      <w:proofErr w:type="spellStart"/>
      <w:r>
        <w:rPr>
          <w:sz w:val="16"/>
        </w:rPr>
        <w:t>cov</w:t>
      </w:r>
      <w:proofErr w:type="spellEnd"/>
    </w:p>
    <w:p w14:paraId="3EAA2239" w14:textId="77777777" w:rsidR="000F01B0" w:rsidRDefault="000F01B0" w:rsidP="000F01B0">
      <w:pPr>
        <w:pStyle w:val="TableRow"/>
        <w:tabs>
          <w:tab w:val="left" w:pos="2016"/>
          <w:tab w:val="left" w:pos="2988"/>
        </w:tabs>
        <w:spacing w:line="180" w:lineRule="exact"/>
        <w:jc w:val="left"/>
        <w:rPr>
          <w:sz w:val="16"/>
        </w:rPr>
      </w:pPr>
      <w:r>
        <w:rPr>
          <w:sz w:val="16"/>
        </w:rPr>
        <w:t>degree (</w:t>
      </w:r>
      <w:proofErr w:type="gramStart"/>
      <w:r>
        <w:rPr>
          <w:sz w:val="16"/>
        </w:rPr>
        <w:t>angular )</w:t>
      </w:r>
      <w:proofErr w:type="gramEnd"/>
      <w:r>
        <w:rPr>
          <w:sz w:val="16"/>
        </w:rPr>
        <w:tab/>
        <w:t>°</w:t>
      </w:r>
    </w:p>
    <w:p w14:paraId="1FEFB6AE" w14:textId="77777777" w:rsidR="000F01B0" w:rsidRDefault="000F01B0" w:rsidP="000F01B0">
      <w:pPr>
        <w:pStyle w:val="TableRow"/>
        <w:tabs>
          <w:tab w:val="left" w:pos="2016"/>
          <w:tab w:val="left" w:pos="2988"/>
        </w:tabs>
        <w:spacing w:line="180" w:lineRule="exact"/>
        <w:jc w:val="left"/>
        <w:rPr>
          <w:sz w:val="16"/>
        </w:rPr>
      </w:pPr>
      <w:r>
        <w:rPr>
          <w:sz w:val="16"/>
        </w:rPr>
        <w:t>degrees of freedom</w:t>
      </w:r>
      <w:r>
        <w:rPr>
          <w:sz w:val="16"/>
        </w:rPr>
        <w:tab/>
        <w:t>df</w:t>
      </w:r>
    </w:p>
    <w:p w14:paraId="4A40001C" w14:textId="77777777" w:rsidR="000F01B0" w:rsidRDefault="000F01B0" w:rsidP="000F01B0">
      <w:pPr>
        <w:pStyle w:val="TableRow"/>
        <w:tabs>
          <w:tab w:val="left" w:pos="2016"/>
          <w:tab w:val="left" w:pos="2988"/>
        </w:tabs>
        <w:spacing w:line="180" w:lineRule="exact"/>
        <w:jc w:val="left"/>
        <w:rPr>
          <w:i/>
          <w:iCs/>
          <w:sz w:val="16"/>
        </w:rPr>
      </w:pPr>
      <w:r>
        <w:rPr>
          <w:sz w:val="16"/>
        </w:rPr>
        <w:t>expected value</w:t>
      </w:r>
      <w:r>
        <w:rPr>
          <w:sz w:val="16"/>
        </w:rPr>
        <w:tab/>
      </w:r>
      <w:r>
        <w:rPr>
          <w:i/>
          <w:iCs/>
          <w:sz w:val="16"/>
        </w:rPr>
        <w:t>E</w:t>
      </w:r>
    </w:p>
    <w:p w14:paraId="14511647" w14:textId="77777777" w:rsidR="000F01B0" w:rsidRDefault="000F01B0" w:rsidP="000F01B0">
      <w:pPr>
        <w:pStyle w:val="TableRow"/>
        <w:tabs>
          <w:tab w:val="left" w:pos="2016"/>
          <w:tab w:val="left" w:pos="2988"/>
        </w:tabs>
        <w:spacing w:line="180" w:lineRule="exact"/>
        <w:jc w:val="left"/>
        <w:rPr>
          <w:sz w:val="16"/>
        </w:rPr>
      </w:pPr>
      <w:r>
        <w:rPr>
          <w:sz w:val="16"/>
        </w:rPr>
        <w:t>greater than</w:t>
      </w:r>
      <w:r>
        <w:rPr>
          <w:sz w:val="16"/>
        </w:rPr>
        <w:tab/>
        <w:t>&gt;</w:t>
      </w:r>
    </w:p>
    <w:p w14:paraId="05D06F0C" w14:textId="77777777" w:rsidR="000F01B0" w:rsidRDefault="000F01B0" w:rsidP="000F01B0">
      <w:pPr>
        <w:pStyle w:val="TableRow"/>
        <w:tabs>
          <w:tab w:val="left" w:pos="2016"/>
          <w:tab w:val="left" w:pos="2988"/>
        </w:tabs>
        <w:spacing w:line="180" w:lineRule="exact"/>
        <w:jc w:val="left"/>
        <w:rPr>
          <w:sz w:val="16"/>
        </w:rPr>
      </w:pPr>
      <w:r>
        <w:rPr>
          <w:sz w:val="16"/>
        </w:rPr>
        <w:t>greater than or equal to</w:t>
      </w:r>
      <w:r>
        <w:rPr>
          <w:sz w:val="16"/>
        </w:rPr>
        <w:tab/>
      </w:r>
      <w:r>
        <w:rPr>
          <w:sz w:val="16"/>
        </w:rPr>
        <w:sym w:font="Symbol" w:char="F0B3"/>
      </w:r>
    </w:p>
    <w:p w14:paraId="2840DD40" w14:textId="77777777" w:rsidR="000F01B0" w:rsidRDefault="000F01B0" w:rsidP="000F01B0">
      <w:pPr>
        <w:pStyle w:val="TableRow"/>
        <w:tabs>
          <w:tab w:val="left" w:pos="2016"/>
          <w:tab w:val="left" w:pos="2988"/>
        </w:tabs>
        <w:spacing w:line="180" w:lineRule="exact"/>
        <w:jc w:val="left"/>
        <w:rPr>
          <w:sz w:val="16"/>
        </w:rPr>
      </w:pPr>
      <w:r>
        <w:rPr>
          <w:sz w:val="16"/>
        </w:rPr>
        <w:t>harvest per unit effort</w:t>
      </w:r>
      <w:r>
        <w:rPr>
          <w:sz w:val="16"/>
        </w:rPr>
        <w:tab/>
        <w:t>HPUE</w:t>
      </w:r>
    </w:p>
    <w:p w14:paraId="5B74BB70" w14:textId="77777777" w:rsidR="000F01B0" w:rsidRDefault="000F01B0" w:rsidP="000F01B0">
      <w:pPr>
        <w:pStyle w:val="TableRow"/>
        <w:tabs>
          <w:tab w:val="left" w:pos="2016"/>
          <w:tab w:val="left" w:pos="2988"/>
        </w:tabs>
        <w:spacing w:line="180" w:lineRule="exact"/>
        <w:jc w:val="left"/>
        <w:rPr>
          <w:sz w:val="16"/>
        </w:rPr>
      </w:pPr>
      <w:r>
        <w:rPr>
          <w:sz w:val="16"/>
        </w:rPr>
        <w:t>less than</w:t>
      </w:r>
      <w:r>
        <w:rPr>
          <w:sz w:val="16"/>
        </w:rPr>
        <w:tab/>
        <w:t>&lt;</w:t>
      </w:r>
    </w:p>
    <w:p w14:paraId="284793B4" w14:textId="77777777" w:rsidR="000F01B0" w:rsidRDefault="000F01B0" w:rsidP="000F01B0">
      <w:pPr>
        <w:pStyle w:val="TableRow"/>
        <w:tabs>
          <w:tab w:val="left" w:pos="2016"/>
          <w:tab w:val="left" w:pos="2988"/>
        </w:tabs>
        <w:spacing w:line="180" w:lineRule="exact"/>
        <w:jc w:val="left"/>
        <w:rPr>
          <w:sz w:val="16"/>
        </w:rPr>
      </w:pPr>
      <w:r>
        <w:rPr>
          <w:sz w:val="16"/>
        </w:rPr>
        <w:t>less than or equal to</w:t>
      </w:r>
      <w:r>
        <w:rPr>
          <w:sz w:val="16"/>
        </w:rPr>
        <w:tab/>
      </w:r>
      <w:r>
        <w:rPr>
          <w:sz w:val="16"/>
        </w:rPr>
        <w:sym w:font="Symbol" w:char="F0A3"/>
      </w:r>
    </w:p>
    <w:p w14:paraId="5CFA15F7" w14:textId="77777777" w:rsidR="000F01B0" w:rsidRPr="00D544B2" w:rsidRDefault="000F01B0" w:rsidP="000F01B0">
      <w:pPr>
        <w:pStyle w:val="TableRow"/>
        <w:tabs>
          <w:tab w:val="left" w:pos="2016"/>
          <w:tab w:val="left" w:pos="2988"/>
        </w:tabs>
        <w:spacing w:line="180" w:lineRule="exact"/>
        <w:jc w:val="left"/>
        <w:rPr>
          <w:sz w:val="16"/>
          <w:lang w:val="es-MX"/>
        </w:rPr>
      </w:pPr>
      <w:proofErr w:type="spellStart"/>
      <w:r w:rsidRPr="00D544B2">
        <w:rPr>
          <w:sz w:val="16"/>
          <w:lang w:val="es-MX"/>
        </w:rPr>
        <w:t>logarithm</w:t>
      </w:r>
      <w:proofErr w:type="spellEnd"/>
      <w:r w:rsidRPr="00D544B2">
        <w:rPr>
          <w:sz w:val="16"/>
          <w:lang w:val="es-MX"/>
        </w:rPr>
        <w:t xml:space="preserve"> (natural)</w:t>
      </w:r>
      <w:r w:rsidRPr="00D544B2">
        <w:rPr>
          <w:sz w:val="16"/>
          <w:lang w:val="es-MX"/>
        </w:rPr>
        <w:tab/>
      </w:r>
      <w:proofErr w:type="spellStart"/>
      <w:r w:rsidRPr="00D544B2">
        <w:rPr>
          <w:sz w:val="16"/>
          <w:lang w:val="es-MX"/>
        </w:rPr>
        <w:t>ln</w:t>
      </w:r>
      <w:proofErr w:type="spellEnd"/>
    </w:p>
    <w:p w14:paraId="012979B4" w14:textId="77777777" w:rsidR="000F01B0" w:rsidRPr="00D544B2" w:rsidRDefault="000F01B0" w:rsidP="000F01B0">
      <w:pPr>
        <w:pStyle w:val="TableRow"/>
        <w:tabs>
          <w:tab w:val="left" w:pos="2016"/>
          <w:tab w:val="left" w:pos="2988"/>
        </w:tabs>
        <w:spacing w:line="180" w:lineRule="exact"/>
        <w:jc w:val="left"/>
        <w:rPr>
          <w:sz w:val="16"/>
          <w:lang w:val="es-MX"/>
        </w:rPr>
      </w:pPr>
      <w:proofErr w:type="spellStart"/>
      <w:r w:rsidRPr="00D544B2">
        <w:rPr>
          <w:sz w:val="16"/>
          <w:lang w:val="es-MX"/>
        </w:rPr>
        <w:t>logarithm</w:t>
      </w:r>
      <w:proofErr w:type="spellEnd"/>
      <w:r w:rsidRPr="00D544B2">
        <w:rPr>
          <w:sz w:val="16"/>
          <w:lang w:val="es-MX"/>
        </w:rPr>
        <w:t xml:space="preserve"> (base 10)</w:t>
      </w:r>
      <w:r w:rsidRPr="00D544B2">
        <w:rPr>
          <w:sz w:val="16"/>
          <w:lang w:val="es-MX"/>
        </w:rPr>
        <w:tab/>
        <w:t>log</w:t>
      </w:r>
    </w:p>
    <w:p w14:paraId="2F2EA11E" w14:textId="77777777" w:rsidR="000F01B0" w:rsidRDefault="000F01B0" w:rsidP="000F01B0">
      <w:pPr>
        <w:pStyle w:val="TableRow"/>
        <w:tabs>
          <w:tab w:val="left" w:pos="2016"/>
          <w:tab w:val="left" w:pos="2988"/>
        </w:tabs>
        <w:spacing w:line="180" w:lineRule="exact"/>
        <w:jc w:val="left"/>
        <w:rPr>
          <w:sz w:val="16"/>
        </w:rPr>
      </w:pPr>
      <w:r>
        <w:rPr>
          <w:sz w:val="16"/>
        </w:rPr>
        <w:t>logarithm (specify base)</w:t>
      </w:r>
      <w:r>
        <w:rPr>
          <w:sz w:val="16"/>
        </w:rPr>
        <w:tab/>
        <w:t>log</w:t>
      </w:r>
      <w:proofErr w:type="gramStart"/>
      <w:r>
        <w:rPr>
          <w:sz w:val="16"/>
          <w:vertAlign w:val="subscript"/>
        </w:rPr>
        <w:t xml:space="preserve">2,  </w:t>
      </w:r>
      <w:r>
        <w:rPr>
          <w:sz w:val="16"/>
        </w:rPr>
        <w:t>etc.</w:t>
      </w:r>
      <w:proofErr w:type="gramEnd"/>
    </w:p>
    <w:p w14:paraId="2AE7D49E" w14:textId="77777777" w:rsidR="000F01B0" w:rsidRDefault="000F01B0" w:rsidP="000F01B0">
      <w:pPr>
        <w:pStyle w:val="TableRow"/>
        <w:tabs>
          <w:tab w:val="left" w:pos="2016"/>
          <w:tab w:val="left" w:pos="2988"/>
        </w:tabs>
        <w:spacing w:line="180" w:lineRule="exact"/>
        <w:jc w:val="left"/>
        <w:rPr>
          <w:sz w:val="16"/>
        </w:rPr>
      </w:pPr>
      <w:r>
        <w:rPr>
          <w:sz w:val="16"/>
        </w:rPr>
        <w:t>minute (angular)</w:t>
      </w:r>
      <w:r>
        <w:rPr>
          <w:sz w:val="16"/>
        </w:rPr>
        <w:tab/>
        <w:t>'</w:t>
      </w:r>
    </w:p>
    <w:p w14:paraId="1AD472C7" w14:textId="77777777" w:rsidR="000F01B0" w:rsidRDefault="000F01B0" w:rsidP="000F01B0">
      <w:pPr>
        <w:pStyle w:val="TableRow"/>
        <w:tabs>
          <w:tab w:val="left" w:pos="2016"/>
          <w:tab w:val="left" w:pos="2988"/>
        </w:tabs>
        <w:spacing w:line="180" w:lineRule="exact"/>
        <w:jc w:val="left"/>
        <w:rPr>
          <w:sz w:val="16"/>
        </w:rPr>
      </w:pPr>
      <w:r>
        <w:rPr>
          <w:sz w:val="16"/>
        </w:rPr>
        <w:t>not significant</w:t>
      </w:r>
      <w:r>
        <w:rPr>
          <w:sz w:val="16"/>
        </w:rPr>
        <w:tab/>
        <w:t>NS</w:t>
      </w:r>
    </w:p>
    <w:p w14:paraId="6343EF0E" w14:textId="77777777" w:rsidR="000F01B0" w:rsidRDefault="000F01B0" w:rsidP="000F01B0">
      <w:pPr>
        <w:pStyle w:val="TableRow"/>
        <w:tabs>
          <w:tab w:val="left" w:pos="2016"/>
          <w:tab w:val="left" w:pos="2988"/>
        </w:tabs>
        <w:spacing w:line="180" w:lineRule="exact"/>
        <w:jc w:val="left"/>
        <w:rPr>
          <w:sz w:val="16"/>
        </w:rPr>
      </w:pPr>
      <w:r>
        <w:rPr>
          <w:sz w:val="16"/>
        </w:rPr>
        <w:t>null hypothesis</w:t>
      </w:r>
      <w:r>
        <w:rPr>
          <w:sz w:val="16"/>
        </w:rPr>
        <w:tab/>
        <w:t>H</w:t>
      </w:r>
      <w:r>
        <w:rPr>
          <w:sz w:val="16"/>
          <w:vertAlign w:val="subscript"/>
        </w:rPr>
        <w:t>O</w:t>
      </w:r>
    </w:p>
    <w:p w14:paraId="4036DB78" w14:textId="77777777" w:rsidR="000F01B0" w:rsidRDefault="000F01B0" w:rsidP="000F01B0">
      <w:pPr>
        <w:pStyle w:val="TableRow"/>
        <w:tabs>
          <w:tab w:val="left" w:pos="2016"/>
          <w:tab w:val="left" w:pos="2988"/>
        </w:tabs>
        <w:spacing w:line="180" w:lineRule="exact"/>
        <w:jc w:val="left"/>
        <w:rPr>
          <w:sz w:val="16"/>
        </w:rPr>
      </w:pPr>
      <w:r>
        <w:rPr>
          <w:sz w:val="16"/>
        </w:rPr>
        <w:t>percent</w:t>
      </w:r>
      <w:r>
        <w:rPr>
          <w:sz w:val="16"/>
        </w:rPr>
        <w:tab/>
        <w:t>%</w:t>
      </w:r>
    </w:p>
    <w:p w14:paraId="138E51A1" w14:textId="77777777" w:rsidR="000F01B0" w:rsidRDefault="000F01B0" w:rsidP="000F01B0">
      <w:pPr>
        <w:pStyle w:val="TableRow"/>
        <w:tabs>
          <w:tab w:val="left" w:pos="2016"/>
          <w:tab w:val="left" w:pos="2988"/>
        </w:tabs>
        <w:spacing w:line="180" w:lineRule="exact"/>
        <w:jc w:val="left"/>
        <w:rPr>
          <w:sz w:val="16"/>
        </w:rPr>
      </w:pPr>
      <w:r>
        <w:rPr>
          <w:sz w:val="16"/>
        </w:rPr>
        <w:t>probability</w:t>
      </w:r>
      <w:r>
        <w:rPr>
          <w:sz w:val="16"/>
        </w:rPr>
        <w:tab/>
        <w:t>P</w:t>
      </w:r>
    </w:p>
    <w:p w14:paraId="55DE4875" w14:textId="77777777" w:rsidR="000F01B0" w:rsidRDefault="000F01B0" w:rsidP="000F01B0">
      <w:pPr>
        <w:pStyle w:val="TableRow"/>
        <w:tabs>
          <w:tab w:val="left" w:pos="2016"/>
          <w:tab w:val="left" w:pos="2988"/>
        </w:tabs>
        <w:spacing w:line="180" w:lineRule="exact"/>
        <w:jc w:val="left"/>
        <w:rPr>
          <w:sz w:val="16"/>
        </w:rPr>
      </w:pPr>
      <w:r>
        <w:rPr>
          <w:sz w:val="16"/>
        </w:rPr>
        <w:t xml:space="preserve">probability of a type I error </w:t>
      </w:r>
    </w:p>
    <w:p w14:paraId="4B8E8878" w14:textId="77777777" w:rsidR="000F01B0" w:rsidRDefault="000F01B0" w:rsidP="000F01B0">
      <w:pPr>
        <w:pStyle w:val="TableRow"/>
        <w:tabs>
          <w:tab w:val="left" w:pos="2016"/>
          <w:tab w:val="left" w:pos="2988"/>
        </w:tabs>
        <w:spacing w:line="180" w:lineRule="exact"/>
        <w:jc w:val="left"/>
        <w:rPr>
          <w:sz w:val="16"/>
        </w:rPr>
      </w:pPr>
      <w:r>
        <w:rPr>
          <w:sz w:val="16"/>
        </w:rPr>
        <w:t xml:space="preserve">   (rejection of the null</w:t>
      </w:r>
    </w:p>
    <w:p w14:paraId="361646E0" w14:textId="77777777" w:rsidR="000F01B0" w:rsidRDefault="000F01B0" w:rsidP="000F01B0">
      <w:pPr>
        <w:pStyle w:val="TableRow"/>
        <w:tabs>
          <w:tab w:val="left" w:pos="2016"/>
          <w:tab w:val="left" w:pos="2988"/>
        </w:tabs>
        <w:spacing w:line="180" w:lineRule="exact"/>
        <w:jc w:val="left"/>
        <w:rPr>
          <w:sz w:val="16"/>
        </w:rPr>
      </w:pPr>
      <w:r>
        <w:rPr>
          <w:sz w:val="16"/>
        </w:rPr>
        <w:t xml:space="preserve">    hypothesis when true)</w:t>
      </w:r>
      <w:r>
        <w:rPr>
          <w:sz w:val="16"/>
        </w:rPr>
        <w:tab/>
      </w:r>
      <w:r>
        <w:rPr>
          <w:sz w:val="16"/>
        </w:rPr>
        <w:sym w:font="Symbol" w:char="F061"/>
      </w:r>
    </w:p>
    <w:p w14:paraId="0FA9CCB4" w14:textId="77777777" w:rsidR="000F01B0" w:rsidRDefault="000F01B0" w:rsidP="000F01B0">
      <w:pPr>
        <w:pStyle w:val="TableRow"/>
        <w:tabs>
          <w:tab w:val="left" w:pos="2016"/>
          <w:tab w:val="left" w:pos="2988"/>
        </w:tabs>
        <w:spacing w:line="180" w:lineRule="exact"/>
        <w:jc w:val="left"/>
        <w:rPr>
          <w:sz w:val="16"/>
        </w:rPr>
      </w:pPr>
      <w:r>
        <w:rPr>
          <w:sz w:val="16"/>
        </w:rPr>
        <w:t xml:space="preserve">probability of a type II error </w:t>
      </w:r>
    </w:p>
    <w:p w14:paraId="001EDA41" w14:textId="77777777" w:rsidR="000F01B0" w:rsidRDefault="000F01B0" w:rsidP="000F01B0">
      <w:pPr>
        <w:pStyle w:val="TableRow"/>
        <w:tabs>
          <w:tab w:val="left" w:pos="2016"/>
          <w:tab w:val="left" w:pos="2988"/>
        </w:tabs>
        <w:spacing w:line="180" w:lineRule="exact"/>
        <w:jc w:val="left"/>
        <w:rPr>
          <w:sz w:val="16"/>
        </w:rPr>
      </w:pPr>
      <w:r>
        <w:rPr>
          <w:sz w:val="16"/>
        </w:rPr>
        <w:t xml:space="preserve">   (acceptance of the null </w:t>
      </w:r>
    </w:p>
    <w:p w14:paraId="3AA7A051" w14:textId="77777777" w:rsidR="000F01B0" w:rsidRDefault="000F01B0" w:rsidP="000F01B0">
      <w:pPr>
        <w:pStyle w:val="TableRow"/>
        <w:tabs>
          <w:tab w:val="left" w:pos="2016"/>
          <w:tab w:val="left" w:pos="2988"/>
        </w:tabs>
        <w:spacing w:line="180" w:lineRule="exact"/>
        <w:jc w:val="left"/>
        <w:rPr>
          <w:sz w:val="16"/>
        </w:rPr>
      </w:pPr>
      <w:r>
        <w:rPr>
          <w:sz w:val="16"/>
        </w:rPr>
        <w:t xml:space="preserve">    hypothesis when false)</w:t>
      </w:r>
      <w:r>
        <w:rPr>
          <w:sz w:val="16"/>
        </w:rPr>
        <w:tab/>
      </w:r>
      <w:r>
        <w:rPr>
          <w:sz w:val="16"/>
        </w:rPr>
        <w:sym w:font="Symbol" w:char="F062"/>
      </w:r>
    </w:p>
    <w:p w14:paraId="4BBE1FD0" w14:textId="77777777" w:rsidR="000F01B0" w:rsidRDefault="000F01B0" w:rsidP="000F01B0">
      <w:pPr>
        <w:pStyle w:val="TableRow"/>
        <w:tabs>
          <w:tab w:val="left" w:pos="2016"/>
          <w:tab w:val="left" w:pos="2988"/>
        </w:tabs>
        <w:spacing w:line="180" w:lineRule="exact"/>
        <w:jc w:val="left"/>
        <w:rPr>
          <w:sz w:val="16"/>
        </w:rPr>
      </w:pPr>
      <w:r>
        <w:rPr>
          <w:sz w:val="16"/>
        </w:rPr>
        <w:t>second (angular)</w:t>
      </w:r>
      <w:r>
        <w:rPr>
          <w:sz w:val="16"/>
        </w:rPr>
        <w:tab/>
        <w:t>"</w:t>
      </w:r>
    </w:p>
    <w:p w14:paraId="57D7555D" w14:textId="77777777" w:rsidR="000F01B0" w:rsidRDefault="000F01B0" w:rsidP="000F01B0">
      <w:pPr>
        <w:pStyle w:val="TableRow"/>
        <w:tabs>
          <w:tab w:val="left" w:pos="2016"/>
          <w:tab w:val="left" w:pos="2988"/>
        </w:tabs>
        <w:spacing w:line="180" w:lineRule="exact"/>
        <w:jc w:val="left"/>
        <w:rPr>
          <w:sz w:val="16"/>
        </w:rPr>
      </w:pPr>
      <w:r>
        <w:rPr>
          <w:sz w:val="16"/>
        </w:rPr>
        <w:t>standard deviation</w:t>
      </w:r>
      <w:r>
        <w:rPr>
          <w:sz w:val="16"/>
        </w:rPr>
        <w:tab/>
        <w:t>SD</w:t>
      </w:r>
    </w:p>
    <w:p w14:paraId="7AF2B2B7" w14:textId="77777777" w:rsidR="000F01B0" w:rsidRDefault="000F01B0" w:rsidP="000F01B0">
      <w:pPr>
        <w:pStyle w:val="TableRow"/>
        <w:tabs>
          <w:tab w:val="left" w:pos="2016"/>
          <w:tab w:val="left" w:pos="2988"/>
        </w:tabs>
        <w:spacing w:line="180" w:lineRule="exact"/>
        <w:jc w:val="left"/>
        <w:rPr>
          <w:sz w:val="16"/>
        </w:rPr>
      </w:pPr>
      <w:r>
        <w:rPr>
          <w:sz w:val="16"/>
        </w:rPr>
        <w:t>standard error</w:t>
      </w:r>
      <w:r>
        <w:rPr>
          <w:sz w:val="16"/>
        </w:rPr>
        <w:tab/>
        <w:t>SE</w:t>
      </w:r>
    </w:p>
    <w:p w14:paraId="4BBEFFD4" w14:textId="77777777" w:rsidR="000F01B0" w:rsidRDefault="000F01B0" w:rsidP="000F01B0">
      <w:pPr>
        <w:pStyle w:val="TableRow"/>
        <w:tabs>
          <w:tab w:val="left" w:pos="2016"/>
          <w:tab w:val="left" w:pos="2988"/>
        </w:tabs>
        <w:spacing w:line="180" w:lineRule="exact"/>
        <w:jc w:val="left"/>
        <w:rPr>
          <w:sz w:val="16"/>
        </w:rPr>
      </w:pPr>
      <w:r>
        <w:rPr>
          <w:sz w:val="16"/>
        </w:rPr>
        <w:t>variance</w:t>
      </w:r>
      <w:r>
        <w:rPr>
          <w:sz w:val="16"/>
        </w:rPr>
        <w:tab/>
      </w:r>
    </w:p>
    <w:p w14:paraId="796950D6" w14:textId="77777777" w:rsidR="000F01B0" w:rsidRDefault="000F01B0" w:rsidP="000F01B0">
      <w:pPr>
        <w:pStyle w:val="TableRow"/>
        <w:tabs>
          <w:tab w:val="left" w:pos="2016"/>
          <w:tab w:val="left" w:pos="2988"/>
        </w:tabs>
        <w:spacing w:line="180" w:lineRule="exact"/>
        <w:jc w:val="left"/>
        <w:rPr>
          <w:sz w:val="16"/>
        </w:rPr>
      </w:pPr>
      <w:r>
        <w:rPr>
          <w:sz w:val="16"/>
        </w:rPr>
        <w:t xml:space="preserve">     population</w:t>
      </w:r>
      <w:r>
        <w:rPr>
          <w:sz w:val="16"/>
        </w:rPr>
        <w:tab/>
        <w:t>Var</w:t>
      </w:r>
    </w:p>
    <w:p w14:paraId="584F265D" w14:textId="77777777" w:rsidR="000F01B0" w:rsidRDefault="000F01B0" w:rsidP="000F01B0">
      <w:pPr>
        <w:pStyle w:val="TableRow"/>
        <w:tabs>
          <w:tab w:val="left" w:pos="2016"/>
          <w:tab w:val="left" w:pos="2988"/>
        </w:tabs>
        <w:spacing w:line="180" w:lineRule="exact"/>
        <w:jc w:val="left"/>
        <w:rPr>
          <w:sz w:val="16"/>
        </w:rPr>
      </w:pPr>
      <w:r>
        <w:rPr>
          <w:sz w:val="16"/>
        </w:rPr>
        <w:t xml:space="preserve">     sample</w:t>
      </w:r>
      <w:r>
        <w:rPr>
          <w:sz w:val="16"/>
        </w:rPr>
        <w:tab/>
        <w:t>var</w:t>
      </w:r>
    </w:p>
    <w:p w14:paraId="6F7FAB1A" w14:textId="77777777" w:rsidR="000F01B0" w:rsidRDefault="000F01B0" w:rsidP="000F01B0">
      <w:pPr>
        <w:pStyle w:val="Title"/>
      </w:pPr>
    </w:p>
    <w:p w14:paraId="0FD4052D" w14:textId="77777777" w:rsidR="000F01B0" w:rsidRDefault="000F01B0" w:rsidP="000F01B0">
      <w:pPr>
        <w:pStyle w:val="Title"/>
      </w:pPr>
    </w:p>
    <w:p w14:paraId="53D74538" w14:textId="77777777" w:rsidR="000F01B0" w:rsidRDefault="000F01B0" w:rsidP="000F01B0">
      <w:pPr>
        <w:pStyle w:val="Title"/>
        <w:sectPr w:rsidR="000F01B0">
          <w:footerReference w:type="default" r:id="rId14"/>
          <w:headerReference w:type="first" r:id="rId15"/>
          <w:type w:val="continuous"/>
          <w:pgSz w:w="12240" w:h="15840" w:code="1"/>
          <w:pgMar w:top="1440" w:right="1440" w:bottom="1440" w:left="1440" w:header="720" w:footer="547" w:gutter="0"/>
          <w:pgNumType w:fmt="lowerRoman" w:start="1"/>
          <w:cols w:num="3" w:space="360"/>
          <w:formProt w:val="0"/>
        </w:sectPr>
      </w:pPr>
    </w:p>
    <w:p w14:paraId="04876631" w14:textId="77777777" w:rsidR="000F01B0" w:rsidRDefault="000F01B0" w:rsidP="000F01B0">
      <w:pPr>
        <w:pStyle w:val="Title"/>
        <w:sectPr w:rsidR="000F01B0">
          <w:type w:val="continuous"/>
          <w:pgSz w:w="12240" w:h="15840" w:code="1"/>
          <w:pgMar w:top="1440" w:right="1440" w:bottom="1440" w:left="1440" w:header="720" w:footer="547" w:gutter="0"/>
          <w:pgNumType w:fmt="lowerRoman" w:start="1"/>
          <w:cols w:num="3" w:space="720"/>
          <w:formProt w:val="0"/>
        </w:sectPr>
      </w:pPr>
    </w:p>
    <w:p w14:paraId="5968080B" w14:textId="5C4CC5B0" w:rsidR="000F01B0" w:rsidRPr="00534FF2" w:rsidRDefault="000F01B0" w:rsidP="000F01B0">
      <w:pPr>
        <w:pStyle w:val="TitlePg-ReptSeries"/>
        <w:rPr>
          <w:highlight w:val="yellow"/>
        </w:rPr>
      </w:pPr>
      <w:r w:rsidRPr="00534FF2">
        <w:lastRenderedPageBreak/>
        <w:t xml:space="preserve">Regional </w:t>
      </w:r>
      <w:r w:rsidR="008938D1" w:rsidRPr="00534FF2">
        <w:t>Operational plan</w:t>
      </w:r>
      <w:r w:rsidRPr="00534FF2">
        <w:t xml:space="preserve"> </w:t>
      </w:r>
      <w:proofErr w:type="gramStart"/>
      <w:r w:rsidR="0007513C" w:rsidRPr="00534FF2">
        <w:rPr>
          <w:highlight w:val="yellow"/>
        </w:rPr>
        <w:t>DF</w:t>
      </w:r>
      <w:r w:rsidR="008938D1" w:rsidRPr="00534FF2">
        <w:rPr>
          <w:highlight w:val="yellow"/>
        </w:rPr>
        <w:t>.</w:t>
      </w:r>
      <w:r w:rsidR="0007513C" w:rsidRPr="00534FF2">
        <w:rPr>
          <w:highlight w:val="yellow"/>
        </w:rPr>
        <w:t>#</w:t>
      </w:r>
      <w:proofErr w:type="gramEnd"/>
      <w:r w:rsidR="0007513C" w:rsidRPr="00534FF2">
        <w:rPr>
          <w:highlight w:val="yellow"/>
        </w:rPr>
        <w:t>R</w:t>
      </w:r>
      <w:r w:rsidR="008938D1" w:rsidRPr="00534FF2">
        <w:rPr>
          <w:highlight w:val="yellow"/>
        </w:rPr>
        <w:t>.</w:t>
      </w:r>
      <w:r w:rsidR="00800FD2" w:rsidRPr="00800FD2">
        <w:t>2019</w:t>
      </w:r>
      <w:r w:rsidR="0007513C" w:rsidRPr="00534FF2">
        <w:rPr>
          <w:highlight w:val="yellow"/>
        </w:rPr>
        <w:t>-XX</w:t>
      </w:r>
    </w:p>
    <w:p w14:paraId="07096837" w14:textId="77777777" w:rsidR="000F01B0" w:rsidRPr="00534FF2" w:rsidRDefault="00725DBC" w:rsidP="000F01B0">
      <w:pPr>
        <w:pStyle w:val="TitlePg-Authors"/>
        <w:rPr>
          <w:b/>
          <w:caps/>
          <w:sz w:val="28"/>
        </w:rPr>
      </w:pPr>
      <w:r w:rsidRPr="00534FF2">
        <w:rPr>
          <w:b/>
          <w:caps/>
          <w:sz w:val="28"/>
        </w:rPr>
        <w:t>Estimation and Projection of Statewide Recreational Halibut Harvest</w:t>
      </w:r>
    </w:p>
    <w:p w14:paraId="0EEFADC5" w14:textId="77777777" w:rsidR="000F01B0" w:rsidRPr="00534FF2" w:rsidRDefault="000F01B0" w:rsidP="000F01B0">
      <w:pPr>
        <w:pStyle w:val="TitlePg-Authors"/>
        <w:rPr>
          <w:highlight w:val="yellow"/>
        </w:rPr>
      </w:pPr>
    </w:p>
    <w:p w14:paraId="1BEA235A" w14:textId="77777777" w:rsidR="000F01B0" w:rsidRPr="00534FF2" w:rsidRDefault="006B7049" w:rsidP="00A763FA">
      <w:pPr>
        <w:pStyle w:val="TitlePg-Authors"/>
        <w:spacing w:after="120"/>
      </w:pPr>
      <w:r w:rsidRPr="00534FF2">
        <w:t>b</w:t>
      </w:r>
      <w:r w:rsidR="000F01B0" w:rsidRPr="00534FF2">
        <w:t>y</w:t>
      </w:r>
    </w:p>
    <w:p w14:paraId="005B03CC" w14:textId="77777777" w:rsidR="000F01B0" w:rsidRPr="00534FF2" w:rsidRDefault="00534FF2" w:rsidP="00A763FA">
      <w:pPr>
        <w:pStyle w:val="TitlePg-Authors"/>
        <w:spacing w:after="120"/>
      </w:pPr>
      <w:commentRangeStart w:id="0"/>
      <w:commentRangeStart w:id="1"/>
      <w:r w:rsidRPr="00534FF2">
        <w:t>Sarah R. Webster</w:t>
      </w:r>
      <w:commentRangeEnd w:id="0"/>
      <w:r w:rsidR="00E15CDC">
        <w:rPr>
          <w:rStyle w:val="CommentReference"/>
        </w:rPr>
        <w:commentReference w:id="0"/>
      </w:r>
      <w:commentRangeEnd w:id="1"/>
      <w:r w:rsidR="00965B86">
        <w:rPr>
          <w:rStyle w:val="CommentReference"/>
        </w:rPr>
        <w:commentReference w:id="1"/>
      </w:r>
    </w:p>
    <w:p w14:paraId="3EAD6341" w14:textId="77777777" w:rsidR="000F01B0" w:rsidRPr="00534FF2" w:rsidRDefault="000F01B0" w:rsidP="000F01B0">
      <w:pPr>
        <w:pStyle w:val="TitlePg-Authors"/>
      </w:pPr>
      <w:r w:rsidRPr="00534FF2">
        <w:t>Alaska Depart</w:t>
      </w:r>
      <w:r w:rsidR="0007513C" w:rsidRPr="00534FF2">
        <w:t>ment of Fish and Game, Division</w:t>
      </w:r>
      <w:r w:rsidR="00725DBC" w:rsidRPr="00534FF2">
        <w:t xml:space="preserve"> of Sport Fish</w:t>
      </w:r>
      <w:r w:rsidR="0007513C" w:rsidRPr="00534FF2">
        <w:t xml:space="preserve">, </w:t>
      </w:r>
      <w:r w:rsidR="00534FF2" w:rsidRPr="00534FF2">
        <w:t>Anchorage</w:t>
      </w:r>
    </w:p>
    <w:p w14:paraId="1CC58CA8" w14:textId="77777777" w:rsidR="000F01B0" w:rsidRPr="00534FF2" w:rsidRDefault="000F01B0" w:rsidP="000F01B0">
      <w:pPr>
        <w:pStyle w:val="TitlePg-Authors"/>
      </w:pPr>
    </w:p>
    <w:p w14:paraId="61B1DB4D" w14:textId="77777777" w:rsidR="000F01B0" w:rsidRPr="00534FF2" w:rsidRDefault="000F01B0" w:rsidP="000F01B0">
      <w:pPr>
        <w:pStyle w:val="TitlePg-Authors"/>
        <w:rPr>
          <w:highlight w:val="yellow"/>
        </w:rPr>
      </w:pPr>
    </w:p>
    <w:p w14:paraId="7F3703BE" w14:textId="77777777" w:rsidR="000F01B0" w:rsidRPr="00534FF2" w:rsidRDefault="000F01B0" w:rsidP="000F01B0">
      <w:pPr>
        <w:pStyle w:val="TitlePg-Authors"/>
        <w:rPr>
          <w:highlight w:val="yellow"/>
        </w:rPr>
      </w:pPr>
    </w:p>
    <w:p w14:paraId="7C978A01" w14:textId="77777777" w:rsidR="000F01B0" w:rsidRPr="00534FF2" w:rsidRDefault="000F01B0" w:rsidP="000F01B0">
      <w:pPr>
        <w:rPr>
          <w:highlight w:val="yellow"/>
        </w:rPr>
        <w:sectPr w:rsidR="000F01B0" w:rsidRPr="00534FF2" w:rsidSect="00284CC1">
          <w:footerReference w:type="default" r:id="rId19"/>
          <w:headerReference w:type="first" r:id="rId20"/>
          <w:pgSz w:w="12240" w:h="15840" w:code="1"/>
          <w:pgMar w:top="1440" w:right="1440" w:bottom="1440" w:left="1440" w:header="720" w:footer="547" w:gutter="0"/>
          <w:pgNumType w:start="24"/>
          <w:cols w:space="720"/>
          <w:formProt w:val="0"/>
        </w:sectPr>
      </w:pPr>
    </w:p>
    <w:p w14:paraId="5C963D7A" w14:textId="77777777" w:rsidR="000F01B0" w:rsidRPr="00534FF2" w:rsidRDefault="000F01B0" w:rsidP="000F01B0">
      <w:pPr>
        <w:pStyle w:val="TitlePg-LocDate"/>
        <w:framePr w:w="0" w:hSpace="0" w:wrap="auto" w:hAnchor="text" w:xAlign="left" w:yAlign="inline"/>
        <w:rPr>
          <w:highlight w:val="yellow"/>
        </w:rPr>
      </w:pPr>
    </w:p>
    <w:p w14:paraId="0AC14791" w14:textId="77777777" w:rsidR="000F01B0" w:rsidRPr="00534FF2" w:rsidRDefault="000F01B0" w:rsidP="000F01B0">
      <w:pPr>
        <w:pStyle w:val="TitlePg-LocDate"/>
        <w:framePr w:w="0" w:hSpace="0" w:wrap="auto" w:hAnchor="text" w:xAlign="left" w:yAlign="inline"/>
        <w:rPr>
          <w:highlight w:val="yellow"/>
        </w:rPr>
      </w:pPr>
    </w:p>
    <w:p w14:paraId="33E33BC6" w14:textId="77777777" w:rsidR="000F01B0" w:rsidRPr="00534FF2" w:rsidRDefault="000F01B0" w:rsidP="000F01B0">
      <w:pPr>
        <w:pStyle w:val="TitlePg-LocDate"/>
        <w:framePr w:w="0" w:hSpace="0" w:wrap="auto" w:hAnchor="text" w:xAlign="left" w:yAlign="inline"/>
        <w:rPr>
          <w:highlight w:val="yellow"/>
        </w:rPr>
      </w:pPr>
    </w:p>
    <w:p w14:paraId="2F78FA51" w14:textId="77777777" w:rsidR="000F01B0" w:rsidRPr="00534FF2" w:rsidRDefault="000F01B0" w:rsidP="000F01B0">
      <w:pPr>
        <w:rPr>
          <w:highlight w:val="yellow"/>
        </w:rPr>
        <w:sectPr w:rsidR="000F01B0" w:rsidRPr="00534FF2">
          <w:type w:val="continuous"/>
          <w:pgSz w:w="12240" w:h="15840" w:code="1"/>
          <w:pgMar w:top="1440" w:right="1440" w:bottom="1440" w:left="1440" w:header="720" w:footer="547" w:gutter="0"/>
          <w:pgNumType w:fmt="lowerRoman" w:start="1"/>
          <w:cols w:space="720"/>
        </w:sectPr>
      </w:pPr>
    </w:p>
    <w:p w14:paraId="4F27B1AB" w14:textId="77777777" w:rsidR="000F01B0" w:rsidRPr="00534FF2" w:rsidRDefault="000F01B0" w:rsidP="000F01B0">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highlight w:val="yellow"/>
        </w:rPr>
      </w:pPr>
    </w:p>
    <w:p w14:paraId="40D7C875" w14:textId="07376E36" w:rsidR="000F01B0" w:rsidRPr="00534FF2" w:rsidRDefault="00E15CDC" w:rsidP="000F01B0">
      <w:pPr>
        <w:rPr>
          <w:highlight w:val="yellow"/>
        </w:rPr>
        <w:sectPr w:rsidR="000F01B0" w:rsidRPr="00534FF2" w:rsidSect="00223CB5">
          <w:type w:val="continuous"/>
          <w:pgSz w:w="12240" w:h="15840" w:code="1"/>
          <w:pgMar w:top="1440" w:right="1440" w:bottom="1440" w:left="1440" w:header="720" w:footer="547" w:gutter="0"/>
          <w:pgNumType w:fmt="lowerRoman" w:start="1"/>
          <w:cols w:space="720"/>
          <w:formProt w:val="0"/>
        </w:sectPr>
      </w:pPr>
      <w:r w:rsidRPr="00534FF2">
        <w:rPr>
          <w:noProof/>
          <w:highlight w:val="yellow"/>
        </w:rPr>
        <mc:AlternateContent>
          <mc:Choice Requires="wps">
            <w:drawing>
              <wp:anchor distT="0" distB="0" distL="114300" distR="114300" simplePos="0" relativeHeight="251687424" behindDoc="0" locked="0" layoutInCell="1" allowOverlap="1" wp14:anchorId="1132C360" wp14:editId="44A4F428">
                <wp:simplePos x="0" y="0"/>
                <wp:positionH relativeFrom="column">
                  <wp:posOffset>438150</wp:posOffset>
                </wp:positionH>
                <wp:positionV relativeFrom="page">
                  <wp:posOffset>7467600</wp:posOffset>
                </wp:positionV>
                <wp:extent cx="5372100" cy="933450"/>
                <wp:effectExtent l="0" t="0" r="0" b="0"/>
                <wp:wrapNone/>
                <wp:docPr id="17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E71437" w14:textId="77777777" w:rsidR="000B0B97" w:rsidRDefault="000B0B97" w:rsidP="00534FF2">
                            <w:pPr>
                              <w:spacing w:after="0"/>
                              <w:jc w:val="center"/>
                              <w:rPr>
                                <w:sz w:val="20"/>
                                <w:szCs w:val="20"/>
                              </w:rPr>
                            </w:pPr>
                            <w:r w:rsidRPr="007B4B8F">
                              <w:rPr>
                                <w:sz w:val="20"/>
                                <w:szCs w:val="20"/>
                              </w:rPr>
                              <w:t>Alaska Department of Fish and Game</w:t>
                            </w:r>
                            <w:r w:rsidRPr="007B4B8F">
                              <w:rPr>
                                <w:sz w:val="20"/>
                                <w:szCs w:val="20"/>
                              </w:rPr>
                              <w:br/>
                            </w:r>
                            <w:r w:rsidRPr="00534FF2">
                              <w:rPr>
                                <w:sz w:val="20"/>
                                <w:szCs w:val="20"/>
                              </w:rPr>
                              <w:t xml:space="preserve">Division of Sport Fish, Research and Technical Services </w:t>
                            </w:r>
                          </w:p>
                          <w:p w14:paraId="35FF633D" w14:textId="77777777" w:rsidR="000B0B97" w:rsidRDefault="000B0B97" w:rsidP="00534FF2">
                            <w:pPr>
                              <w:spacing w:after="0"/>
                              <w:jc w:val="center"/>
                              <w:rPr>
                                <w:sz w:val="20"/>
                                <w:szCs w:val="20"/>
                              </w:rPr>
                            </w:pPr>
                            <w:r w:rsidRPr="00534FF2">
                              <w:rPr>
                                <w:sz w:val="20"/>
                                <w:szCs w:val="20"/>
                              </w:rPr>
                              <w:t>333 Raspberry Road, Anchorage, Alaska, 99518-1565</w:t>
                            </w:r>
                          </w:p>
                          <w:p w14:paraId="218EEC29" w14:textId="77777777" w:rsidR="000B0B97" w:rsidRDefault="000B0B97" w:rsidP="00534FF2">
                            <w:pPr>
                              <w:spacing w:after="0"/>
                              <w:jc w:val="center"/>
                              <w:rPr>
                                <w:sz w:val="20"/>
                                <w:szCs w:val="20"/>
                              </w:rPr>
                            </w:pPr>
                          </w:p>
                          <w:p w14:paraId="0306A1F0" w14:textId="48A2DC50" w:rsidR="000B0B97" w:rsidRDefault="000B0B97" w:rsidP="006B7049">
                            <w:pPr>
                              <w:jc w:val="center"/>
                              <w:rPr>
                                <w:sz w:val="20"/>
                                <w:szCs w:val="20"/>
                              </w:rPr>
                            </w:pPr>
                            <w:r w:rsidRPr="00831795">
                              <w:rPr>
                                <w:sz w:val="20"/>
                                <w:szCs w:val="20"/>
                                <w:highlight w:val="yellow"/>
                              </w:rPr>
                              <w:t>August 2019</w:t>
                            </w:r>
                          </w:p>
                          <w:p w14:paraId="307F1AC7" w14:textId="77777777" w:rsidR="000B0B97" w:rsidRPr="007B4B8F" w:rsidRDefault="000B0B97" w:rsidP="006B7049">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2C360" id="Text Box 4" o:spid="_x0000_s1027" type="#_x0000_t202" style="position:absolute;left:0;text-align:left;margin-left:34.5pt;margin-top:588pt;width:423pt;height:7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J0CgIAAPkDAAAOAAAAZHJzL2Uyb0RvYy54bWysU9uO0zAQfUfiHyy/0zS9UBo1XS1dFSEt&#10;C9IuH+A4TmKReMzYbVK+nrHTlmp5Q/jB8nhmjuecGW/uhq5lR4VOg8l5OplypoyEUps6599f9u8+&#10;cOa8MKVowaicn5Tjd9u3bza9zdQMGmhLhYxAjMt6m/PGe5sliZON6oSbgFWGnBVgJzyZWCclip7Q&#10;uzaZTafvkx6wtAhSOUe3D6OTbyN+VSnpv1aVU561OafafNwx7kXYk+1GZDUK22h5LkP8QxWd0IYe&#10;vUI9CC/YAfVfUJ2WCA4qP5HQJVBVWqrIgdik01dsnhthVeRC4jh7lcn9P1j5dPyGTJfUu1W65syI&#10;jrr0ogbPPsLAFkGg3rqM4p4tRfqBrik4knX2EeQPxwzsGmFqdY8IfaNESQWmITO5SR1xXAAp+i9Q&#10;0jPi4CECDRV2QT3SgxE6Nep0bU4oRdLlcr6apVNySfKt5/PFMnYvEdkl26LznxR0LBxyjtT8iC6O&#10;j86HakR2CQmPOWh1uddtGw2si12L7ChoUPZxRQKvwloTgg2EtBEx3ESagdnI0Q/FMEp6Ua+A8kS8&#10;Ecb5o/9ChwbwF2c9zV7O3c+DQMVZ+9mQdut0sQjDGo3FcjUjA289xa1HGElQOfecjcedHwf8YFHX&#10;Db00dsvAPeld6ShFaMxY1bl8mq+o0PkvhAG+tWPUnx+7/Q0AAP//AwBQSwMEFAAGAAgAAAAhADwF&#10;lqTeAAAADAEAAA8AAABkcnMvZG93bnJldi54bWxMT9FOg0AQfDfxHy5r4ouxB60FoRyNmmh8be0H&#10;HNwWSLk9wl0L/XvXJ/s2OzOZnSm2s+3FBUffOVIQLyIQSLUzHTUKDj+fz68gfNBkdO8IFVzRw7a8&#10;vyt0btxEO7zsQyM4hHyuFbQhDLmUvm7Rar9wAxJrRzdaHfgcG2lGPXG47eUyihJpdUf8odUDfrRY&#10;n/Znq+D4PT2ts6n6Cod095K86y6t3FWpx4f5bQMi4Bz+zfBXn6tDyZ0qdybjRa8gyXhKYD5OE0bs&#10;yOI1g4qp1XIVgSwLeTui/AUAAP//AwBQSwECLQAUAAYACAAAACEAtoM4kv4AAADhAQAAEwAAAAAA&#10;AAAAAAAAAAAAAAAAW0NvbnRlbnRfVHlwZXNdLnhtbFBLAQItABQABgAIAAAAIQA4/SH/1gAAAJQB&#10;AAALAAAAAAAAAAAAAAAAAC8BAABfcmVscy8ucmVsc1BLAQItABQABgAIAAAAIQBlHOJ0CgIAAPkD&#10;AAAOAAAAAAAAAAAAAAAAAC4CAABkcnMvZTJvRG9jLnhtbFBLAQItABQABgAIAAAAIQA8BZak3gAA&#10;AAwBAAAPAAAAAAAAAAAAAAAAAGQEAABkcnMvZG93bnJldi54bWxQSwUGAAAAAAQABADzAAAAbwUA&#10;AAAA&#10;" stroked="f">
                <v:textbox>
                  <w:txbxContent>
                    <w:p w14:paraId="42E71437" w14:textId="77777777" w:rsidR="000B0B97" w:rsidRDefault="000B0B97" w:rsidP="00534FF2">
                      <w:pPr>
                        <w:spacing w:after="0"/>
                        <w:jc w:val="center"/>
                        <w:rPr>
                          <w:sz w:val="20"/>
                          <w:szCs w:val="20"/>
                        </w:rPr>
                      </w:pPr>
                      <w:r w:rsidRPr="007B4B8F">
                        <w:rPr>
                          <w:sz w:val="20"/>
                          <w:szCs w:val="20"/>
                        </w:rPr>
                        <w:t>Alaska Department of Fish and Game</w:t>
                      </w:r>
                      <w:r w:rsidRPr="007B4B8F">
                        <w:rPr>
                          <w:sz w:val="20"/>
                          <w:szCs w:val="20"/>
                        </w:rPr>
                        <w:br/>
                      </w:r>
                      <w:r w:rsidRPr="00534FF2">
                        <w:rPr>
                          <w:sz w:val="20"/>
                          <w:szCs w:val="20"/>
                        </w:rPr>
                        <w:t xml:space="preserve">Division of Sport Fish, Research and Technical Services </w:t>
                      </w:r>
                    </w:p>
                    <w:p w14:paraId="35FF633D" w14:textId="77777777" w:rsidR="000B0B97" w:rsidRDefault="000B0B97" w:rsidP="00534FF2">
                      <w:pPr>
                        <w:spacing w:after="0"/>
                        <w:jc w:val="center"/>
                        <w:rPr>
                          <w:sz w:val="20"/>
                          <w:szCs w:val="20"/>
                        </w:rPr>
                      </w:pPr>
                      <w:r w:rsidRPr="00534FF2">
                        <w:rPr>
                          <w:sz w:val="20"/>
                          <w:szCs w:val="20"/>
                        </w:rPr>
                        <w:t>333 Raspberry Road, Anchorage, Alaska, 99518-1565</w:t>
                      </w:r>
                    </w:p>
                    <w:p w14:paraId="218EEC29" w14:textId="77777777" w:rsidR="000B0B97" w:rsidRDefault="000B0B97" w:rsidP="00534FF2">
                      <w:pPr>
                        <w:spacing w:after="0"/>
                        <w:jc w:val="center"/>
                        <w:rPr>
                          <w:sz w:val="20"/>
                          <w:szCs w:val="20"/>
                        </w:rPr>
                      </w:pPr>
                    </w:p>
                    <w:p w14:paraId="0306A1F0" w14:textId="48A2DC50" w:rsidR="000B0B97" w:rsidRDefault="000B0B97" w:rsidP="006B7049">
                      <w:pPr>
                        <w:jc w:val="center"/>
                        <w:rPr>
                          <w:sz w:val="20"/>
                          <w:szCs w:val="20"/>
                        </w:rPr>
                      </w:pPr>
                      <w:r w:rsidRPr="00831795">
                        <w:rPr>
                          <w:sz w:val="20"/>
                          <w:szCs w:val="20"/>
                          <w:highlight w:val="yellow"/>
                        </w:rPr>
                        <w:t>August 2019</w:t>
                      </w:r>
                    </w:p>
                    <w:p w14:paraId="307F1AC7" w14:textId="77777777" w:rsidR="000B0B97" w:rsidRPr="007B4B8F" w:rsidRDefault="000B0B97" w:rsidP="006B7049">
                      <w:pPr>
                        <w:jc w:val="center"/>
                        <w:rPr>
                          <w:sz w:val="20"/>
                          <w:szCs w:val="20"/>
                        </w:rPr>
                      </w:pPr>
                    </w:p>
                  </w:txbxContent>
                </v:textbox>
                <w10:wrap anchory="page"/>
              </v:shape>
            </w:pict>
          </mc:Fallback>
        </mc:AlternateContent>
      </w:r>
    </w:p>
    <w:p w14:paraId="31321A74" w14:textId="77777777" w:rsidR="00B1575B" w:rsidRPr="00E15CDC" w:rsidRDefault="00B1575B" w:rsidP="00B1575B">
      <w:pPr>
        <w:pStyle w:val="OEOPg-ReptSeries"/>
      </w:pPr>
      <w:r w:rsidRPr="00E15CDC">
        <w:lastRenderedPageBreak/>
        <w:t xml:space="preserve">The Regional Operational Plan Series was established in 2012 to </w:t>
      </w:r>
      <w:r w:rsidR="00634738" w:rsidRPr="00E15CDC">
        <w:t xml:space="preserve">archive and provide public access to operational plans for fisheries projects of the </w:t>
      </w:r>
      <w:r w:rsidRPr="00E15CDC">
        <w:t>Divisions of Commercial Fisheries and Sport Fish</w:t>
      </w:r>
      <w:r w:rsidR="00634738" w:rsidRPr="00E15CDC">
        <w:t>, as per</w:t>
      </w:r>
      <w:r w:rsidR="003B0B51" w:rsidRPr="00E15CDC">
        <w:t xml:space="preserve"> </w:t>
      </w:r>
      <w:r w:rsidR="00634738" w:rsidRPr="00E15CDC">
        <w:t xml:space="preserve">joint-divisional </w:t>
      </w:r>
      <w:r w:rsidR="003B0B51" w:rsidRPr="00E15CDC">
        <w:t>Operational Planning</w:t>
      </w:r>
      <w:r w:rsidRPr="00E15CDC">
        <w:t xml:space="preserve"> Policy</w:t>
      </w:r>
      <w:r w:rsidR="00F47294" w:rsidRPr="00E15CDC">
        <w:t>.</w:t>
      </w:r>
      <w:r w:rsidRPr="00E15CDC">
        <w:t xml:space="preserve"> Documents in this series are </w:t>
      </w:r>
      <w:r w:rsidR="00634738" w:rsidRPr="00E15CDC">
        <w:t xml:space="preserve">planning documents that may </w:t>
      </w:r>
      <w:r w:rsidRPr="00E15CDC">
        <w:t xml:space="preserve">contain raw data, preliminary data analyses and results, and describe operational aspects of fisheries projects that </w:t>
      </w:r>
      <w:r w:rsidR="00557A9F" w:rsidRPr="00E15CDC">
        <w:t>may</w:t>
      </w:r>
      <w:r w:rsidRPr="00E15CDC">
        <w:t xml:space="preserve"> not </w:t>
      </w:r>
      <w:r w:rsidR="00557A9F" w:rsidRPr="00E15CDC">
        <w:t>actually be implemented</w:t>
      </w:r>
      <w:r w:rsidRPr="00E15CDC">
        <w:t xml:space="preserve">. All documents in this series are subject to a technical review process and receive varying degrees of regional, divisional, and biometric approval, but do not generally receive editorial review. </w:t>
      </w:r>
      <w:r w:rsidR="00557A9F" w:rsidRPr="00E15CDC">
        <w:t xml:space="preserve">Results from the implementation of the operational plan described in this series may be subsequently finalized and published in a different </w:t>
      </w:r>
      <w:r w:rsidRPr="00E15CDC">
        <w:t xml:space="preserve">department reporting series or in the formal literature. Please contact the author </w:t>
      </w:r>
      <w:r w:rsidR="00557A9F" w:rsidRPr="00E15CDC">
        <w:t>if you have any questions regarding the information provided in this plan</w:t>
      </w:r>
      <w:r w:rsidRPr="00E15CDC">
        <w:t xml:space="preserve">. Regional Operational Plans are available on the Internet at: </w:t>
      </w:r>
      <w:hyperlink r:id="rId21" w:history="1">
        <w:r w:rsidRPr="00E15CDC">
          <w:rPr>
            <w:rStyle w:val="Hyperlink"/>
          </w:rPr>
          <w:t>http://www.adfg.alaska.gov/sf/publications/</w:t>
        </w:r>
      </w:hyperlink>
    </w:p>
    <w:p w14:paraId="6A2DA7D5" w14:textId="77777777" w:rsidR="000F01B0" w:rsidRPr="00E15CDC" w:rsidRDefault="000F01B0" w:rsidP="000F01B0">
      <w:pPr>
        <w:pStyle w:val="OEOPg-ReptSeries"/>
        <w:sectPr w:rsidR="000F01B0" w:rsidRPr="00E15CDC" w:rsidSect="00284CC1">
          <w:headerReference w:type="default" r:id="rId22"/>
          <w:footerReference w:type="default" r:id="rId23"/>
          <w:pgSz w:w="12240" w:h="15840" w:code="1"/>
          <w:pgMar w:top="1440" w:right="1440" w:bottom="1440" w:left="1440" w:header="720" w:footer="547" w:gutter="0"/>
          <w:pgNumType w:start="25"/>
          <w:cols w:space="720"/>
          <w:formProt w:val="0"/>
        </w:sectPr>
      </w:pPr>
    </w:p>
    <w:p w14:paraId="748C9275" w14:textId="77777777" w:rsidR="000F01B0" w:rsidRPr="00E15CDC" w:rsidRDefault="000F01B0" w:rsidP="000F01B0">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14:paraId="4FDB8AEA" w14:textId="77777777" w:rsidR="000F01B0" w:rsidRPr="004C5CE0" w:rsidRDefault="00534FF2" w:rsidP="00A763FA">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rPr>
          <w:highlight w:val="yellow"/>
        </w:rPr>
      </w:pPr>
      <w:r w:rsidRPr="004C5CE0">
        <w:rPr>
          <w:highlight w:val="yellow"/>
        </w:rPr>
        <w:t>Sarah R. Webster</w:t>
      </w:r>
    </w:p>
    <w:p w14:paraId="346D08F4" w14:textId="77777777" w:rsidR="00534FF2" w:rsidRDefault="00534FF2" w:rsidP="00534FF2">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pPr>
      <w:r>
        <w:t>Alaska Department of Fish and Game</w:t>
      </w:r>
    </w:p>
    <w:p w14:paraId="55FD393A" w14:textId="77777777" w:rsidR="00534FF2" w:rsidRDefault="00534FF2" w:rsidP="00534FF2">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pPr>
      <w:r>
        <w:t xml:space="preserve">Division of Sport Fish, Research and Technical Services </w:t>
      </w:r>
    </w:p>
    <w:p w14:paraId="6E8955F0" w14:textId="77777777" w:rsidR="000F01B0" w:rsidRPr="00534FF2" w:rsidRDefault="00534FF2" w:rsidP="00534FF2">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rPr>
          <w:highlight w:val="yellow"/>
        </w:rPr>
      </w:pPr>
      <w:r>
        <w:t>333 Raspberry Road, Anchorage, Alaska, 99518-1565</w:t>
      </w:r>
    </w:p>
    <w:p w14:paraId="25B2B94C" w14:textId="77777777" w:rsidR="000F01B0" w:rsidRPr="00534FF2" w:rsidRDefault="000F01B0" w:rsidP="00A763FA">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left"/>
      </w:pPr>
    </w:p>
    <w:p w14:paraId="547B5BAB" w14:textId="77777777" w:rsidR="000F01B0" w:rsidRPr="00534FF2" w:rsidRDefault="000F01B0" w:rsidP="0007513C">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ind w:left="0" w:firstLine="0"/>
      </w:pPr>
      <w:r w:rsidRPr="00534FF2">
        <w:t xml:space="preserve"> This document should be cited as:</w:t>
      </w:r>
    </w:p>
    <w:p w14:paraId="1B789EC4" w14:textId="77777777" w:rsidR="000F01B0" w:rsidRPr="00534FF2" w:rsidRDefault="000F01B0" w:rsidP="00A763FA">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spacing w:after="120"/>
        <w:rPr>
          <w:b/>
          <w:highlight w:val="yellow"/>
        </w:rPr>
      </w:pPr>
      <w:r w:rsidRPr="00534FF2">
        <w:t xml:space="preserve"> </w:t>
      </w:r>
      <w:r w:rsidR="00534FF2" w:rsidRPr="000E6AF6">
        <w:rPr>
          <w:highlight w:val="yellow"/>
        </w:rPr>
        <w:t>Webster, Sarah R</w:t>
      </w:r>
      <w:r w:rsidR="00725DBC" w:rsidRPr="000E6AF6">
        <w:rPr>
          <w:highlight w:val="yellow"/>
        </w:rPr>
        <w:t>.</w:t>
      </w:r>
      <w:r w:rsidRPr="00534FF2">
        <w:t xml:space="preserve">  </w:t>
      </w:r>
      <w:r w:rsidR="00725DBC" w:rsidRPr="00534FF2">
        <w:t>201</w:t>
      </w:r>
      <w:r w:rsidR="00534FF2" w:rsidRPr="00534FF2">
        <w:t>9</w:t>
      </w:r>
      <w:r w:rsidRPr="00534FF2">
        <w:t xml:space="preserve">.  </w:t>
      </w:r>
      <w:r w:rsidR="00725DBC" w:rsidRPr="00534FF2">
        <w:t>Estimation and projection of statewide recreational halibut harvest</w:t>
      </w:r>
      <w:r w:rsidR="0007513C" w:rsidRPr="00534FF2">
        <w:t>.</w:t>
      </w:r>
      <w:r w:rsidRPr="00534FF2">
        <w:t xml:space="preserve">  Alaska Department of Fish and Game, </w:t>
      </w:r>
      <w:r w:rsidR="002519A1" w:rsidRPr="00534FF2">
        <w:t>Division</w:t>
      </w:r>
      <w:r w:rsidR="00725DBC" w:rsidRPr="00534FF2">
        <w:t xml:space="preserve"> of Sport Fish</w:t>
      </w:r>
      <w:r w:rsidR="002519A1" w:rsidRPr="00534FF2">
        <w:t xml:space="preserve">, </w:t>
      </w:r>
      <w:r w:rsidRPr="00534FF2">
        <w:t xml:space="preserve">Regional </w:t>
      </w:r>
      <w:r w:rsidR="006B7049" w:rsidRPr="00534FF2">
        <w:t>Operational Plan ROP.</w:t>
      </w:r>
      <w:r w:rsidR="0007513C" w:rsidRPr="00534FF2">
        <w:rPr>
          <w:highlight w:val="yellow"/>
        </w:rPr>
        <w:t>DF#</w:t>
      </w:r>
      <w:proofErr w:type="gramStart"/>
      <w:r w:rsidR="0007513C" w:rsidRPr="00534FF2">
        <w:rPr>
          <w:highlight w:val="yellow"/>
        </w:rPr>
        <w:t>R.YY</w:t>
      </w:r>
      <w:proofErr w:type="gramEnd"/>
      <w:r w:rsidR="0007513C" w:rsidRPr="00534FF2">
        <w:rPr>
          <w:highlight w:val="yellow"/>
        </w:rPr>
        <w:t>-XX</w:t>
      </w:r>
      <w:r w:rsidRPr="00534FF2">
        <w:t xml:space="preserve">, </w:t>
      </w:r>
      <w:r w:rsidR="00725DBC" w:rsidRPr="00534FF2">
        <w:t>Anchorage</w:t>
      </w:r>
      <w:r w:rsidRPr="00534FF2">
        <w:t>.</w:t>
      </w:r>
    </w:p>
    <w:p w14:paraId="7D6F9167" w14:textId="2B26A9C3" w:rsidR="000F01B0" w:rsidRPr="00534FF2" w:rsidRDefault="00E15CDC" w:rsidP="000F01B0">
      <w:pPr>
        <w:rPr>
          <w:highlight w:val="yellow"/>
        </w:rPr>
        <w:sectPr w:rsidR="000F01B0" w:rsidRPr="00534FF2">
          <w:type w:val="continuous"/>
          <w:pgSz w:w="12240" w:h="15840" w:code="1"/>
          <w:pgMar w:top="1440" w:right="1440" w:bottom="1440" w:left="1440" w:header="720" w:footer="720" w:gutter="0"/>
          <w:pgNumType w:start="1"/>
          <w:cols w:space="720"/>
          <w:formProt w:val="0"/>
        </w:sectPr>
      </w:pPr>
      <w:r w:rsidRPr="00534FF2">
        <w:rPr>
          <w:noProof/>
          <w:highlight w:val="yellow"/>
        </w:rPr>
        <mc:AlternateContent>
          <mc:Choice Requires="wps">
            <w:drawing>
              <wp:anchor distT="0" distB="0" distL="114300" distR="114300" simplePos="0" relativeHeight="251648512" behindDoc="0" locked="0" layoutInCell="1" allowOverlap="1" wp14:anchorId="637DE8B4" wp14:editId="078241E5">
                <wp:simplePos x="0" y="0"/>
                <wp:positionH relativeFrom="column">
                  <wp:posOffset>-114300</wp:posOffset>
                </wp:positionH>
                <wp:positionV relativeFrom="page">
                  <wp:posOffset>7105650</wp:posOffset>
                </wp:positionV>
                <wp:extent cx="6172200" cy="2381250"/>
                <wp:effectExtent l="0" t="0" r="0" b="0"/>
                <wp:wrapNone/>
                <wp:docPr id="1714"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38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7A2529" w14:textId="77777777" w:rsidR="000B0B97" w:rsidRPr="00E15CDC" w:rsidRDefault="000B0B97" w:rsidP="000F01B0">
                            <w:pPr>
                              <w:spacing w:after="60"/>
                              <w:rPr>
                                <w:sz w:val="20"/>
                                <w:szCs w:val="20"/>
                              </w:rPr>
                            </w:pPr>
                            <w:r w:rsidRPr="00E15CDC">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14:paraId="14F06758" w14:textId="77777777" w:rsidR="000B0B97" w:rsidRPr="00E15CDC" w:rsidRDefault="000B0B97" w:rsidP="000F01B0">
                            <w:pPr>
                              <w:spacing w:before="60" w:after="0"/>
                              <w:jc w:val="center"/>
                              <w:rPr>
                                <w:b/>
                                <w:sz w:val="20"/>
                                <w:szCs w:val="20"/>
                              </w:rPr>
                            </w:pPr>
                            <w:r w:rsidRPr="00E15CDC">
                              <w:rPr>
                                <w:b/>
                                <w:sz w:val="20"/>
                                <w:szCs w:val="20"/>
                              </w:rPr>
                              <w:t>If you believe you have been discriminated against in any program, activity, or facility please write:</w:t>
                            </w:r>
                          </w:p>
                          <w:p w14:paraId="65B95F74" w14:textId="77777777" w:rsidR="000B0B97" w:rsidRPr="00E15CDC" w:rsidRDefault="000B0B97" w:rsidP="000F01B0">
                            <w:pPr>
                              <w:spacing w:after="0"/>
                              <w:jc w:val="center"/>
                              <w:rPr>
                                <w:spacing w:val="-4"/>
                                <w:sz w:val="20"/>
                                <w:szCs w:val="20"/>
                              </w:rPr>
                            </w:pPr>
                            <w:r w:rsidRPr="00E15CDC">
                              <w:rPr>
                                <w:sz w:val="20"/>
                                <w:szCs w:val="20"/>
                              </w:rPr>
                              <w:t>ADF&amp;G ADA Coordinator, P.O. Box 115526, Juneau, AK 99811-5526</w:t>
                            </w:r>
                          </w:p>
                          <w:p w14:paraId="138FBFBB" w14:textId="77777777" w:rsidR="000B0B97" w:rsidRPr="00E15CDC" w:rsidRDefault="000B0B97" w:rsidP="000F01B0">
                            <w:pPr>
                              <w:spacing w:after="0"/>
                              <w:jc w:val="center"/>
                              <w:rPr>
                                <w:spacing w:val="-4"/>
                                <w:sz w:val="20"/>
                                <w:szCs w:val="20"/>
                              </w:rPr>
                            </w:pPr>
                            <w:r w:rsidRPr="00E15CDC">
                              <w:rPr>
                                <w:sz w:val="20"/>
                                <w:szCs w:val="20"/>
                              </w:rPr>
                              <w:t>U.S. Fish and Wildlife Service, 4401 N. Fairfax Drive, MS 2042, Arlington, VA 22203</w:t>
                            </w:r>
                          </w:p>
                          <w:p w14:paraId="0CBB3391" w14:textId="77777777" w:rsidR="000B0B97" w:rsidRPr="00E15CDC" w:rsidRDefault="000B0B97" w:rsidP="000F01B0">
                            <w:pPr>
                              <w:spacing w:after="60"/>
                              <w:jc w:val="center"/>
                              <w:rPr>
                                <w:spacing w:val="-4"/>
                                <w:sz w:val="20"/>
                                <w:szCs w:val="20"/>
                              </w:rPr>
                            </w:pPr>
                            <w:r w:rsidRPr="00E15CDC">
                              <w:rPr>
                                <w:sz w:val="20"/>
                                <w:szCs w:val="20"/>
                              </w:rPr>
                              <w:t>Office of Equal Opportunity, U.S. Department of the Interior, 1849 C Street NW MS 5230, Washington DC 20240</w:t>
                            </w:r>
                          </w:p>
                          <w:p w14:paraId="04B5F1DC" w14:textId="77777777" w:rsidR="000B0B97" w:rsidRPr="00E15CDC" w:rsidRDefault="000B0B97" w:rsidP="000F01B0">
                            <w:pPr>
                              <w:spacing w:after="0"/>
                              <w:jc w:val="center"/>
                              <w:rPr>
                                <w:b/>
                                <w:sz w:val="20"/>
                                <w:szCs w:val="20"/>
                              </w:rPr>
                            </w:pPr>
                            <w:r w:rsidRPr="00E15CDC">
                              <w:rPr>
                                <w:b/>
                                <w:sz w:val="20"/>
                                <w:szCs w:val="20"/>
                              </w:rPr>
                              <w:t>The department’s ADA Coordinator can be reached via phone at the following numbers:</w:t>
                            </w:r>
                          </w:p>
                          <w:p w14:paraId="530C3088" w14:textId="77777777" w:rsidR="000B0B97" w:rsidRPr="00E15CDC" w:rsidRDefault="000B0B97" w:rsidP="000F01B0">
                            <w:pPr>
                              <w:spacing w:after="0"/>
                              <w:jc w:val="center"/>
                              <w:rPr>
                                <w:sz w:val="20"/>
                                <w:szCs w:val="20"/>
                              </w:rPr>
                            </w:pPr>
                            <w:r w:rsidRPr="00E15CDC">
                              <w:rPr>
                                <w:sz w:val="20"/>
                                <w:szCs w:val="20"/>
                              </w:rPr>
                              <w:t>(VOICE) 907-465-6077, (Statewide Telecommunication Device for the Deaf) 1-800-478-3648,</w:t>
                            </w:r>
                          </w:p>
                          <w:p w14:paraId="15AEA04F" w14:textId="77777777" w:rsidR="000B0B97" w:rsidRPr="00E15CDC" w:rsidRDefault="000B0B97" w:rsidP="000F01B0">
                            <w:pPr>
                              <w:spacing w:after="60"/>
                              <w:jc w:val="center"/>
                              <w:rPr>
                                <w:sz w:val="20"/>
                                <w:szCs w:val="20"/>
                              </w:rPr>
                            </w:pPr>
                            <w:r w:rsidRPr="00E15CDC">
                              <w:rPr>
                                <w:sz w:val="20"/>
                                <w:szCs w:val="20"/>
                              </w:rPr>
                              <w:t>(</w:t>
                            </w:r>
                            <w:smartTag w:uri="urn:schemas-microsoft-com:office:smarttags" w:element="City">
                              <w:smartTag w:uri="urn:schemas-microsoft-com:office:smarttags" w:element="place">
                                <w:r w:rsidRPr="00E15CDC">
                                  <w:rPr>
                                    <w:sz w:val="20"/>
                                    <w:szCs w:val="20"/>
                                  </w:rPr>
                                  <w:t>Juneau</w:t>
                                </w:r>
                              </w:smartTag>
                            </w:smartTag>
                            <w:r w:rsidRPr="00E15CDC">
                              <w:rPr>
                                <w:sz w:val="20"/>
                                <w:szCs w:val="20"/>
                              </w:rPr>
                              <w:t xml:space="preserve"> TDD) 907-465-3646, or (FAX) 907-465-6078</w:t>
                            </w:r>
                          </w:p>
                          <w:p w14:paraId="6748B470" w14:textId="77777777" w:rsidR="000B0B97" w:rsidRPr="00E15CDC" w:rsidRDefault="000B0B97" w:rsidP="000F01B0">
                            <w:pPr>
                              <w:spacing w:after="0"/>
                              <w:jc w:val="center"/>
                              <w:rPr>
                                <w:b/>
                                <w:sz w:val="20"/>
                                <w:szCs w:val="20"/>
                              </w:rPr>
                            </w:pPr>
                            <w:r w:rsidRPr="00E15CDC">
                              <w:rPr>
                                <w:b/>
                                <w:sz w:val="20"/>
                                <w:szCs w:val="20"/>
                              </w:rPr>
                              <w:t>For information on alternative formats and questions on this publication, please contact:</w:t>
                            </w:r>
                          </w:p>
                          <w:p w14:paraId="6B3F204D" w14:textId="77777777" w:rsidR="000B0B97" w:rsidRPr="0065344F" w:rsidRDefault="000B0B97" w:rsidP="000F01B0">
                            <w:pPr>
                              <w:jc w:val="center"/>
                              <w:rPr>
                                <w:spacing w:val="-4"/>
                                <w:sz w:val="20"/>
                                <w:szCs w:val="20"/>
                              </w:rPr>
                            </w:pPr>
                            <w:r w:rsidRPr="00E15CDC">
                              <w:rPr>
                                <w:spacing w:val="-4"/>
                                <w:sz w:val="20"/>
                                <w:szCs w:val="20"/>
                              </w:rPr>
                              <w:t>ADF&amp;G, Division of Sport Fish, Research and Technical Services, 333 Raspberry Rd, Anchorage AK 99518 (907) 267-2375</w:t>
                            </w:r>
                          </w:p>
                          <w:p w14:paraId="6FC70E39" w14:textId="77777777" w:rsidR="000B0B97" w:rsidRPr="0065344F" w:rsidRDefault="000B0B97" w:rsidP="000F01B0">
                            <w:pPr>
                              <w:rPr>
                                <w:spacing w:val="-4"/>
                                <w:sz w:val="20"/>
                                <w:szCs w:val="20"/>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DE8B4" id="Text Box 150" o:spid="_x0000_s1028" type="#_x0000_t202" style="position:absolute;left:0;text-align:left;margin-left:-9pt;margin-top:559.5pt;width:486pt;height:18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bACAIAAPQDAAAOAAAAZHJzL2Uyb0RvYy54bWysU9Fu2yAUfZ+0f0C8L469tqmsOFWXKtOk&#10;bp3U7gMwxjEa5rILiZ19/S44SaPubRoPCC6XwznnXpZ3Y2/YXqHXYCuez+acKSuh0XZb8R8vmw+3&#10;nPkgbCMMWFXxg/L8bvX+3XJwpSqgA9MoZARifTm4inchuDLLvOxUL/wMnLJ02AL2ItAWt1mDYiD0&#10;3mTFfH6TDYCNQ5DKe4o+TId8lfDbVsnw1LZeBWYqTtxCmjHNdZyz1VKUWxSu0/JIQ/wDi15oS4+e&#10;oR5EEGyH+i+oXksED22YSegzaFstVdJAavL5GzXPnXAqaSFzvDvb5P8frPy2/45MN1S7RX7FmRU9&#10;VelFjYF9gpHl18miwfmSMp8d5YaRDig9yfXuEeRPzyysO2G36h4Rhk6Jhijm0dzs4mosii99BKmH&#10;r9DQQ2IXIAGNLfbRP3KEETqV6nAuTyQjKXiTLwqqOWeSzoqPt3kxsctEebru0IfPCnoWFxVHqn+C&#10;F/tHHyIdUZ5S4msejG422pi0wW29Nsj2gnplk0ZS8CbN2JhsIV6bEGMk6YzSJpFhrMfkahEhouwa&#10;mgMJR5hakL4MLTrA35wN1H4V9792AhVn5osl82KvpsXV9aKgDZ6i9WVUWEkQFQ+cTct1mHp751Bv&#10;O3phKpOFezK61cmCVzZH2tRayZnjN4i9e7lPWa+fdfUHAAD//wMAUEsDBBQABgAIAAAAIQAD4aCB&#10;3wAAAA0BAAAPAAAAZHJzL2Rvd25yZXYueG1sTE9BTsMwELwj8Qdrkbi1TlCBJMSpEAIEgkNpufS2&#10;jZckIl6H2G3D71lOcJvZGc3OlMvJ9epAY+g8G0jnCSji2tuOGwPvm4dZBipEZIu9ZzLwTQGW1elJ&#10;iYX1R36jwzo2SkI4FGigjXEotA51Sw7D3A/Eon340WEUOjbajniUcNfriyS50g47lg8tDnTXUv25&#10;3jsDT9ts80LPj222usdrWnH40ttXY87PptsbUJGm+GeG3/pSHSrptPN7tkH1BmZpJluiCGmaCxJL&#10;frkQsJPTIhekq1L/X1H9AAAA//8DAFBLAQItABQABgAIAAAAIQC2gziS/gAAAOEBAAATAAAAAAAA&#10;AAAAAAAAAAAAAABbQ29udGVudF9UeXBlc10ueG1sUEsBAi0AFAAGAAgAAAAhADj9If/WAAAAlAEA&#10;AAsAAAAAAAAAAAAAAAAALwEAAF9yZWxzLy5yZWxzUEsBAi0AFAAGAAgAAAAhAFNI9sAIAgAA9AMA&#10;AA4AAAAAAAAAAAAAAAAALgIAAGRycy9lMm9Eb2MueG1sUEsBAi0AFAAGAAgAAAAhAAPhoIHfAAAA&#10;DQEAAA8AAAAAAAAAAAAAAAAAYgQAAGRycy9kb3ducmV2LnhtbFBLBQYAAAAABAAEAPMAAABuBQAA&#10;AAA=&#10;" stroked="f">
                <v:textbox inset="0,,0">
                  <w:txbxContent>
                    <w:p w14:paraId="1C7A2529" w14:textId="77777777" w:rsidR="000B0B97" w:rsidRPr="00E15CDC" w:rsidRDefault="000B0B97" w:rsidP="000F01B0">
                      <w:pPr>
                        <w:spacing w:after="60"/>
                        <w:rPr>
                          <w:sz w:val="20"/>
                          <w:szCs w:val="20"/>
                        </w:rPr>
                      </w:pPr>
                      <w:r w:rsidRPr="00E15CDC">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14:paraId="14F06758" w14:textId="77777777" w:rsidR="000B0B97" w:rsidRPr="00E15CDC" w:rsidRDefault="000B0B97" w:rsidP="000F01B0">
                      <w:pPr>
                        <w:spacing w:before="60" w:after="0"/>
                        <w:jc w:val="center"/>
                        <w:rPr>
                          <w:b/>
                          <w:sz w:val="20"/>
                          <w:szCs w:val="20"/>
                        </w:rPr>
                      </w:pPr>
                      <w:r w:rsidRPr="00E15CDC">
                        <w:rPr>
                          <w:b/>
                          <w:sz w:val="20"/>
                          <w:szCs w:val="20"/>
                        </w:rPr>
                        <w:t>If you believe you have been discriminated against in any program, activity, or facility please write:</w:t>
                      </w:r>
                    </w:p>
                    <w:p w14:paraId="65B95F74" w14:textId="77777777" w:rsidR="000B0B97" w:rsidRPr="00E15CDC" w:rsidRDefault="000B0B97" w:rsidP="000F01B0">
                      <w:pPr>
                        <w:spacing w:after="0"/>
                        <w:jc w:val="center"/>
                        <w:rPr>
                          <w:spacing w:val="-4"/>
                          <w:sz w:val="20"/>
                          <w:szCs w:val="20"/>
                        </w:rPr>
                      </w:pPr>
                      <w:r w:rsidRPr="00E15CDC">
                        <w:rPr>
                          <w:sz w:val="20"/>
                          <w:szCs w:val="20"/>
                        </w:rPr>
                        <w:t>ADF&amp;G ADA Coordinator, P.O. Box 115526, Juneau, AK 99811-5526</w:t>
                      </w:r>
                    </w:p>
                    <w:p w14:paraId="138FBFBB" w14:textId="77777777" w:rsidR="000B0B97" w:rsidRPr="00E15CDC" w:rsidRDefault="000B0B97" w:rsidP="000F01B0">
                      <w:pPr>
                        <w:spacing w:after="0"/>
                        <w:jc w:val="center"/>
                        <w:rPr>
                          <w:spacing w:val="-4"/>
                          <w:sz w:val="20"/>
                          <w:szCs w:val="20"/>
                        </w:rPr>
                      </w:pPr>
                      <w:r w:rsidRPr="00E15CDC">
                        <w:rPr>
                          <w:sz w:val="20"/>
                          <w:szCs w:val="20"/>
                        </w:rPr>
                        <w:t>U.S. Fish and Wildlife Service, 4401 N. Fairfax Drive, MS 2042, Arlington, VA 22203</w:t>
                      </w:r>
                    </w:p>
                    <w:p w14:paraId="0CBB3391" w14:textId="77777777" w:rsidR="000B0B97" w:rsidRPr="00E15CDC" w:rsidRDefault="000B0B97" w:rsidP="000F01B0">
                      <w:pPr>
                        <w:spacing w:after="60"/>
                        <w:jc w:val="center"/>
                        <w:rPr>
                          <w:spacing w:val="-4"/>
                          <w:sz w:val="20"/>
                          <w:szCs w:val="20"/>
                        </w:rPr>
                      </w:pPr>
                      <w:r w:rsidRPr="00E15CDC">
                        <w:rPr>
                          <w:sz w:val="20"/>
                          <w:szCs w:val="20"/>
                        </w:rPr>
                        <w:t>Office of Equal Opportunity, U.S. Department of the Interior, 1849 C Street NW MS 5230, Washington DC 20240</w:t>
                      </w:r>
                    </w:p>
                    <w:p w14:paraId="04B5F1DC" w14:textId="77777777" w:rsidR="000B0B97" w:rsidRPr="00E15CDC" w:rsidRDefault="000B0B97" w:rsidP="000F01B0">
                      <w:pPr>
                        <w:spacing w:after="0"/>
                        <w:jc w:val="center"/>
                        <w:rPr>
                          <w:b/>
                          <w:sz w:val="20"/>
                          <w:szCs w:val="20"/>
                        </w:rPr>
                      </w:pPr>
                      <w:r w:rsidRPr="00E15CDC">
                        <w:rPr>
                          <w:b/>
                          <w:sz w:val="20"/>
                          <w:szCs w:val="20"/>
                        </w:rPr>
                        <w:t>The department’s ADA Coordinator can be reached via phone at the following numbers:</w:t>
                      </w:r>
                    </w:p>
                    <w:p w14:paraId="530C3088" w14:textId="77777777" w:rsidR="000B0B97" w:rsidRPr="00E15CDC" w:rsidRDefault="000B0B97" w:rsidP="000F01B0">
                      <w:pPr>
                        <w:spacing w:after="0"/>
                        <w:jc w:val="center"/>
                        <w:rPr>
                          <w:sz w:val="20"/>
                          <w:szCs w:val="20"/>
                        </w:rPr>
                      </w:pPr>
                      <w:r w:rsidRPr="00E15CDC">
                        <w:rPr>
                          <w:sz w:val="20"/>
                          <w:szCs w:val="20"/>
                        </w:rPr>
                        <w:t>(VOICE) 907-465-6077, (Statewide Telecommunication Device for the Deaf) 1-800-478-3648,</w:t>
                      </w:r>
                    </w:p>
                    <w:p w14:paraId="15AEA04F" w14:textId="77777777" w:rsidR="000B0B97" w:rsidRPr="00E15CDC" w:rsidRDefault="000B0B97" w:rsidP="000F01B0">
                      <w:pPr>
                        <w:spacing w:after="60"/>
                        <w:jc w:val="center"/>
                        <w:rPr>
                          <w:sz w:val="20"/>
                          <w:szCs w:val="20"/>
                        </w:rPr>
                      </w:pPr>
                      <w:r w:rsidRPr="00E15CDC">
                        <w:rPr>
                          <w:sz w:val="20"/>
                          <w:szCs w:val="20"/>
                        </w:rPr>
                        <w:t>(</w:t>
                      </w:r>
                      <w:smartTag w:uri="urn:schemas-microsoft-com:office:smarttags" w:element="City">
                        <w:smartTag w:uri="urn:schemas-microsoft-com:office:smarttags" w:element="place">
                          <w:r w:rsidRPr="00E15CDC">
                            <w:rPr>
                              <w:sz w:val="20"/>
                              <w:szCs w:val="20"/>
                            </w:rPr>
                            <w:t>Juneau</w:t>
                          </w:r>
                        </w:smartTag>
                      </w:smartTag>
                      <w:r w:rsidRPr="00E15CDC">
                        <w:rPr>
                          <w:sz w:val="20"/>
                          <w:szCs w:val="20"/>
                        </w:rPr>
                        <w:t xml:space="preserve"> TDD) 907-465-3646, or (FAX) 907-465-6078</w:t>
                      </w:r>
                    </w:p>
                    <w:p w14:paraId="6748B470" w14:textId="77777777" w:rsidR="000B0B97" w:rsidRPr="00E15CDC" w:rsidRDefault="000B0B97" w:rsidP="000F01B0">
                      <w:pPr>
                        <w:spacing w:after="0"/>
                        <w:jc w:val="center"/>
                        <w:rPr>
                          <w:b/>
                          <w:sz w:val="20"/>
                          <w:szCs w:val="20"/>
                        </w:rPr>
                      </w:pPr>
                      <w:r w:rsidRPr="00E15CDC">
                        <w:rPr>
                          <w:b/>
                          <w:sz w:val="20"/>
                          <w:szCs w:val="20"/>
                        </w:rPr>
                        <w:t>For information on alternative formats and questions on this publication, please contact:</w:t>
                      </w:r>
                    </w:p>
                    <w:p w14:paraId="6B3F204D" w14:textId="77777777" w:rsidR="000B0B97" w:rsidRPr="0065344F" w:rsidRDefault="000B0B97" w:rsidP="000F01B0">
                      <w:pPr>
                        <w:jc w:val="center"/>
                        <w:rPr>
                          <w:spacing w:val="-4"/>
                          <w:sz w:val="20"/>
                          <w:szCs w:val="20"/>
                        </w:rPr>
                      </w:pPr>
                      <w:r w:rsidRPr="00E15CDC">
                        <w:rPr>
                          <w:spacing w:val="-4"/>
                          <w:sz w:val="20"/>
                          <w:szCs w:val="20"/>
                        </w:rPr>
                        <w:t>ADF&amp;G, Division of Sport Fish, Research and Technical Services, 333 Raspberry Rd, Anchorage AK 99518 (907) 267-2375</w:t>
                      </w:r>
                    </w:p>
                    <w:p w14:paraId="6FC70E39" w14:textId="77777777" w:rsidR="000B0B97" w:rsidRPr="0065344F" w:rsidRDefault="000B0B97" w:rsidP="000F01B0">
                      <w:pPr>
                        <w:rPr>
                          <w:spacing w:val="-4"/>
                          <w:sz w:val="20"/>
                          <w:szCs w:val="20"/>
                        </w:rPr>
                      </w:pPr>
                    </w:p>
                  </w:txbxContent>
                </v:textbox>
                <w10:wrap anchory="page"/>
              </v:shape>
            </w:pict>
          </mc:Fallback>
        </mc:AlternateContent>
      </w:r>
    </w:p>
    <w:p w14:paraId="3C2A1235" w14:textId="77777777" w:rsidR="004072E5" w:rsidRPr="00534FF2" w:rsidRDefault="004072E5" w:rsidP="004072E5">
      <w:pPr>
        <w:pStyle w:val="AppenidixHeading2"/>
        <w:rPr>
          <w:b w:val="0"/>
        </w:rPr>
      </w:pPr>
      <w:bookmarkStart w:id="2" w:name="_Toc323470320"/>
      <w:bookmarkStart w:id="3" w:name="_Toc326932122"/>
      <w:bookmarkStart w:id="4" w:name="_Toc326932326"/>
      <w:r w:rsidRPr="00534FF2">
        <w:rPr>
          <w:b w:val="0"/>
        </w:rPr>
        <w:lastRenderedPageBreak/>
        <w:t>Signature/Title Page</w:t>
      </w:r>
    </w:p>
    <w:tbl>
      <w:tblPr>
        <w:tblW w:w="0" w:type="auto"/>
        <w:tblLayout w:type="fixed"/>
        <w:tblCellMar>
          <w:top w:w="115" w:type="dxa"/>
          <w:left w:w="115" w:type="dxa"/>
          <w:bottom w:w="115" w:type="dxa"/>
          <w:right w:w="115" w:type="dxa"/>
        </w:tblCellMar>
        <w:tblLook w:val="0000" w:firstRow="0" w:lastRow="0" w:firstColumn="0" w:lastColumn="0" w:noHBand="0" w:noVBand="0"/>
      </w:tblPr>
      <w:tblGrid>
        <w:gridCol w:w="3528"/>
        <w:gridCol w:w="6030"/>
      </w:tblGrid>
      <w:tr w:rsidR="004072E5" w:rsidRPr="00534FF2" w14:paraId="29F97686" w14:textId="77777777" w:rsidTr="00A8418B">
        <w:trPr>
          <w:trHeight w:val="432"/>
        </w:trPr>
        <w:tc>
          <w:tcPr>
            <w:tcW w:w="3528" w:type="dxa"/>
          </w:tcPr>
          <w:p w14:paraId="35094369" w14:textId="77777777" w:rsidR="004072E5" w:rsidRPr="00534FF2" w:rsidRDefault="004072E5" w:rsidP="00A8418B">
            <w:pPr>
              <w:spacing w:after="0"/>
              <w:jc w:val="left"/>
            </w:pPr>
            <w:r w:rsidRPr="00534FF2">
              <w:t>Project Title:</w:t>
            </w:r>
          </w:p>
        </w:tc>
        <w:tc>
          <w:tcPr>
            <w:tcW w:w="6030" w:type="dxa"/>
          </w:tcPr>
          <w:p w14:paraId="3F6BE9E9" w14:textId="77777777" w:rsidR="004072E5" w:rsidRPr="00534FF2" w:rsidRDefault="00725DBC" w:rsidP="00A8418B">
            <w:r w:rsidRPr="00534FF2">
              <w:t>Estimation and Projection of Statewide Recreational Halibut Harvest</w:t>
            </w:r>
          </w:p>
        </w:tc>
      </w:tr>
      <w:tr w:rsidR="004072E5" w:rsidRPr="00534FF2" w14:paraId="0187AE4F" w14:textId="77777777" w:rsidTr="00534FF2">
        <w:trPr>
          <w:trHeight w:val="432"/>
        </w:trPr>
        <w:tc>
          <w:tcPr>
            <w:tcW w:w="3528" w:type="dxa"/>
            <w:shd w:val="clear" w:color="auto" w:fill="auto"/>
          </w:tcPr>
          <w:p w14:paraId="6244B537" w14:textId="77777777" w:rsidR="004072E5" w:rsidRPr="00534FF2" w:rsidRDefault="004072E5" w:rsidP="00A8418B">
            <w:pPr>
              <w:spacing w:after="0"/>
              <w:jc w:val="left"/>
            </w:pPr>
            <w:r w:rsidRPr="00534FF2">
              <w:t>Project leader(s):</w:t>
            </w:r>
          </w:p>
        </w:tc>
        <w:tc>
          <w:tcPr>
            <w:tcW w:w="6030" w:type="dxa"/>
            <w:shd w:val="clear" w:color="auto" w:fill="auto"/>
          </w:tcPr>
          <w:p w14:paraId="00E8E436" w14:textId="77777777" w:rsidR="004072E5" w:rsidRPr="00E15CDC" w:rsidRDefault="00534FF2" w:rsidP="00FF6D7E">
            <w:r w:rsidRPr="00E15CDC">
              <w:t>Sarah Webster</w:t>
            </w:r>
            <w:r w:rsidR="00E15CDC">
              <w:t>, Fishery Biologist IV</w:t>
            </w:r>
          </w:p>
        </w:tc>
      </w:tr>
      <w:tr w:rsidR="004072E5" w:rsidRPr="00534FF2" w14:paraId="3222D56A" w14:textId="77777777" w:rsidTr="00534FF2">
        <w:trPr>
          <w:trHeight w:val="432"/>
        </w:trPr>
        <w:tc>
          <w:tcPr>
            <w:tcW w:w="3528" w:type="dxa"/>
            <w:shd w:val="clear" w:color="auto" w:fill="auto"/>
          </w:tcPr>
          <w:p w14:paraId="4D36B323" w14:textId="77777777" w:rsidR="004072E5" w:rsidRPr="00534FF2" w:rsidRDefault="004072E5" w:rsidP="00A8418B">
            <w:pPr>
              <w:spacing w:after="0"/>
              <w:jc w:val="left"/>
            </w:pPr>
            <w:r w:rsidRPr="00534FF2">
              <w:t>Division, Region and Area</w:t>
            </w:r>
          </w:p>
        </w:tc>
        <w:tc>
          <w:tcPr>
            <w:tcW w:w="6030" w:type="dxa"/>
            <w:shd w:val="clear" w:color="auto" w:fill="auto"/>
          </w:tcPr>
          <w:p w14:paraId="46833205" w14:textId="77777777" w:rsidR="004072E5" w:rsidRPr="00E15CDC" w:rsidRDefault="00725DBC" w:rsidP="002E0BD4">
            <w:pPr>
              <w:spacing w:after="0"/>
              <w:jc w:val="left"/>
            </w:pPr>
            <w:r w:rsidRPr="00E15CDC">
              <w:t>Division of Sport Fish, R</w:t>
            </w:r>
            <w:r w:rsidR="002E0BD4" w:rsidRPr="00E15CDC">
              <w:t>esearch and Technical Services</w:t>
            </w:r>
            <w:r w:rsidRPr="00E15CDC">
              <w:t>, Statewide</w:t>
            </w:r>
          </w:p>
        </w:tc>
      </w:tr>
      <w:tr w:rsidR="004072E5" w:rsidRPr="00534FF2" w14:paraId="2AD48E17" w14:textId="77777777" w:rsidTr="00534FF2">
        <w:trPr>
          <w:trHeight w:val="432"/>
        </w:trPr>
        <w:tc>
          <w:tcPr>
            <w:tcW w:w="3528" w:type="dxa"/>
            <w:shd w:val="clear" w:color="auto" w:fill="auto"/>
          </w:tcPr>
          <w:p w14:paraId="7D62170D" w14:textId="77777777" w:rsidR="004072E5" w:rsidRPr="00534FF2" w:rsidRDefault="004072E5" w:rsidP="00A8418B">
            <w:pPr>
              <w:spacing w:after="0"/>
              <w:jc w:val="left"/>
              <w:rPr>
                <w:highlight w:val="yellow"/>
              </w:rPr>
            </w:pPr>
            <w:r w:rsidRPr="00E15CDC">
              <w:rPr>
                <w:highlight w:val="yellow"/>
              </w:rPr>
              <w:t>Project Nomenclature:</w:t>
            </w:r>
          </w:p>
        </w:tc>
        <w:tc>
          <w:tcPr>
            <w:tcW w:w="6030" w:type="dxa"/>
          </w:tcPr>
          <w:p w14:paraId="371B3BDE" w14:textId="77777777" w:rsidR="004072E5" w:rsidRPr="00E15CDC" w:rsidRDefault="004072E5" w:rsidP="00A8418B">
            <w:pPr>
              <w:spacing w:after="0"/>
              <w:jc w:val="left"/>
              <w:rPr>
                <w:i/>
              </w:rPr>
            </w:pPr>
          </w:p>
        </w:tc>
      </w:tr>
      <w:tr w:rsidR="004072E5" w:rsidRPr="00534FF2" w14:paraId="4F4728AA" w14:textId="77777777" w:rsidTr="00A8418B">
        <w:trPr>
          <w:trHeight w:val="432"/>
        </w:trPr>
        <w:tc>
          <w:tcPr>
            <w:tcW w:w="3528" w:type="dxa"/>
          </w:tcPr>
          <w:p w14:paraId="375BC50C" w14:textId="77777777" w:rsidR="004072E5" w:rsidRPr="00534FF2" w:rsidRDefault="004072E5" w:rsidP="00A8418B">
            <w:pPr>
              <w:spacing w:after="0"/>
              <w:jc w:val="left"/>
              <w:rPr>
                <w:highlight w:val="yellow"/>
              </w:rPr>
            </w:pPr>
            <w:r w:rsidRPr="00534FF2">
              <w:t>Period Covered</w:t>
            </w:r>
            <w:r w:rsidR="00534FF2">
              <w:t>:</w:t>
            </w:r>
          </w:p>
        </w:tc>
        <w:tc>
          <w:tcPr>
            <w:tcW w:w="6030" w:type="dxa"/>
          </w:tcPr>
          <w:p w14:paraId="56A33C25" w14:textId="77777777" w:rsidR="004072E5" w:rsidRPr="00534FF2" w:rsidRDefault="00C0584C" w:rsidP="0029174A">
            <w:pPr>
              <w:spacing w:after="0"/>
              <w:jc w:val="left"/>
              <w:rPr>
                <w:highlight w:val="yellow"/>
              </w:rPr>
            </w:pPr>
            <w:r w:rsidRPr="00534FF2">
              <w:rPr>
                <w:highlight w:val="yellow"/>
              </w:rPr>
              <w:t>September</w:t>
            </w:r>
            <w:r w:rsidR="00725DBC" w:rsidRPr="00534FF2">
              <w:rPr>
                <w:highlight w:val="yellow"/>
              </w:rPr>
              <w:t xml:space="preserve"> 1, 201</w:t>
            </w:r>
            <w:r w:rsidR="00534FF2">
              <w:rPr>
                <w:highlight w:val="yellow"/>
              </w:rPr>
              <w:t>9</w:t>
            </w:r>
            <w:r w:rsidR="00725DBC" w:rsidRPr="00534FF2">
              <w:rPr>
                <w:highlight w:val="yellow"/>
              </w:rPr>
              <w:t xml:space="preserve"> through </w:t>
            </w:r>
            <w:r w:rsidRPr="00534FF2">
              <w:rPr>
                <w:highlight w:val="yellow"/>
              </w:rPr>
              <w:t>August</w:t>
            </w:r>
            <w:r w:rsidR="00FF6D7E" w:rsidRPr="00534FF2">
              <w:rPr>
                <w:highlight w:val="yellow"/>
              </w:rPr>
              <w:t xml:space="preserve"> 31, 20</w:t>
            </w:r>
            <w:r w:rsidR="00534FF2">
              <w:rPr>
                <w:highlight w:val="yellow"/>
              </w:rPr>
              <w:t>2</w:t>
            </w:r>
            <w:r w:rsidR="00E15CDC">
              <w:rPr>
                <w:highlight w:val="yellow"/>
              </w:rPr>
              <w:t>4</w:t>
            </w:r>
          </w:p>
        </w:tc>
      </w:tr>
      <w:tr w:rsidR="004072E5" w:rsidRPr="00534FF2" w14:paraId="04216AD8" w14:textId="77777777" w:rsidTr="00A8418B">
        <w:trPr>
          <w:trHeight w:val="432"/>
        </w:trPr>
        <w:tc>
          <w:tcPr>
            <w:tcW w:w="3528" w:type="dxa"/>
          </w:tcPr>
          <w:p w14:paraId="77EFD7B3" w14:textId="77777777" w:rsidR="004072E5" w:rsidRPr="00534FF2" w:rsidRDefault="004072E5" w:rsidP="00A8418B">
            <w:pPr>
              <w:spacing w:after="0"/>
              <w:jc w:val="left"/>
            </w:pPr>
            <w:r w:rsidRPr="00534FF2">
              <w:t>Field Dates:</w:t>
            </w:r>
          </w:p>
        </w:tc>
        <w:tc>
          <w:tcPr>
            <w:tcW w:w="6030" w:type="dxa"/>
          </w:tcPr>
          <w:p w14:paraId="4732D4FB" w14:textId="77777777" w:rsidR="004072E5" w:rsidRPr="00534FF2" w:rsidRDefault="00C0584C" w:rsidP="00A8418B">
            <w:pPr>
              <w:spacing w:after="0"/>
              <w:jc w:val="left"/>
            </w:pPr>
            <w:r w:rsidRPr="00534FF2">
              <w:t>NA</w:t>
            </w:r>
          </w:p>
        </w:tc>
      </w:tr>
      <w:tr w:rsidR="004072E5" w:rsidRPr="00534FF2" w14:paraId="787FA6EB" w14:textId="77777777" w:rsidTr="00A8418B">
        <w:trPr>
          <w:trHeight w:val="432"/>
        </w:trPr>
        <w:tc>
          <w:tcPr>
            <w:tcW w:w="3528" w:type="dxa"/>
          </w:tcPr>
          <w:p w14:paraId="110C82CA" w14:textId="77777777" w:rsidR="004072E5" w:rsidRPr="00534FF2" w:rsidRDefault="004072E5" w:rsidP="00A8418B">
            <w:pPr>
              <w:spacing w:after="0"/>
              <w:jc w:val="left"/>
              <w:rPr>
                <w:highlight w:val="yellow"/>
              </w:rPr>
            </w:pPr>
            <w:r w:rsidRPr="00534FF2">
              <w:t>Plan Type:</w:t>
            </w:r>
          </w:p>
        </w:tc>
        <w:tc>
          <w:tcPr>
            <w:tcW w:w="6030" w:type="dxa"/>
          </w:tcPr>
          <w:p w14:paraId="28023A34" w14:textId="77777777" w:rsidR="004072E5" w:rsidRPr="00534FF2" w:rsidRDefault="004072E5" w:rsidP="00A8418B">
            <w:pPr>
              <w:rPr>
                <w:highlight w:val="yellow"/>
              </w:rPr>
            </w:pPr>
            <w:r w:rsidRPr="00534FF2">
              <w:rPr>
                <w:highlight w:val="yellow"/>
              </w:rPr>
              <w:t>Category III</w:t>
            </w:r>
          </w:p>
        </w:tc>
      </w:tr>
    </w:tbl>
    <w:p w14:paraId="543370E4" w14:textId="77777777" w:rsidR="004072E5" w:rsidRPr="00534FF2" w:rsidRDefault="004072E5" w:rsidP="004072E5">
      <w:pPr>
        <w:jc w:val="center"/>
        <w:rPr>
          <w:highlight w:val="yellow"/>
        </w:rPr>
      </w:pPr>
    </w:p>
    <w:p w14:paraId="547ECDD8" w14:textId="77777777" w:rsidR="004072E5" w:rsidRPr="00534FF2" w:rsidRDefault="004072E5" w:rsidP="004072E5">
      <w:pPr>
        <w:jc w:val="center"/>
        <w:rPr>
          <w:b/>
        </w:rPr>
      </w:pPr>
      <w:r w:rsidRPr="00534FF2">
        <w:rPr>
          <w:b/>
        </w:rPr>
        <w:t>Approval</w:t>
      </w:r>
    </w:p>
    <w:p w14:paraId="1FABAA57" w14:textId="77777777" w:rsidR="004072E5" w:rsidRPr="00534FF2" w:rsidRDefault="004072E5" w:rsidP="004072E5">
      <w:pPr>
        <w:jc w:val="center"/>
        <w:rPr>
          <w:highlight w:val="yellow"/>
        </w:rPr>
      </w:pPr>
    </w:p>
    <w:tbl>
      <w:tblPr>
        <w:tblW w:w="5000" w:type="pct"/>
        <w:tblCellMar>
          <w:left w:w="43" w:type="dxa"/>
          <w:right w:w="43" w:type="dxa"/>
        </w:tblCellMar>
        <w:tblLook w:val="0000" w:firstRow="0" w:lastRow="0" w:firstColumn="0" w:lastColumn="0" w:noHBand="0" w:noVBand="0"/>
      </w:tblPr>
      <w:tblGrid>
        <w:gridCol w:w="2075"/>
        <w:gridCol w:w="92"/>
        <w:gridCol w:w="2514"/>
        <w:gridCol w:w="94"/>
        <w:gridCol w:w="3100"/>
        <w:gridCol w:w="105"/>
        <w:gridCol w:w="1380"/>
      </w:tblGrid>
      <w:tr w:rsidR="004072E5" w:rsidRPr="00534FF2" w14:paraId="125773EA" w14:textId="77777777" w:rsidTr="008D1729">
        <w:trPr>
          <w:trHeight w:val="432"/>
        </w:trPr>
        <w:tc>
          <w:tcPr>
            <w:tcW w:w="1109" w:type="pct"/>
            <w:tcBorders>
              <w:top w:val="single" w:sz="4" w:space="0" w:color="auto"/>
              <w:bottom w:val="single" w:sz="4" w:space="0" w:color="auto"/>
            </w:tcBorders>
            <w:vAlign w:val="center"/>
          </w:tcPr>
          <w:p w14:paraId="17B2A167" w14:textId="77777777" w:rsidR="004072E5" w:rsidRPr="00534FF2" w:rsidRDefault="004072E5" w:rsidP="00A8418B">
            <w:pPr>
              <w:spacing w:after="0"/>
              <w:jc w:val="center"/>
              <w:rPr>
                <w:rFonts w:eastAsia="Calibri"/>
              </w:rPr>
            </w:pPr>
            <w:r w:rsidRPr="00534FF2">
              <w:rPr>
                <w:sz w:val="22"/>
                <w:szCs w:val="22"/>
              </w:rPr>
              <w:t>Title</w:t>
            </w:r>
          </w:p>
        </w:tc>
        <w:tc>
          <w:tcPr>
            <w:tcW w:w="49" w:type="pct"/>
            <w:tcBorders>
              <w:top w:val="single" w:sz="4" w:space="0" w:color="auto"/>
              <w:bottom w:val="single" w:sz="4" w:space="0" w:color="auto"/>
            </w:tcBorders>
          </w:tcPr>
          <w:p w14:paraId="3AE69F12" w14:textId="77777777" w:rsidR="004072E5" w:rsidRPr="00534FF2" w:rsidRDefault="004072E5" w:rsidP="00A8418B">
            <w:pPr>
              <w:spacing w:after="0"/>
              <w:jc w:val="center"/>
            </w:pPr>
          </w:p>
        </w:tc>
        <w:tc>
          <w:tcPr>
            <w:tcW w:w="1343" w:type="pct"/>
            <w:tcBorders>
              <w:top w:val="single" w:sz="4" w:space="0" w:color="auto"/>
              <w:bottom w:val="single" w:sz="4" w:space="0" w:color="auto"/>
            </w:tcBorders>
            <w:vAlign w:val="center"/>
          </w:tcPr>
          <w:p w14:paraId="3C714749" w14:textId="77777777" w:rsidR="004072E5" w:rsidRPr="00534FF2" w:rsidRDefault="004072E5" w:rsidP="00A8418B">
            <w:pPr>
              <w:spacing w:after="0"/>
              <w:jc w:val="center"/>
            </w:pPr>
            <w:r w:rsidRPr="00534FF2">
              <w:rPr>
                <w:sz w:val="22"/>
                <w:szCs w:val="22"/>
              </w:rPr>
              <w:t>Name</w:t>
            </w:r>
          </w:p>
        </w:tc>
        <w:tc>
          <w:tcPr>
            <w:tcW w:w="50" w:type="pct"/>
            <w:tcBorders>
              <w:top w:val="single" w:sz="4" w:space="0" w:color="auto"/>
            </w:tcBorders>
          </w:tcPr>
          <w:p w14:paraId="60C89BE0" w14:textId="77777777" w:rsidR="004072E5" w:rsidRPr="00534FF2" w:rsidRDefault="004072E5" w:rsidP="00A8418B">
            <w:pPr>
              <w:spacing w:after="0"/>
              <w:jc w:val="center"/>
            </w:pPr>
          </w:p>
        </w:tc>
        <w:tc>
          <w:tcPr>
            <w:tcW w:w="1656" w:type="pct"/>
            <w:tcBorders>
              <w:top w:val="single" w:sz="4" w:space="0" w:color="auto"/>
              <w:bottom w:val="single" w:sz="4" w:space="0" w:color="auto"/>
            </w:tcBorders>
            <w:vAlign w:val="center"/>
          </w:tcPr>
          <w:p w14:paraId="0B10D0D9" w14:textId="77777777" w:rsidR="004072E5" w:rsidRPr="00534FF2" w:rsidRDefault="004072E5" w:rsidP="00A8418B">
            <w:pPr>
              <w:spacing w:after="0"/>
              <w:jc w:val="center"/>
              <w:rPr>
                <w:rFonts w:eastAsia="Calibri"/>
              </w:rPr>
            </w:pPr>
            <w:r w:rsidRPr="00534FF2">
              <w:rPr>
                <w:sz w:val="22"/>
                <w:szCs w:val="22"/>
              </w:rPr>
              <w:t>Signature</w:t>
            </w:r>
          </w:p>
        </w:tc>
        <w:tc>
          <w:tcPr>
            <w:tcW w:w="56" w:type="pct"/>
            <w:tcBorders>
              <w:top w:val="single" w:sz="4" w:space="0" w:color="auto"/>
            </w:tcBorders>
            <w:vAlign w:val="center"/>
          </w:tcPr>
          <w:p w14:paraId="1F28BA99" w14:textId="77777777" w:rsidR="004072E5" w:rsidRPr="00534FF2" w:rsidRDefault="004072E5" w:rsidP="00A8418B">
            <w:pPr>
              <w:spacing w:after="0"/>
              <w:jc w:val="center"/>
            </w:pPr>
          </w:p>
        </w:tc>
        <w:tc>
          <w:tcPr>
            <w:tcW w:w="737" w:type="pct"/>
            <w:tcBorders>
              <w:top w:val="single" w:sz="4" w:space="0" w:color="auto"/>
              <w:bottom w:val="single" w:sz="4" w:space="0" w:color="auto"/>
            </w:tcBorders>
            <w:vAlign w:val="center"/>
          </w:tcPr>
          <w:p w14:paraId="788B4809" w14:textId="77777777" w:rsidR="004072E5" w:rsidRPr="00534FF2" w:rsidRDefault="004072E5" w:rsidP="00A8418B">
            <w:pPr>
              <w:spacing w:after="0"/>
              <w:jc w:val="center"/>
            </w:pPr>
            <w:r w:rsidRPr="00534FF2">
              <w:rPr>
                <w:sz w:val="22"/>
                <w:szCs w:val="22"/>
              </w:rPr>
              <w:t>Date</w:t>
            </w:r>
          </w:p>
        </w:tc>
      </w:tr>
      <w:tr w:rsidR="004072E5" w:rsidRPr="00534FF2" w14:paraId="52D329F6" w14:textId="77777777" w:rsidTr="008D1729">
        <w:trPr>
          <w:trHeight w:val="432"/>
        </w:trPr>
        <w:tc>
          <w:tcPr>
            <w:tcW w:w="1109" w:type="pct"/>
            <w:tcBorders>
              <w:top w:val="single" w:sz="4" w:space="0" w:color="auto"/>
              <w:bottom w:val="single" w:sz="4" w:space="0" w:color="auto"/>
            </w:tcBorders>
            <w:vAlign w:val="bottom"/>
          </w:tcPr>
          <w:p w14:paraId="40068830" w14:textId="77777777" w:rsidR="004072E5" w:rsidRPr="00534FF2" w:rsidRDefault="004072E5" w:rsidP="00A8418B">
            <w:pPr>
              <w:spacing w:after="0"/>
              <w:jc w:val="left"/>
              <w:rPr>
                <w:rFonts w:eastAsia="Calibri"/>
              </w:rPr>
            </w:pPr>
            <w:r w:rsidRPr="00534FF2">
              <w:rPr>
                <w:sz w:val="22"/>
                <w:szCs w:val="22"/>
              </w:rPr>
              <w:t>Project leader</w:t>
            </w:r>
          </w:p>
        </w:tc>
        <w:tc>
          <w:tcPr>
            <w:tcW w:w="49" w:type="pct"/>
            <w:tcBorders>
              <w:top w:val="single" w:sz="4" w:space="0" w:color="auto"/>
            </w:tcBorders>
            <w:vAlign w:val="center"/>
          </w:tcPr>
          <w:p w14:paraId="55A36B68" w14:textId="77777777" w:rsidR="004072E5" w:rsidRPr="00534FF2" w:rsidDel="00213BA3" w:rsidRDefault="004072E5" w:rsidP="00A8418B">
            <w:pPr>
              <w:spacing w:after="0"/>
              <w:jc w:val="center"/>
              <w:rPr>
                <w:rFonts w:eastAsia="Calibri"/>
                <w:highlight w:val="yellow"/>
                <w:u w:val="single"/>
              </w:rPr>
            </w:pPr>
          </w:p>
        </w:tc>
        <w:tc>
          <w:tcPr>
            <w:tcW w:w="1343" w:type="pct"/>
            <w:tcBorders>
              <w:bottom w:val="single" w:sz="4" w:space="0" w:color="auto"/>
            </w:tcBorders>
            <w:vAlign w:val="bottom"/>
          </w:tcPr>
          <w:p w14:paraId="795C6A0A" w14:textId="77777777" w:rsidR="004072E5" w:rsidRPr="00534FF2" w:rsidRDefault="00534FF2" w:rsidP="00FF6D7E">
            <w:pPr>
              <w:spacing w:after="0"/>
              <w:jc w:val="center"/>
              <w:rPr>
                <w:rFonts w:eastAsia="Calibri"/>
                <w:highlight w:val="yellow"/>
              </w:rPr>
            </w:pPr>
            <w:r w:rsidRPr="00534FF2">
              <w:rPr>
                <w:rFonts w:eastAsia="Calibri"/>
              </w:rPr>
              <w:t>Sarah Webster</w:t>
            </w:r>
          </w:p>
        </w:tc>
        <w:tc>
          <w:tcPr>
            <w:tcW w:w="50" w:type="pct"/>
            <w:vAlign w:val="center"/>
          </w:tcPr>
          <w:p w14:paraId="695D0C19" w14:textId="77777777" w:rsidR="004072E5" w:rsidRPr="00534FF2" w:rsidRDefault="004072E5" w:rsidP="00A8418B">
            <w:pPr>
              <w:spacing w:after="0"/>
              <w:jc w:val="center"/>
              <w:rPr>
                <w:rFonts w:eastAsia="Calibri"/>
                <w:highlight w:val="yellow"/>
                <w:u w:val="single"/>
              </w:rPr>
            </w:pPr>
          </w:p>
        </w:tc>
        <w:tc>
          <w:tcPr>
            <w:tcW w:w="1656" w:type="pct"/>
            <w:tcBorders>
              <w:top w:val="single" w:sz="4" w:space="0" w:color="auto"/>
              <w:bottom w:val="single" w:sz="4" w:space="0" w:color="auto"/>
            </w:tcBorders>
            <w:vAlign w:val="center"/>
          </w:tcPr>
          <w:p w14:paraId="31A60EB3" w14:textId="77777777" w:rsidR="004072E5" w:rsidRPr="00534FF2" w:rsidRDefault="004072E5" w:rsidP="00A8418B">
            <w:pPr>
              <w:spacing w:after="0"/>
              <w:jc w:val="center"/>
              <w:rPr>
                <w:rFonts w:eastAsia="Calibri"/>
                <w:highlight w:val="yellow"/>
              </w:rPr>
            </w:pPr>
          </w:p>
        </w:tc>
        <w:tc>
          <w:tcPr>
            <w:tcW w:w="56" w:type="pct"/>
            <w:vAlign w:val="center"/>
          </w:tcPr>
          <w:p w14:paraId="4A8EA6EB" w14:textId="77777777" w:rsidR="004072E5" w:rsidRPr="00534FF2" w:rsidRDefault="004072E5" w:rsidP="00A8418B">
            <w:pPr>
              <w:spacing w:after="0"/>
              <w:jc w:val="center"/>
              <w:rPr>
                <w:rFonts w:eastAsia="Calibri"/>
                <w:highlight w:val="yellow"/>
                <w:u w:val="single"/>
              </w:rPr>
            </w:pPr>
          </w:p>
        </w:tc>
        <w:tc>
          <w:tcPr>
            <w:tcW w:w="737" w:type="pct"/>
            <w:tcBorders>
              <w:top w:val="single" w:sz="4" w:space="0" w:color="auto"/>
              <w:bottom w:val="single" w:sz="4" w:space="0" w:color="auto"/>
            </w:tcBorders>
            <w:vAlign w:val="center"/>
          </w:tcPr>
          <w:p w14:paraId="5DA6608F" w14:textId="77777777" w:rsidR="004072E5" w:rsidRPr="00534FF2" w:rsidRDefault="004072E5" w:rsidP="00A8418B">
            <w:pPr>
              <w:spacing w:after="0"/>
              <w:jc w:val="center"/>
              <w:rPr>
                <w:rFonts w:eastAsia="Calibri"/>
                <w:highlight w:val="yellow"/>
              </w:rPr>
            </w:pPr>
          </w:p>
        </w:tc>
      </w:tr>
      <w:tr w:rsidR="004072E5" w:rsidRPr="00534FF2" w14:paraId="3C29429A" w14:textId="77777777" w:rsidTr="008D1729">
        <w:trPr>
          <w:trHeight w:val="432"/>
        </w:trPr>
        <w:tc>
          <w:tcPr>
            <w:tcW w:w="1109" w:type="pct"/>
            <w:tcBorders>
              <w:top w:val="single" w:sz="4" w:space="0" w:color="auto"/>
              <w:bottom w:val="single" w:sz="4" w:space="0" w:color="auto"/>
            </w:tcBorders>
            <w:vAlign w:val="bottom"/>
          </w:tcPr>
          <w:p w14:paraId="09FD9E4F" w14:textId="77777777" w:rsidR="004072E5" w:rsidRPr="00534FF2" w:rsidRDefault="004072E5" w:rsidP="00A8418B">
            <w:pPr>
              <w:spacing w:after="0"/>
              <w:jc w:val="left"/>
              <w:rPr>
                <w:rFonts w:eastAsia="Calibri"/>
              </w:rPr>
            </w:pPr>
            <w:r w:rsidRPr="00534FF2">
              <w:rPr>
                <w:sz w:val="22"/>
                <w:szCs w:val="22"/>
              </w:rPr>
              <w:t>Biometrician</w:t>
            </w:r>
          </w:p>
        </w:tc>
        <w:tc>
          <w:tcPr>
            <w:tcW w:w="49" w:type="pct"/>
            <w:vAlign w:val="center"/>
          </w:tcPr>
          <w:p w14:paraId="61AEEB4E" w14:textId="77777777" w:rsidR="004072E5" w:rsidRPr="00534FF2" w:rsidRDefault="004072E5" w:rsidP="00A8418B">
            <w:pPr>
              <w:spacing w:after="0"/>
              <w:jc w:val="center"/>
              <w:rPr>
                <w:rFonts w:eastAsia="Calibri"/>
                <w:highlight w:val="yellow"/>
                <w:u w:val="single"/>
              </w:rPr>
            </w:pPr>
          </w:p>
        </w:tc>
        <w:tc>
          <w:tcPr>
            <w:tcW w:w="1343" w:type="pct"/>
            <w:tcBorders>
              <w:top w:val="single" w:sz="4" w:space="0" w:color="auto"/>
              <w:bottom w:val="single" w:sz="4" w:space="0" w:color="auto"/>
            </w:tcBorders>
            <w:vAlign w:val="bottom"/>
          </w:tcPr>
          <w:p w14:paraId="0E85E86E" w14:textId="37944398" w:rsidR="004072E5" w:rsidRPr="00534FF2" w:rsidRDefault="00965B86" w:rsidP="00A8418B">
            <w:pPr>
              <w:spacing w:after="0"/>
              <w:jc w:val="center"/>
              <w:rPr>
                <w:rFonts w:eastAsia="Calibri"/>
                <w:highlight w:val="yellow"/>
              </w:rPr>
            </w:pPr>
            <w:r w:rsidRPr="00965B86">
              <w:rPr>
                <w:rFonts w:eastAsia="Calibri"/>
              </w:rPr>
              <w:t>Benjamin Buzzee</w:t>
            </w:r>
          </w:p>
        </w:tc>
        <w:tc>
          <w:tcPr>
            <w:tcW w:w="50" w:type="pct"/>
            <w:vAlign w:val="center"/>
          </w:tcPr>
          <w:p w14:paraId="42327650" w14:textId="77777777" w:rsidR="004072E5" w:rsidRPr="00534FF2" w:rsidRDefault="004072E5" w:rsidP="00A8418B">
            <w:pPr>
              <w:spacing w:after="0"/>
              <w:jc w:val="center"/>
              <w:rPr>
                <w:rFonts w:eastAsia="Calibri"/>
                <w:highlight w:val="yellow"/>
                <w:u w:val="single"/>
              </w:rPr>
            </w:pPr>
          </w:p>
        </w:tc>
        <w:tc>
          <w:tcPr>
            <w:tcW w:w="1656" w:type="pct"/>
            <w:tcBorders>
              <w:top w:val="single" w:sz="4" w:space="0" w:color="auto"/>
              <w:bottom w:val="single" w:sz="4" w:space="0" w:color="auto"/>
            </w:tcBorders>
            <w:vAlign w:val="center"/>
          </w:tcPr>
          <w:p w14:paraId="24F1B74D" w14:textId="77777777" w:rsidR="004072E5" w:rsidRPr="00534FF2" w:rsidRDefault="004072E5" w:rsidP="00A8418B">
            <w:pPr>
              <w:spacing w:after="0"/>
              <w:jc w:val="center"/>
              <w:rPr>
                <w:rFonts w:eastAsia="Calibri"/>
                <w:highlight w:val="yellow"/>
              </w:rPr>
            </w:pPr>
          </w:p>
        </w:tc>
        <w:tc>
          <w:tcPr>
            <w:tcW w:w="56" w:type="pct"/>
            <w:vAlign w:val="center"/>
          </w:tcPr>
          <w:p w14:paraId="6811CF73" w14:textId="77777777" w:rsidR="004072E5" w:rsidRPr="00534FF2" w:rsidRDefault="004072E5" w:rsidP="00A8418B">
            <w:pPr>
              <w:spacing w:after="0"/>
              <w:jc w:val="center"/>
              <w:rPr>
                <w:rFonts w:eastAsia="Calibri"/>
                <w:highlight w:val="yellow"/>
                <w:u w:val="single"/>
              </w:rPr>
            </w:pPr>
          </w:p>
        </w:tc>
        <w:tc>
          <w:tcPr>
            <w:tcW w:w="737" w:type="pct"/>
            <w:tcBorders>
              <w:top w:val="single" w:sz="4" w:space="0" w:color="auto"/>
              <w:bottom w:val="single" w:sz="4" w:space="0" w:color="auto"/>
            </w:tcBorders>
            <w:vAlign w:val="center"/>
          </w:tcPr>
          <w:p w14:paraId="0E505DC0" w14:textId="77777777" w:rsidR="004072E5" w:rsidRPr="00534FF2" w:rsidRDefault="004072E5" w:rsidP="00A8418B">
            <w:pPr>
              <w:spacing w:after="0"/>
              <w:jc w:val="center"/>
              <w:rPr>
                <w:rFonts w:eastAsia="Calibri"/>
                <w:highlight w:val="yellow"/>
              </w:rPr>
            </w:pPr>
          </w:p>
        </w:tc>
      </w:tr>
      <w:tr w:rsidR="004072E5" w:rsidRPr="00534FF2" w14:paraId="19D8D7E5" w14:textId="77777777" w:rsidTr="008D1729">
        <w:trPr>
          <w:trHeight w:val="432"/>
        </w:trPr>
        <w:tc>
          <w:tcPr>
            <w:tcW w:w="1109" w:type="pct"/>
            <w:tcBorders>
              <w:top w:val="single" w:sz="4" w:space="0" w:color="auto"/>
              <w:bottom w:val="single" w:sz="4" w:space="0" w:color="auto"/>
            </w:tcBorders>
            <w:vAlign w:val="bottom"/>
          </w:tcPr>
          <w:p w14:paraId="15ECDC19" w14:textId="77777777" w:rsidR="004072E5" w:rsidRPr="00534FF2" w:rsidRDefault="004072E5" w:rsidP="00A8418B">
            <w:pPr>
              <w:spacing w:after="0"/>
              <w:jc w:val="left"/>
              <w:rPr>
                <w:rFonts w:eastAsia="Calibri"/>
              </w:rPr>
            </w:pPr>
            <w:r w:rsidRPr="00965B86">
              <w:rPr>
                <w:sz w:val="22"/>
                <w:szCs w:val="22"/>
                <w:highlight w:val="yellow"/>
              </w:rPr>
              <w:t>Research Coordinator</w:t>
            </w:r>
          </w:p>
        </w:tc>
        <w:tc>
          <w:tcPr>
            <w:tcW w:w="49" w:type="pct"/>
            <w:vAlign w:val="center"/>
          </w:tcPr>
          <w:p w14:paraId="3AC46FDE" w14:textId="77777777" w:rsidR="004072E5" w:rsidRPr="00534FF2" w:rsidRDefault="004072E5" w:rsidP="00A8418B">
            <w:pPr>
              <w:spacing w:after="0"/>
              <w:jc w:val="center"/>
              <w:rPr>
                <w:rFonts w:eastAsia="Calibri"/>
                <w:highlight w:val="yellow"/>
                <w:u w:val="single"/>
              </w:rPr>
            </w:pPr>
          </w:p>
        </w:tc>
        <w:tc>
          <w:tcPr>
            <w:tcW w:w="1343" w:type="pct"/>
            <w:tcBorders>
              <w:top w:val="single" w:sz="4" w:space="0" w:color="auto"/>
              <w:bottom w:val="single" w:sz="4" w:space="0" w:color="auto"/>
            </w:tcBorders>
            <w:vAlign w:val="bottom"/>
          </w:tcPr>
          <w:p w14:paraId="1D0467C0" w14:textId="7D1C6D4D" w:rsidR="004072E5" w:rsidRPr="00965B86" w:rsidRDefault="00965B86" w:rsidP="00A8418B">
            <w:pPr>
              <w:spacing w:after="0"/>
              <w:jc w:val="center"/>
              <w:rPr>
                <w:rFonts w:eastAsia="Calibri"/>
              </w:rPr>
            </w:pPr>
            <w:r w:rsidRPr="00965B86">
              <w:rPr>
                <w:rFonts w:eastAsia="Calibri"/>
              </w:rPr>
              <w:t>Kathrine Howard</w:t>
            </w:r>
          </w:p>
        </w:tc>
        <w:tc>
          <w:tcPr>
            <w:tcW w:w="50" w:type="pct"/>
            <w:vAlign w:val="center"/>
          </w:tcPr>
          <w:p w14:paraId="4D0CEAE5" w14:textId="77777777" w:rsidR="004072E5" w:rsidRPr="00534FF2" w:rsidRDefault="004072E5" w:rsidP="00A8418B">
            <w:pPr>
              <w:spacing w:after="0"/>
              <w:jc w:val="center"/>
              <w:rPr>
                <w:rFonts w:eastAsia="Calibri"/>
                <w:highlight w:val="yellow"/>
                <w:u w:val="single"/>
              </w:rPr>
            </w:pPr>
          </w:p>
        </w:tc>
        <w:tc>
          <w:tcPr>
            <w:tcW w:w="1656" w:type="pct"/>
            <w:tcBorders>
              <w:top w:val="single" w:sz="4" w:space="0" w:color="auto"/>
              <w:bottom w:val="single" w:sz="4" w:space="0" w:color="auto"/>
            </w:tcBorders>
            <w:vAlign w:val="center"/>
          </w:tcPr>
          <w:p w14:paraId="039C2B3C" w14:textId="77777777" w:rsidR="004072E5" w:rsidRPr="00534FF2" w:rsidRDefault="004072E5" w:rsidP="00A8418B">
            <w:pPr>
              <w:spacing w:after="0"/>
              <w:jc w:val="center"/>
              <w:rPr>
                <w:rFonts w:eastAsia="Calibri"/>
                <w:highlight w:val="yellow"/>
              </w:rPr>
            </w:pPr>
          </w:p>
        </w:tc>
        <w:tc>
          <w:tcPr>
            <w:tcW w:w="56" w:type="pct"/>
            <w:vAlign w:val="center"/>
          </w:tcPr>
          <w:p w14:paraId="193360AF" w14:textId="77777777" w:rsidR="004072E5" w:rsidRPr="00534FF2" w:rsidRDefault="004072E5" w:rsidP="00A8418B">
            <w:pPr>
              <w:spacing w:after="0"/>
              <w:jc w:val="center"/>
              <w:rPr>
                <w:rFonts w:eastAsia="Calibri"/>
                <w:highlight w:val="yellow"/>
                <w:u w:val="single"/>
              </w:rPr>
            </w:pPr>
          </w:p>
        </w:tc>
        <w:tc>
          <w:tcPr>
            <w:tcW w:w="737" w:type="pct"/>
            <w:tcBorders>
              <w:top w:val="single" w:sz="4" w:space="0" w:color="auto"/>
              <w:bottom w:val="single" w:sz="4" w:space="0" w:color="auto"/>
            </w:tcBorders>
            <w:vAlign w:val="center"/>
          </w:tcPr>
          <w:p w14:paraId="6310E2C7" w14:textId="77777777" w:rsidR="004072E5" w:rsidRPr="00534FF2" w:rsidRDefault="004072E5" w:rsidP="00A8418B">
            <w:pPr>
              <w:spacing w:after="0"/>
              <w:jc w:val="center"/>
              <w:rPr>
                <w:rFonts w:eastAsia="Calibri"/>
                <w:highlight w:val="yellow"/>
              </w:rPr>
            </w:pPr>
          </w:p>
        </w:tc>
      </w:tr>
      <w:tr w:rsidR="004072E5" w:rsidRPr="00534FF2" w14:paraId="245ECDE5" w14:textId="77777777" w:rsidTr="008D1729">
        <w:trPr>
          <w:trHeight w:val="432"/>
        </w:trPr>
        <w:tc>
          <w:tcPr>
            <w:tcW w:w="1109" w:type="pct"/>
            <w:tcBorders>
              <w:top w:val="single" w:sz="4" w:space="0" w:color="auto"/>
              <w:bottom w:val="single" w:sz="4" w:space="0" w:color="auto"/>
            </w:tcBorders>
            <w:vAlign w:val="bottom"/>
          </w:tcPr>
          <w:p w14:paraId="2EDF1960" w14:textId="77777777" w:rsidR="004072E5" w:rsidRPr="00534FF2" w:rsidRDefault="004072E5" w:rsidP="00A8418B">
            <w:pPr>
              <w:spacing w:after="0"/>
              <w:jc w:val="left"/>
              <w:rPr>
                <w:rFonts w:eastAsia="Calibri"/>
              </w:rPr>
            </w:pPr>
            <w:r w:rsidRPr="00534FF2">
              <w:rPr>
                <w:rFonts w:eastAsia="Calibri"/>
                <w:sz w:val="22"/>
                <w:szCs w:val="22"/>
              </w:rPr>
              <w:t>Regional Supervisor</w:t>
            </w:r>
          </w:p>
        </w:tc>
        <w:tc>
          <w:tcPr>
            <w:tcW w:w="49" w:type="pct"/>
            <w:vAlign w:val="center"/>
          </w:tcPr>
          <w:p w14:paraId="3FDD3FA8" w14:textId="77777777" w:rsidR="004072E5" w:rsidRPr="00534FF2" w:rsidRDefault="004072E5" w:rsidP="00A8418B">
            <w:pPr>
              <w:spacing w:after="0"/>
              <w:jc w:val="center"/>
              <w:rPr>
                <w:rFonts w:eastAsia="Calibri"/>
                <w:highlight w:val="yellow"/>
                <w:u w:val="single"/>
              </w:rPr>
            </w:pPr>
          </w:p>
        </w:tc>
        <w:tc>
          <w:tcPr>
            <w:tcW w:w="1343" w:type="pct"/>
            <w:tcBorders>
              <w:top w:val="single" w:sz="4" w:space="0" w:color="auto"/>
              <w:bottom w:val="single" w:sz="4" w:space="0" w:color="auto"/>
            </w:tcBorders>
            <w:vAlign w:val="bottom"/>
          </w:tcPr>
          <w:p w14:paraId="25DFEA52" w14:textId="77777777" w:rsidR="004072E5" w:rsidRPr="00534FF2" w:rsidRDefault="00FF6D7E" w:rsidP="00A8418B">
            <w:pPr>
              <w:spacing w:after="0"/>
              <w:jc w:val="center"/>
              <w:rPr>
                <w:rFonts w:eastAsia="Calibri"/>
                <w:highlight w:val="yellow"/>
              </w:rPr>
            </w:pPr>
            <w:r w:rsidRPr="00534FF2">
              <w:rPr>
                <w:rFonts w:eastAsia="Calibri"/>
              </w:rPr>
              <w:t>James Hasbrouck</w:t>
            </w:r>
          </w:p>
        </w:tc>
        <w:tc>
          <w:tcPr>
            <w:tcW w:w="50" w:type="pct"/>
            <w:vAlign w:val="center"/>
          </w:tcPr>
          <w:p w14:paraId="1A2D20E9" w14:textId="77777777" w:rsidR="004072E5" w:rsidRPr="00534FF2" w:rsidRDefault="004072E5" w:rsidP="00A8418B">
            <w:pPr>
              <w:spacing w:after="0"/>
              <w:jc w:val="center"/>
              <w:rPr>
                <w:rFonts w:eastAsia="Calibri"/>
                <w:highlight w:val="yellow"/>
                <w:u w:val="single"/>
              </w:rPr>
            </w:pPr>
          </w:p>
        </w:tc>
        <w:tc>
          <w:tcPr>
            <w:tcW w:w="1656" w:type="pct"/>
            <w:tcBorders>
              <w:top w:val="single" w:sz="4" w:space="0" w:color="auto"/>
              <w:bottom w:val="single" w:sz="4" w:space="0" w:color="auto"/>
            </w:tcBorders>
            <w:vAlign w:val="center"/>
          </w:tcPr>
          <w:p w14:paraId="50544B4F" w14:textId="77777777" w:rsidR="004072E5" w:rsidRPr="00534FF2" w:rsidRDefault="004072E5" w:rsidP="00A8418B">
            <w:pPr>
              <w:spacing w:after="0"/>
              <w:jc w:val="center"/>
              <w:rPr>
                <w:rFonts w:eastAsia="Calibri"/>
                <w:highlight w:val="yellow"/>
              </w:rPr>
            </w:pPr>
          </w:p>
        </w:tc>
        <w:tc>
          <w:tcPr>
            <w:tcW w:w="56" w:type="pct"/>
            <w:vAlign w:val="center"/>
          </w:tcPr>
          <w:p w14:paraId="4CD9E62C" w14:textId="77777777" w:rsidR="004072E5" w:rsidRPr="00534FF2" w:rsidRDefault="004072E5" w:rsidP="00A8418B">
            <w:pPr>
              <w:spacing w:after="0"/>
              <w:jc w:val="center"/>
              <w:rPr>
                <w:rFonts w:eastAsia="Calibri"/>
                <w:highlight w:val="yellow"/>
                <w:u w:val="single"/>
              </w:rPr>
            </w:pPr>
          </w:p>
        </w:tc>
        <w:tc>
          <w:tcPr>
            <w:tcW w:w="737" w:type="pct"/>
            <w:tcBorders>
              <w:top w:val="single" w:sz="4" w:space="0" w:color="auto"/>
              <w:bottom w:val="single" w:sz="4" w:space="0" w:color="auto"/>
            </w:tcBorders>
            <w:vAlign w:val="center"/>
          </w:tcPr>
          <w:p w14:paraId="5E6002F8" w14:textId="77777777" w:rsidR="004072E5" w:rsidRPr="00534FF2" w:rsidRDefault="004072E5" w:rsidP="00A8418B">
            <w:pPr>
              <w:spacing w:after="0"/>
              <w:jc w:val="center"/>
              <w:rPr>
                <w:rFonts w:eastAsia="Calibri"/>
                <w:highlight w:val="yellow"/>
              </w:rPr>
            </w:pPr>
          </w:p>
        </w:tc>
      </w:tr>
    </w:tbl>
    <w:p w14:paraId="640D8FF3" w14:textId="77777777" w:rsidR="004072E5" w:rsidRPr="00534FF2" w:rsidRDefault="004072E5" w:rsidP="004072E5">
      <w:pPr>
        <w:rPr>
          <w:highlight w:val="yellow"/>
        </w:rPr>
      </w:pPr>
    </w:p>
    <w:p w14:paraId="77583B3C" w14:textId="77777777" w:rsidR="0040023D" w:rsidRPr="00534FF2" w:rsidRDefault="0040023D" w:rsidP="004072E5">
      <w:pPr>
        <w:rPr>
          <w:highlight w:val="yellow"/>
        </w:rPr>
      </w:pPr>
      <w:r w:rsidRPr="00534FF2">
        <w:rPr>
          <w:highlight w:val="yellow"/>
        </w:rPr>
        <w:br w:type="page"/>
      </w:r>
    </w:p>
    <w:p w14:paraId="0EE56476" w14:textId="77777777" w:rsidR="004072E5" w:rsidRPr="00534FF2" w:rsidRDefault="004072E5" w:rsidP="004072E5">
      <w:pPr>
        <w:rPr>
          <w:highlight w:val="yellow"/>
        </w:rPr>
      </w:pPr>
    </w:p>
    <w:p w14:paraId="114BB97E" w14:textId="77777777" w:rsidR="00C00D2A" w:rsidRPr="00534FF2" w:rsidRDefault="00C00D2A" w:rsidP="00C00D2A">
      <w:pPr>
        <w:pStyle w:val="TOCHeader"/>
      </w:pPr>
      <w:commentRangeStart w:id="5"/>
      <w:r w:rsidRPr="00534FF2">
        <w:t>TABLE OF CONTENTS</w:t>
      </w:r>
      <w:commentRangeEnd w:id="5"/>
      <w:r w:rsidR="006C7219">
        <w:rPr>
          <w:rStyle w:val="CommentReference"/>
          <w:b w:val="0"/>
          <w:noProof w:val="0"/>
        </w:rPr>
        <w:commentReference w:id="5"/>
      </w:r>
    </w:p>
    <w:p w14:paraId="2117DA36" w14:textId="77777777" w:rsidR="00C00D2A" w:rsidRPr="00534FF2" w:rsidRDefault="00C00D2A" w:rsidP="00C00D2A">
      <w:pPr>
        <w:pStyle w:val="Table-Footnote"/>
        <w:rPr>
          <w:sz w:val="18"/>
          <w:szCs w:val="18"/>
          <w:highlight w:val="yellow"/>
        </w:rPr>
      </w:pPr>
    </w:p>
    <w:p w14:paraId="2B1B0F61" w14:textId="77777777" w:rsidR="00C00D2A" w:rsidRPr="0038148D" w:rsidRDefault="00C00D2A" w:rsidP="00C00D2A">
      <w:pPr>
        <w:pStyle w:val="List-Page"/>
        <w:spacing w:after="120"/>
        <w:jc w:val="right"/>
      </w:pPr>
      <w:r w:rsidRPr="0038148D">
        <w:t>Page</w:t>
      </w:r>
    </w:p>
    <w:p w14:paraId="4829B3D6" w14:textId="1B00E17A" w:rsidR="00631984" w:rsidRPr="0038148D" w:rsidRDefault="00846B6C">
      <w:pPr>
        <w:pStyle w:val="TOC1"/>
        <w:rPr>
          <w:rFonts w:asciiTheme="minorHAnsi" w:eastAsiaTheme="minorEastAsia" w:hAnsiTheme="minorHAnsi" w:cstheme="minorBidi"/>
          <w:caps w:val="0"/>
          <w:noProof/>
          <w:sz w:val="22"/>
          <w:szCs w:val="22"/>
        </w:rPr>
      </w:pPr>
      <w:r w:rsidRPr="0038148D">
        <w:rPr>
          <w:caps w:val="0"/>
        </w:rPr>
        <w:fldChar w:fldCharType="begin"/>
      </w:r>
      <w:r w:rsidR="00871162" w:rsidRPr="0038148D">
        <w:rPr>
          <w:caps w:val="0"/>
        </w:rPr>
        <w:instrText xml:space="preserve"> TOC \o "1-3" \h \z \u </w:instrText>
      </w:r>
      <w:r w:rsidRPr="0038148D">
        <w:rPr>
          <w:caps w:val="0"/>
        </w:rPr>
        <w:fldChar w:fldCharType="separate"/>
      </w:r>
      <w:hyperlink w:anchor="_Toc398217598" w:history="1">
        <w:r w:rsidR="00631984" w:rsidRPr="0038148D">
          <w:rPr>
            <w:rStyle w:val="Hyperlink"/>
            <w:noProof/>
          </w:rPr>
          <w:t>LIST OF TABLES</w:t>
        </w:r>
        <w:r w:rsidR="00631984" w:rsidRPr="0038148D">
          <w:rPr>
            <w:noProof/>
            <w:webHidden/>
          </w:rPr>
          <w:tab/>
        </w:r>
        <w:r w:rsidR="00831795" w:rsidRPr="0038148D">
          <w:rPr>
            <w:caps w:val="0"/>
            <w:noProof/>
            <w:webHidden/>
          </w:rPr>
          <w:t>iii</w:t>
        </w:r>
      </w:hyperlink>
    </w:p>
    <w:p w14:paraId="02E4EA0B" w14:textId="279AB4CD" w:rsidR="00631984" w:rsidRPr="0038148D" w:rsidRDefault="000B0B97">
      <w:pPr>
        <w:pStyle w:val="TOC1"/>
        <w:rPr>
          <w:rFonts w:asciiTheme="minorHAnsi" w:eastAsiaTheme="minorEastAsia" w:hAnsiTheme="minorHAnsi" w:cstheme="minorBidi"/>
          <w:caps w:val="0"/>
          <w:noProof/>
          <w:sz w:val="22"/>
          <w:szCs w:val="22"/>
        </w:rPr>
      </w:pPr>
      <w:hyperlink w:anchor="_Toc398217599" w:history="1">
        <w:r w:rsidR="00631984" w:rsidRPr="0038148D">
          <w:rPr>
            <w:rStyle w:val="Hyperlink"/>
            <w:noProof/>
          </w:rPr>
          <w:t>LIST OF FIGURES</w:t>
        </w:r>
        <w:r w:rsidR="00631984" w:rsidRPr="0038148D">
          <w:rPr>
            <w:noProof/>
            <w:webHidden/>
          </w:rPr>
          <w:tab/>
        </w:r>
        <w:r w:rsidR="00831795" w:rsidRPr="0038148D">
          <w:rPr>
            <w:caps w:val="0"/>
            <w:noProof/>
            <w:webHidden/>
          </w:rPr>
          <w:t>iii</w:t>
        </w:r>
        <w:r w:rsidR="00831795" w:rsidRPr="0038148D">
          <w:rPr>
            <w:noProof/>
          </w:rPr>
          <w:t xml:space="preserve"> </w:t>
        </w:r>
      </w:hyperlink>
    </w:p>
    <w:p w14:paraId="22F35E8C" w14:textId="5172887A" w:rsidR="00631984" w:rsidRPr="0038148D" w:rsidRDefault="000B0B97">
      <w:pPr>
        <w:pStyle w:val="TOC1"/>
        <w:rPr>
          <w:rFonts w:asciiTheme="minorHAnsi" w:eastAsiaTheme="minorEastAsia" w:hAnsiTheme="minorHAnsi" w:cstheme="minorBidi"/>
          <w:caps w:val="0"/>
          <w:noProof/>
          <w:sz w:val="22"/>
          <w:szCs w:val="22"/>
        </w:rPr>
      </w:pPr>
      <w:hyperlink w:anchor="_Toc398217600" w:history="1">
        <w:r w:rsidR="00631984" w:rsidRPr="0038148D">
          <w:rPr>
            <w:rStyle w:val="Hyperlink"/>
            <w:noProof/>
          </w:rPr>
          <w:t>LIST OF APPENDICES</w:t>
        </w:r>
        <w:r w:rsidR="00631984" w:rsidRPr="0038148D">
          <w:rPr>
            <w:noProof/>
            <w:webHidden/>
          </w:rPr>
          <w:tab/>
        </w:r>
        <w:r w:rsidR="00846B6C" w:rsidRPr="0038148D">
          <w:rPr>
            <w:caps w:val="0"/>
            <w:noProof/>
            <w:webHidden/>
          </w:rPr>
          <w:fldChar w:fldCharType="begin"/>
        </w:r>
        <w:r w:rsidR="00631984" w:rsidRPr="0038148D">
          <w:rPr>
            <w:caps w:val="0"/>
            <w:noProof/>
            <w:webHidden/>
          </w:rPr>
          <w:instrText xml:space="preserve"> PAGEREF _Toc398217600 \h </w:instrText>
        </w:r>
        <w:r w:rsidR="00846B6C" w:rsidRPr="0038148D">
          <w:rPr>
            <w:caps w:val="0"/>
            <w:noProof/>
            <w:webHidden/>
          </w:rPr>
        </w:r>
        <w:r w:rsidR="00846B6C" w:rsidRPr="0038148D">
          <w:rPr>
            <w:caps w:val="0"/>
            <w:noProof/>
            <w:webHidden/>
          </w:rPr>
          <w:fldChar w:fldCharType="separate"/>
        </w:r>
        <w:r w:rsidR="00831795" w:rsidRPr="0038148D">
          <w:rPr>
            <w:caps w:val="0"/>
            <w:noProof/>
            <w:webHidden/>
          </w:rPr>
          <w:t>iii</w:t>
        </w:r>
        <w:r w:rsidR="00846B6C" w:rsidRPr="0038148D">
          <w:rPr>
            <w:caps w:val="0"/>
            <w:noProof/>
            <w:webHidden/>
          </w:rPr>
          <w:fldChar w:fldCharType="end"/>
        </w:r>
      </w:hyperlink>
    </w:p>
    <w:p w14:paraId="6D7EDD54" w14:textId="6C154A6F" w:rsidR="00631984" w:rsidRPr="0038148D" w:rsidRDefault="000B0B97">
      <w:pPr>
        <w:pStyle w:val="TOC1"/>
        <w:rPr>
          <w:rFonts w:asciiTheme="minorHAnsi" w:eastAsiaTheme="minorEastAsia" w:hAnsiTheme="minorHAnsi" w:cstheme="minorBidi"/>
          <w:caps w:val="0"/>
          <w:noProof/>
          <w:sz w:val="22"/>
          <w:szCs w:val="22"/>
        </w:rPr>
      </w:pPr>
      <w:hyperlink w:anchor="_Toc398217601" w:history="1">
        <w:r w:rsidR="00631984" w:rsidRPr="0038148D">
          <w:rPr>
            <w:rStyle w:val="Hyperlink"/>
            <w:noProof/>
          </w:rPr>
          <w:t>Purpose</w:t>
        </w:r>
        <w:r w:rsidR="00631984" w:rsidRPr="0038148D">
          <w:rPr>
            <w:noProof/>
            <w:webHidden/>
          </w:rPr>
          <w:tab/>
        </w:r>
        <w:r w:rsidR="00831795" w:rsidRPr="0038148D">
          <w:rPr>
            <w:noProof/>
            <w:webHidden/>
          </w:rPr>
          <w:t>1</w:t>
        </w:r>
      </w:hyperlink>
    </w:p>
    <w:p w14:paraId="36FDC066" w14:textId="10D9216E" w:rsidR="00631984" w:rsidRPr="0038148D" w:rsidRDefault="000B0B97">
      <w:pPr>
        <w:pStyle w:val="TOC1"/>
        <w:rPr>
          <w:rFonts w:asciiTheme="minorHAnsi" w:eastAsiaTheme="minorEastAsia" w:hAnsiTheme="minorHAnsi" w:cstheme="minorBidi"/>
          <w:caps w:val="0"/>
          <w:noProof/>
          <w:sz w:val="22"/>
          <w:szCs w:val="22"/>
        </w:rPr>
      </w:pPr>
      <w:hyperlink w:anchor="_Toc398217602" w:history="1">
        <w:r w:rsidR="00631984" w:rsidRPr="0038148D">
          <w:rPr>
            <w:rStyle w:val="Hyperlink"/>
            <w:noProof/>
          </w:rPr>
          <w:t>Background</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_Toc398217602 \h </w:instrText>
        </w:r>
        <w:r w:rsidR="00846B6C" w:rsidRPr="0038148D">
          <w:rPr>
            <w:noProof/>
            <w:webHidden/>
          </w:rPr>
        </w:r>
        <w:r w:rsidR="00846B6C" w:rsidRPr="0038148D">
          <w:rPr>
            <w:noProof/>
            <w:webHidden/>
          </w:rPr>
          <w:fldChar w:fldCharType="separate"/>
        </w:r>
        <w:r w:rsidR="00831795" w:rsidRPr="0038148D">
          <w:rPr>
            <w:noProof/>
            <w:webHidden/>
          </w:rPr>
          <w:t>1</w:t>
        </w:r>
        <w:r w:rsidR="00846B6C" w:rsidRPr="0038148D">
          <w:rPr>
            <w:noProof/>
            <w:webHidden/>
          </w:rPr>
          <w:fldChar w:fldCharType="end"/>
        </w:r>
      </w:hyperlink>
    </w:p>
    <w:p w14:paraId="52D75E33" w14:textId="77777777" w:rsidR="0038148D" w:rsidRPr="0038148D" w:rsidRDefault="0038148D" w:rsidP="0038148D">
      <w:pPr>
        <w:pStyle w:val="TOC1"/>
      </w:pPr>
      <w:r w:rsidRPr="0038148D">
        <w:t xml:space="preserve">Primary </w:t>
      </w:r>
      <w:hyperlink w:anchor="_Toc398217603" w:history="1">
        <w:r w:rsidR="00631984" w:rsidRPr="0038148D">
          <w:rPr>
            <w:rStyle w:val="Hyperlink"/>
            <w:noProof/>
          </w:rPr>
          <w:t>Objectives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_Toc398217603 \h </w:instrText>
        </w:r>
        <w:r w:rsidR="00846B6C" w:rsidRPr="0038148D">
          <w:rPr>
            <w:noProof/>
            <w:webHidden/>
          </w:rPr>
        </w:r>
        <w:r w:rsidR="00846B6C" w:rsidRPr="0038148D">
          <w:rPr>
            <w:noProof/>
            <w:webHidden/>
          </w:rPr>
          <w:fldChar w:fldCharType="separate"/>
        </w:r>
        <w:r w:rsidR="00831795" w:rsidRPr="0038148D">
          <w:rPr>
            <w:noProof/>
            <w:webHidden/>
          </w:rPr>
          <w:t>4</w:t>
        </w:r>
        <w:r w:rsidR="00846B6C" w:rsidRPr="0038148D">
          <w:rPr>
            <w:noProof/>
            <w:webHidden/>
          </w:rPr>
          <w:fldChar w:fldCharType="end"/>
        </w:r>
      </w:hyperlink>
      <w:r w:rsidRPr="0038148D">
        <w:t xml:space="preserve"> </w:t>
      </w:r>
    </w:p>
    <w:p w14:paraId="3FCADDA6" w14:textId="0A828AB6" w:rsidR="00631984" w:rsidRPr="0038148D" w:rsidRDefault="0038148D">
      <w:pPr>
        <w:pStyle w:val="TOC1"/>
        <w:rPr>
          <w:rFonts w:asciiTheme="minorHAnsi" w:eastAsiaTheme="minorEastAsia" w:hAnsiTheme="minorHAnsi" w:cstheme="minorBidi"/>
          <w:caps w:val="0"/>
          <w:noProof/>
          <w:sz w:val="22"/>
          <w:szCs w:val="22"/>
        </w:rPr>
      </w:pPr>
      <w:r w:rsidRPr="0038148D">
        <w:t xml:space="preserve">Secondary </w:t>
      </w:r>
      <w:hyperlink w:anchor="_Toc398217603" w:history="1">
        <w:r w:rsidRPr="0038148D">
          <w:rPr>
            <w:rStyle w:val="Hyperlink"/>
            <w:noProof/>
          </w:rPr>
          <w:t>Objectives</w:t>
        </w:r>
        <w:r w:rsidRPr="0038148D">
          <w:rPr>
            <w:noProof/>
            <w:webHidden/>
          </w:rPr>
          <w:tab/>
        </w:r>
        <w:r w:rsidRPr="0038148D">
          <w:rPr>
            <w:noProof/>
            <w:webHidden/>
          </w:rPr>
          <w:fldChar w:fldCharType="begin"/>
        </w:r>
        <w:r w:rsidRPr="0038148D">
          <w:rPr>
            <w:noProof/>
            <w:webHidden/>
          </w:rPr>
          <w:instrText xml:space="preserve"> PAGEREF _Toc398217603 \h </w:instrText>
        </w:r>
        <w:r w:rsidRPr="0038148D">
          <w:rPr>
            <w:noProof/>
            <w:webHidden/>
          </w:rPr>
        </w:r>
        <w:r w:rsidRPr="0038148D">
          <w:rPr>
            <w:noProof/>
            <w:webHidden/>
          </w:rPr>
          <w:fldChar w:fldCharType="separate"/>
        </w:r>
        <w:r w:rsidRPr="0038148D">
          <w:rPr>
            <w:noProof/>
            <w:webHidden/>
          </w:rPr>
          <w:t>4</w:t>
        </w:r>
        <w:r w:rsidRPr="0038148D">
          <w:rPr>
            <w:noProof/>
            <w:webHidden/>
          </w:rPr>
          <w:fldChar w:fldCharType="end"/>
        </w:r>
      </w:hyperlink>
    </w:p>
    <w:p w14:paraId="64A605EA" w14:textId="71B9844B" w:rsidR="00631984" w:rsidRPr="0038148D" w:rsidRDefault="000B0B97">
      <w:pPr>
        <w:pStyle w:val="TOC1"/>
        <w:rPr>
          <w:rFonts w:asciiTheme="minorHAnsi" w:eastAsiaTheme="minorEastAsia" w:hAnsiTheme="minorHAnsi" w:cstheme="minorBidi"/>
          <w:caps w:val="0"/>
          <w:noProof/>
          <w:sz w:val="22"/>
          <w:szCs w:val="22"/>
        </w:rPr>
      </w:pPr>
      <w:hyperlink w:anchor="_Toc398217604" w:history="1">
        <w:r w:rsidR="00631984" w:rsidRPr="0038148D">
          <w:rPr>
            <w:rStyle w:val="Hyperlink"/>
            <w:noProof/>
          </w:rPr>
          <w:t>Methods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_Toc398217604 \h </w:instrText>
        </w:r>
        <w:r w:rsidR="00846B6C" w:rsidRPr="0038148D">
          <w:rPr>
            <w:noProof/>
            <w:webHidden/>
          </w:rPr>
        </w:r>
        <w:r w:rsidR="00846B6C" w:rsidRPr="0038148D">
          <w:rPr>
            <w:noProof/>
            <w:webHidden/>
          </w:rPr>
          <w:fldChar w:fldCharType="separate"/>
        </w:r>
        <w:r w:rsidR="00831795" w:rsidRPr="0038148D">
          <w:rPr>
            <w:noProof/>
            <w:webHidden/>
          </w:rPr>
          <w:t>5</w:t>
        </w:r>
        <w:r w:rsidR="00846B6C" w:rsidRPr="0038148D">
          <w:rPr>
            <w:noProof/>
            <w:webHidden/>
          </w:rPr>
          <w:fldChar w:fldCharType="end"/>
        </w:r>
      </w:hyperlink>
    </w:p>
    <w:p w14:paraId="503DCF54" w14:textId="47424F87" w:rsidR="00631984" w:rsidRPr="0038148D" w:rsidRDefault="000B0B97">
      <w:pPr>
        <w:pStyle w:val="TOC2"/>
        <w:rPr>
          <w:rFonts w:asciiTheme="minorHAnsi" w:eastAsiaTheme="minorEastAsia" w:hAnsiTheme="minorHAnsi" w:cstheme="minorBidi"/>
          <w:noProof/>
          <w:sz w:val="22"/>
          <w:szCs w:val="22"/>
        </w:rPr>
      </w:pPr>
      <w:hyperlink w:anchor="_Toc398217605" w:history="1">
        <w:r w:rsidR="00631984" w:rsidRPr="0038148D">
          <w:rPr>
            <w:rStyle w:val="Hyperlink"/>
            <w:noProof/>
          </w:rPr>
          <w:t>Study Design</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_Toc398217605 \h </w:instrText>
        </w:r>
        <w:r w:rsidR="00846B6C" w:rsidRPr="0038148D">
          <w:rPr>
            <w:noProof/>
            <w:webHidden/>
          </w:rPr>
        </w:r>
        <w:r w:rsidR="00846B6C" w:rsidRPr="0038148D">
          <w:rPr>
            <w:noProof/>
            <w:webHidden/>
          </w:rPr>
          <w:fldChar w:fldCharType="separate"/>
        </w:r>
        <w:r w:rsidR="00831795" w:rsidRPr="0038148D">
          <w:rPr>
            <w:noProof/>
            <w:webHidden/>
          </w:rPr>
          <w:t>5</w:t>
        </w:r>
        <w:r w:rsidR="00846B6C" w:rsidRPr="0038148D">
          <w:rPr>
            <w:noProof/>
            <w:webHidden/>
          </w:rPr>
          <w:fldChar w:fldCharType="end"/>
        </w:r>
      </w:hyperlink>
    </w:p>
    <w:p w14:paraId="6E47A3E0" w14:textId="3A6DD9AB" w:rsidR="00631984" w:rsidRPr="0038148D" w:rsidRDefault="000B0B97">
      <w:pPr>
        <w:pStyle w:val="TOC2"/>
        <w:rPr>
          <w:rFonts w:asciiTheme="minorHAnsi" w:eastAsiaTheme="minorEastAsia" w:hAnsiTheme="minorHAnsi" w:cstheme="minorBidi"/>
          <w:noProof/>
          <w:sz w:val="22"/>
          <w:szCs w:val="22"/>
        </w:rPr>
      </w:pPr>
      <w:hyperlink w:anchor="_Toc398217606" w:history="1">
        <w:r w:rsidR="00631984" w:rsidRPr="0038148D">
          <w:rPr>
            <w:rStyle w:val="Hyperlink"/>
            <w:noProof/>
          </w:rPr>
          <w:t>Fishery Creel Sampling</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_Toc398217606 \h </w:instrText>
        </w:r>
        <w:r w:rsidR="00846B6C" w:rsidRPr="0038148D">
          <w:rPr>
            <w:noProof/>
            <w:webHidden/>
          </w:rPr>
        </w:r>
        <w:r w:rsidR="00846B6C" w:rsidRPr="0038148D">
          <w:rPr>
            <w:noProof/>
            <w:webHidden/>
          </w:rPr>
          <w:fldChar w:fldCharType="separate"/>
        </w:r>
        <w:r w:rsidR="00831795" w:rsidRPr="0038148D">
          <w:rPr>
            <w:noProof/>
            <w:webHidden/>
          </w:rPr>
          <w:t>5</w:t>
        </w:r>
        <w:r w:rsidR="00846B6C" w:rsidRPr="0038148D">
          <w:rPr>
            <w:noProof/>
            <w:webHidden/>
          </w:rPr>
          <w:fldChar w:fldCharType="end"/>
        </w:r>
      </w:hyperlink>
    </w:p>
    <w:p w14:paraId="4D66CAD3" w14:textId="0BA4E6ED" w:rsidR="00631984" w:rsidRPr="0038148D" w:rsidRDefault="000B0B97">
      <w:pPr>
        <w:pStyle w:val="TOC2"/>
        <w:rPr>
          <w:rFonts w:asciiTheme="minorHAnsi" w:eastAsiaTheme="minorEastAsia" w:hAnsiTheme="minorHAnsi" w:cstheme="minorBidi"/>
          <w:noProof/>
          <w:sz w:val="22"/>
          <w:szCs w:val="22"/>
        </w:rPr>
      </w:pPr>
      <w:hyperlink w:anchor="_Toc398217607" w:history="1">
        <w:r w:rsidR="00631984" w:rsidRPr="0038148D">
          <w:rPr>
            <w:rStyle w:val="Hyperlink"/>
            <w:noProof/>
          </w:rPr>
          <w:t>Statewide Harvest Survey</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_Toc398217607 \h </w:instrText>
        </w:r>
        <w:r w:rsidR="00846B6C" w:rsidRPr="0038148D">
          <w:rPr>
            <w:noProof/>
            <w:webHidden/>
          </w:rPr>
        </w:r>
        <w:r w:rsidR="00846B6C" w:rsidRPr="0038148D">
          <w:rPr>
            <w:noProof/>
            <w:webHidden/>
          </w:rPr>
          <w:fldChar w:fldCharType="separate"/>
        </w:r>
        <w:r w:rsidR="00831795" w:rsidRPr="0038148D">
          <w:rPr>
            <w:noProof/>
            <w:webHidden/>
          </w:rPr>
          <w:t>5</w:t>
        </w:r>
        <w:r w:rsidR="00846B6C" w:rsidRPr="0038148D">
          <w:rPr>
            <w:noProof/>
            <w:webHidden/>
          </w:rPr>
          <w:fldChar w:fldCharType="end"/>
        </w:r>
      </w:hyperlink>
    </w:p>
    <w:p w14:paraId="7B7FE3A1" w14:textId="2E19D3CA" w:rsidR="00631984" w:rsidRPr="0038148D" w:rsidRDefault="000B0B97">
      <w:pPr>
        <w:pStyle w:val="TOC2"/>
        <w:rPr>
          <w:rFonts w:asciiTheme="minorHAnsi" w:eastAsiaTheme="minorEastAsia" w:hAnsiTheme="minorHAnsi" w:cstheme="minorBidi"/>
          <w:noProof/>
          <w:sz w:val="22"/>
          <w:szCs w:val="22"/>
        </w:rPr>
      </w:pPr>
      <w:hyperlink w:anchor="_Toc398217608" w:history="1">
        <w:r w:rsidR="00631984" w:rsidRPr="0038148D">
          <w:rPr>
            <w:rStyle w:val="Hyperlink"/>
            <w:noProof/>
          </w:rPr>
          <w:t>Charter Logbook</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_Toc398217608 \h </w:instrText>
        </w:r>
        <w:r w:rsidR="00846B6C" w:rsidRPr="0038148D">
          <w:rPr>
            <w:noProof/>
            <w:webHidden/>
          </w:rPr>
        </w:r>
        <w:r w:rsidR="00846B6C" w:rsidRPr="0038148D">
          <w:rPr>
            <w:noProof/>
            <w:webHidden/>
          </w:rPr>
          <w:fldChar w:fldCharType="separate"/>
        </w:r>
        <w:r w:rsidR="00831795" w:rsidRPr="0038148D">
          <w:rPr>
            <w:noProof/>
            <w:webHidden/>
          </w:rPr>
          <w:t>5</w:t>
        </w:r>
        <w:r w:rsidR="00846B6C" w:rsidRPr="0038148D">
          <w:rPr>
            <w:noProof/>
            <w:webHidden/>
          </w:rPr>
          <w:fldChar w:fldCharType="end"/>
        </w:r>
      </w:hyperlink>
    </w:p>
    <w:p w14:paraId="744C95AA" w14:textId="36213D43" w:rsidR="00631984" w:rsidRPr="0038148D" w:rsidRDefault="000B0B97">
      <w:pPr>
        <w:pStyle w:val="TOC2"/>
        <w:rPr>
          <w:rFonts w:asciiTheme="minorHAnsi" w:eastAsiaTheme="minorEastAsia" w:hAnsiTheme="minorHAnsi" w:cstheme="minorBidi"/>
          <w:noProof/>
          <w:sz w:val="22"/>
          <w:szCs w:val="22"/>
        </w:rPr>
      </w:pPr>
      <w:hyperlink w:anchor="_Toc398217609" w:history="1">
        <w:r w:rsidR="00631984" w:rsidRPr="0038148D">
          <w:rPr>
            <w:rStyle w:val="Hyperlink"/>
            <w:noProof/>
          </w:rPr>
          <w:t>Data Analysis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_Toc398217609 \h </w:instrText>
        </w:r>
        <w:r w:rsidR="00846B6C" w:rsidRPr="0038148D">
          <w:rPr>
            <w:noProof/>
            <w:webHidden/>
          </w:rPr>
        </w:r>
        <w:r w:rsidR="00846B6C" w:rsidRPr="0038148D">
          <w:rPr>
            <w:noProof/>
            <w:webHidden/>
          </w:rPr>
          <w:fldChar w:fldCharType="separate"/>
        </w:r>
        <w:r w:rsidR="00831795" w:rsidRPr="0038148D">
          <w:rPr>
            <w:noProof/>
            <w:webHidden/>
          </w:rPr>
          <w:t>6</w:t>
        </w:r>
        <w:r w:rsidR="00846B6C" w:rsidRPr="0038148D">
          <w:rPr>
            <w:noProof/>
            <w:webHidden/>
          </w:rPr>
          <w:fldChar w:fldCharType="end"/>
        </w:r>
      </w:hyperlink>
    </w:p>
    <w:p w14:paraId="39169677" w14:textId="4D102D20" w:rsidR="00631984" w:rsidRPr="0038148D" w:rsidRDefault="00831795">
      <w:pPr>
        <w:pStyle w:val="TOC3"/>
        <w:rPr>
          <w:rFonts w:asciiTheme="minorHAnsi" w:eastAsiaTheme="minorEastAsia" w:hAnsiTheme="minorHAnsi" w:cstheme="minorBidi"/>
          <w:noProof/>
          <w:sz w:val="22"/>
          <w:szCs w:val="22"/>
        </w:rPr>
      </w:pPr>
      <w:r w:rsidRPr="0038148D">
        <w:t xml:space="preserve">Primary </w:t>
      </w:r>
      <w:hyperlink w:anchor="_Toc398217610" w:history="1">
        <w:r w:rsidR="00631984" w:rsidRPr="0038148D">
          <w:rPr>
            <w:rStyle w:val="Hyperlink"/>
            <w:noProof/>
          </w:rPr>
          <w:t xml:space="preserve">Objective 1: Estimate </w:t>
        </w:r>
        <w:r w:rsidR="00A04F70" w:rsidRPr="0038148D">
          <w:rPr>
            <w:rStyle w:val="Hyperlink"/>
            <w:noProof/>
          </w:rPr>
          <w:t>unguided</w:t>
        </w:r>
        <w:r w:rsidR="00631984" w:rsidRPr="0038148D">
          <w:rPr>
            <w:rStyle w:val="Hyperlink"/>
            <w:noProof/>
          </w:rPr>
          <w:t xml:space="preserve"> halibut yield in IPHC Areas 2C and 3A for the most recent year with final SWHS estimates.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_Toc398217610 \h </w:instrText>
        </w:r>
        <w:r w:rsidR="00846B6C" w:rsidRPr="0038148D">
          <w:rPr>
            <w:noProof/>
            <w:webHidden/>
          </w:rPr>
        </w:r>
        <w:r w:rsidR="00846B6C" w:rsidRPr="0038148D">
          <w:rPr>
            <w:noProof/>
            <w:webHidden/>
          </w:rPr>
          <w:fldChar w:fldCharType="separate"/>
        </w:r>
        <w:r w:rsidRPr="0038148D">
          <w:rPr>
            <w:noProof/>
            <w:webHidden/>
          </w:rPr>
          <w:t>6</w:t>
        </w:r>
        <w:r w:rsidR="00846B6C" w:rsidRPr="0038148D">
          <w:rPr>
            <w:noProof/>
            <w:webHidden/>
          </w:rPr>
          <w:fldChar w:fldCharType="end"/>
        </w:r>
      </w:hyperlink>
    </w:p>
    <w:p w14:paraId="329728E0" w14:textId="21123578" w:rsidR="00631984" w:rsidRPr="0038148D" w:rsidRDefault="00831795">
      <w:pPr>
        <w:pStyle w:val="TOC3"/>
        <w:rPr>
          <w:rFonts w:asciiTheme="minorHAnsi" w:eastAsiaTheme="minorEastAsia" w:hAnsiTheme="minorHAnsi" w:cstheme="minorBidi"/>
          <w:noProof/>
          <w:sz w:val="22"/>
          <w:szCs w:val="22"/>
        </w:rPr>
      </w:pPr>
      <w:r w:rsidRPr="0038148D">
        <w:t xml:space="preserve">Primary </w:t>
      </w:r>
      <w:hyperlink w:anchor="_Toc398217611" w:history="1">
        <w:r w:rsidR="00631984" w:rsidRPr="0038148D">
          <w:rPr>
            <w:rStyle w:val="Hyperlink"/>
            <w:noProof/>
          </w:rPr>
          <w:t>Objective 2: Estimate charter halibut yield in Areas 2C and 3A using logbook harvest data for the most recent year with complete data.</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_Toc398217611 \h </w:instrText>
        </w:r>
        <w:r w:rsidR="00846B6C" w:rsidRPr="0038148D">
          <w:rPr>
            <w:noProof/>
            <w:webHidden/>
          </w:rPr>
        </w:r>
        <w:r w:rsidR="00846B6C" w:rsidRPr="0038148D">
          <w:rPr>
            <w:noProof/>
            <w:webHidden/>
          </w:rPr>
          <w:fldChar w:fldCharType="separate"/>
        </w:r>
        <w:r w:rsidRPr="0038148D">
          <w:rPr>
            <w:noProof/>
            <w:webHidden/>
          </w:rPr>
          <w:t>7</w:t>
        </w:r>
        <w:r w:rsidR="00846B6C" w:rsidRPr="0038148D">
          <w:rPr>
            <w:noProof/>
            <w:webHidden/>
          </w:rPr>
          <w:fldChar w:fldCharType="end"/>
        </w:r>
      </w:hyperlink>
    </w:p>
    <w:p w14:paraId="6C07E473" w14:textId="3EB68442"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2" w:history="1">
        <w:r w:rsidR="00631984" w:rsidRPr="0038148D">
          <w:rPr>
            <w:rStyle w:val="Hyperlink"/>
            <w:noProof/>
          </w:rPr>
          <w:t xml:space="preserve">Objective </w:t>
        </w:r>
        <w:r w:rsidRPr="0038148D">
          <w:rPr>
            <w:rStyle w:val="Hyperlink"/>
            <w:noProof/>
          </w:rPr>
          <w:t>1</w:t>
        </w:r>
        <w:r w:rsidR="00631984" w:rsidRPr="0038148D">
          <w:rPr>
            <w:rStyle w:val="Hyperlink"/>
            <w:noProof/>
          </w:rPr>
          <w:t xml:space="preserve">: Produce preliminary estimates, or projections, of charter and </w:t>
        </w:r>
        <w:r w:rsidR="00A04F70" w:rsidRPr="0038148D">
          <w:rPr>
            <w:rStyle w:val="Hyperlink"/>
            <w:noProof/>
          </w:rPr>
          <w:t>unguided</w:t>
        </w:r>
        <w:r w:rsidR="00631984" w:rsidRPr="0038148D">
          <w:rPr>
            <w:rStyle w:val="Hyperlink"/>
            <w:noProof/>
          </w:rPr>
          <w:t xml:space="preserve"> halibut harvest, release, and yield in Areas 2C and 3A for the current year.</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_Toc398217612 \h </w:instrText>
        </w:r>
        <w:r w:rsidR="00846B6C" w:rsidRPr="0038148D">
          <w:rPr>
            <w:noProof/>
            <w:webHidden/>
          </w:rPr>
        </w:r>
        <w:r w:rsidR="00846B6C" w:rsidRPr="0038148D">
          <w:rPr>
            <w:noProof/>
            <w:webHidden/>
          </w:rPr>
          <w:fldChar w:fldCharType="separate"/>
        </w:r>
        <w:r w:rsidRPr="0038148D">
          <w:rPr>
            <w:noProof/>
            <w:webHidden/>
          </w:rPr>
          <w:t>8</w:t>
        </w:r>
        <w:r w:rsidR="00846B6C" w:rsidRPr="0038148D">
          <w:rPr>
            <w:noProof/>
            <w:webHidden/>
          </w:rPr>
          <w:fldChar w:fldCharType="end"/>
        </w:r>
      </w:hyperlink>
    </w:p>
    <w:p w14:paraId="05D41022" w14:textId="333ADECE"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3" w:history="1">
        <w:r w:rsidR="00631984" w:rsidRPr="0038148D">
          <w:rPr>
            <w:rStyle w:val="Hyperlink"/>
            <w:noProof/>
          </w:rPr>
          <w:t xml:space="preserve">Objective </w:t>
        </w:r>
        <w:r w:rsidRPr="0038148D">
          <w:rPr>
            <w:rStyle w:val="Hyperlink"/>
            <w:noProof/>
          </w:rPr>
          <w:t>2</w:t>
        </w:r>
        <w:r w:rsidR="00631984" w:rsidRPr="0038148D">
          <w:rPr>
            <w:rStyle w:val="Hyperlink"/>
            <w:noProof/>
          </w:rPr>
          <w:t xml:space="preserve">. Estimate charter and </w:t>
        </w:r>
        <w:r w:rsidR="00A04F70" w:rsidRPr="0038148D">
          <w:rPr>
            <w:rStyle w:val="Hyperlink"/>
            <w:noProof/>
          </w:rPr>
          <w:t>unguided</w:t>
        </w:r>
        <w:r w:rsidR="00631984" w:rsidRPr="0038148D">
          <w:rPr>
            <w:rStyle w:val="Hyperlink"/>
            <w:noProof/>
          </w:rPr>
          <w:t xml:space="preserve"> halibut discard mortality in Areas 2C and 3A for the most recent year with complete data.</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_Toc398217613 \h </w:instrText>
        </w:r>
        <w:r w:rsidR="00846B6C" w:rsidRPr="0038148D">
          <w:rPr>
            <w:noProof/>
            <w:webHidden/>
          </w:rPr>
        </w:r>
        <w:r w:rsidR="00846B6C" w:rsidRPr="0038148D">
          <w:rPr>
            <w:noProof/>
            <w:webHidden/>
          </w:rPr>
          <w:fldChar w:fldCharType="separate"/>
        </w:r>
        <w:r w:rsidRPr="0038148D">
          <w:rPr>
            <w:noProof/>
            <w:webHidden/>
          </w:rPr>
          <w:t>11</w:t>
        </w:r>
        <w:r w:rsidR="00846B6C" w:rsidRPr="0038148D">
          <w:rPr>
            <w:noProof/>
            <w:webHidden/>
          </w:rPr>
          <w:fldChar w:fldCharType="end"/>
        </w:r>
      </w:hyperlink>
    </w:p>
    <w:p w14:paraId="337BA1AC" w14:textId="40E0D88E"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4" w:history="1">
        <w:r w:rsidR="00631984" w:rsidRPr="0038148D">
          <w:rPr>
            <w:rStyle w:val="Hyperlink"/>
            <w:noProof/>
          </w:rPr>
          <w:t xml:space="preserve">Objective </w:t>
        </w:r>
        <w:r w:rsidRPr="0038148D">
          <w:rPr>
            <w:rStyle w:val="Hyperlink"/>
            <w:noProof/>
          </w:rPr>
          <w:t>3</w:t>
        </w:r>
        <w:r w:rsidR="00631984" w:rsidRPr="0038148D">
          <w:rPr>
            <w:rStyle w:val="Hyperlink"/>
            <w:noProof/>
          </w:rPr>
          <w:t xml:space="preserve">: Produce preliminary estimates, or projections, of charter and </w:t>
        </w:r>
        <w:r w:rsidR="00A04F70" w:rsidRPr="0038148D">
          <w:rPr>
            <w:rStyle w:val="Hyperlink"/>
            <w:noProof/>
          </w:rPr>
          <w:t>unguided</w:t>
        </w:r>
        <w:r w:rsidR="00631984" w:rsidRPr="0038148D">
          <w:rPr>
            <w:rStyle w:val="Hyperlink"/>
            <w:noProof/>
          </w:rPr>
          <w:t xml:space="preserve"> halibut discard mortality in Areas 2C and 3A for the current year.</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_Toc398217614 \h </w:instrText>
        </w:r>
        <w:r w:rsidR="00846B6C" w:rsidRPr="0038148D">
          <w:rPr>
            <w:noProof/>
            <w:webHidden/>
          </w:rPr>
        </w:r>
        <w:r w:rsidR="00846B6C" w:rsidRPr="0038148D">
          <w:rPr>
            <w:noProof/>
            <w:webHidden/>
          </w:rPr>
          <w:fldChar w:fldCharType="separate"/>
        </w:r>
        <w:r w:rsidRPr="0038148D">
          <w:rPr>
            <w:noProof/>
            <w:webHidden/>
          </w:rPr>
          <w:t>18</w:t>
        </w:r>
        <w:r w:rsidR="00846B6C" w:rsidRPr="0038148D">
          <w:rPr>
            <w:noProof/>
            <w:webHidden/>
          </w:rPr>
          <w:fldChar w:fldCharType="end"/>
        </w:r>
      </w:hyperlink>
    </w:p>
    <w:p w14:paraId="28F61B9A" w14:textId="6CFED343"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5" w:history="1">
        <w:r w:rsidR="00631984" w:rsidRPr="0038148D">
          <w:rPr>
            <w:rStyle w:val="Hyperlink"/>
            <w:noProof/>
          </w:rPr>
          <w:t xml:space="preserve">Objective </w:t>
        </w:r>
        <w:r w:rsidRPr="0038148D">
          <w:rPr>
            <w:rStyle w:val="Hyperlink"/>
            <w:noProof/>
          </w:rPr>
          <w:t>4</w:t>
        </w:r>
        <w:r w:rsidR="00631984" w:rsidRPr="0038148D">
          <w:rPr>
            <w:rStyle w:val="Hyperlink"/>
            <w:noProof/>
          </w:rPr>
          <w:t xml:space="preserve">. Estimate the proportions of charter and </w:t>
        </w:r>
        <w:r w:rsidR="0038148D" w:rsidRPr="0038148D">
          <w:rPr>
            <w:rStyle w:val="Hyperlink"/>
            <w:noProof/>
          </w:rPr>
          <w:t>unguided</w:t>
        </w:r>
        <w:r w:rsidR="00631984" w:rsidRPr="0038148D">
          <w:rPr>
            <w:rStyle w:val="Hyperlink"/>
            <w:noProof/>
          </w:rPr>
          <w:t xml:space="preserve"> harvest (in numbers of fish) taken in Areas 2C and 3A prior to the average IPHC longline survey date during the </w:t>
        </w:r>
        <w:r w:rsidR="0038148D" w:rsidRPr="0038148D">
          <w:rPr>
            <w:rStyle w:val="Hyperlink"/>
            <w:noProof/>
          </w:rPr>
          <w:t>previous</w:t>
        </w:r>
        <w:r w:rsidR="00631984" w:rsidRPr="0038148D">
          <w:rPr>
            <w:rStyle w:val="Hyperlink"/>
            <w:noProof/>
          </w:rPr>
          <w:t xml:space="preserve"> year.</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_Toc398217615 \h </w:instrText>
        </w:r>
        <w:r w:rsidR="00846B6C" w:rsidRPr="0038148D">
          <w:rPr>
            <w:noProof/>
            <w:webHidden/>
          </w:rPr>
        </w:r>
        <w:r w:rsidR="00846B6C" w:rsidRPr="0038148D">
          <w:rPr>
            <w:noProof/>
            <w:webHidden/>
          </w:rPr>
          <w:fldChar w:fldCharType="separate"/>
        </w:r>
        <w:r w:rsidRPr="0038148D">
          <w:rPr>
            <w:noProof/>
            <w:webHidden/>
          </w:rPr>
          <w:t>18</w:t>
        </w:r>
        <w:r w:rsidR="00846B6C" w:rsidRPr="0038148D">
          <w:rPr>
            <w:noProof/>
            <w:webHidden/>
          </w:rPr>
          <w:fldChar w:fldCharType="end"/>
        </w:r>
      </w:hyperlink>
    </w:p>
    <w:p w14:paraId="048DADCD" w14:textId="1740A3DD"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6" w:history="1">
        <w:r w:rsidR="00631984" w:rsidRPr="0038148D">
          <w:rPr>
            <w:rStyle w:val="Hyperlink"/>
            <w:noProof/>
          </w:rPr>
          <w:t>Objective</w:t>
        </w:r>
        <w:r w:rsidRPr="0038148D">
          <w:rPr>
            <w:rStyle w:val="Hyperlink"/>
            <w:noProof/>
          </w:rPr>
          <w:t xml:space="preserve"> 5</w:t>
        </w:r>
        <w:r w:rsidR="00631984" w:rsidRPr="0038148D">
          <w:rPr>
            <w:rStyle w:val="Hyperlink"/>
            <w:noProof/>
          </w:rPr>
          <w:t xml:space="preserve">: Estimate overall sport halibut harvest (charter and </w:t>
        </w:r>
        <w:r w:rsidR="00A04F70" w:rsidRPr="0038148D">
          <w:rPr>
            <w:rStyle w:val="Hyperlink"/>
            <w:noProof/>
          </w:rPr>
          <w:t>unguided</w:t>
        </w:r>
        <w:r w:rsidR="00631984" w:rsidRPr="0038148D">
          <w:rPr>
            <w:rStyle w:val="Hyperlink"/>
            <w:noProof/>
          </w:rPr>
          <w:t xml:space="preserve"> combined) in Areas 3B and 4 </w:t>
        </w:r>
        <w:r w:rsidR="00B502E9">
          <w:rPr>
            <w:rStyle w:val="Hyperlink"/>
            <w:noProof/>
          </w:rPr>
          <w:t xml:space="preserve">(A – E combined) </w:t>
        </w:r>
        <w:r w:rsidR="00631984" w:rsidRPr="0038148D">
          <w:rPr>
            <w:rStyle w:val="Hyperlink"/>
            <w:noProof/>
          </w:rPr>
          <w:t>through the most recent year for which SWHS estimates are available.</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_Toc398217616 \h </w:instrText>
        </w:r>
        <w:r w:rsidR="00846B6C" w:rsidRPr="0038148D">
          <w:rPr>
            <w:noProof/>
            <w:webHidden/>
          </w:rPr>
        </w:r>
        <w:r w:rsidR="00846B6C" w:rsidRPr="0038148D">
          <w:rPr>
            <w:noProof/>
            <w:webHidden/>
          </w:rPr>
          <w:fldChar w:fldCharType="separate"/>
        </w:r>
        <w:r w:rsidRPr="0038148D">
          <w:rPr>
            <w:noProof/>
            <w:webHidden/>
          </w:rPr>
          <w:t>19</w:t>
        </w:r>
        <w:r w:rsidR="00846B6C" w:rsidRPr="0038148D">
          <w:rPr>
            <w:noProof/>
            <w:webHidden/>
          </w:rPr>
          <w:fldChar w:fldCharType="end"/>
        </w:r>
      </w:hyperlink>
    </w:p>
    <w:p w14:paraId="4A51568E" w14:textId="5B346169"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7" w:history="1">
        <w:r w:rsidR="00631984" w:rsidRPr="0038148D">
          <w:rPr>
            <w:rStyle w:val="Hyperlink"/>
            <w:noProof/>
          </w:rPr>
          <w:t xml:space="preserve">Objective </w:t>
        </w:r>
        <w:r w:rsidRPr="0038148D">
          <w:rPr>
            <w:rStyle w:val="Hyperlink"/>
            <w:noProof/>
          </w:rPr>
          <w:t>6</w:t>
        </w:r>
        <w:r w:rsidR="00631984" w:rsidRPr="0038148D">
          <w:rPr>
            <w:rStyle w:val="Hyperlink"/>
            <w:noProof/>
          </w:rPr>
          <w:t xml:space="preserve">: Produce preliminary estimates, or projections, of overall sport halibut harvest in Areas 3B and 4 </w:t>
        </w:r>
        <w:r w:rsidR="00B502E9" w:rsidRPr="00B502E9">
          <w:rPr>
            <w:rStyle w:val="Hyperlink"/>
            <w:noProof/>
          </w:rPr>
          <w:t>(A – E combined)</w:t>
        </w:r>
        <w:r w:rsidR="00B502E9">
          <w:rPr>
            <w:rStyle w:val="Hyperlink"/>
            <w:noProof/>
          </w:rPr>
          <w:t xml:space="preserve"> </w:t>
        </w:r>
        <w:r w:rsidR="00631984" w:rsidRPr="0038148D">
          <w:rPr>
            <w:rStyle w:val="Hyperlink"/>
            <w:noProof/>
          </w:rPr>
          <w:t>for the current year.</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_Toc398217617 \h </w:instrText>
        </w:r>
        <w:r w:rsidR="00846B6C" w:rsidRPr="0038148D">
          <w:rPr>
            <w:noProof/>
            <w:webHidden/>
          </w:rPr>
        </w:r>
        <w:r w:rsidR="00846B6C" w:rsidRPr="0038148D">
          <w:rPr>
            <w:noProof/>
            <w:webHidden/>
          </w:rPr>
          <w:fldChar w:fldCharType="separate"/>
        </w:r>
        <w:r w:rsidRPr="0038148D">
          <w:rPr>
            <w:noProof/>
            <w:webHidden/>
          </w:rPr>
          <w:t>19</w:t>
        </w:r>
        <w:r w:rsidR="00846B6C" w:rsidRPr="0038148D">
          <w:rPr>
            <w:noProof/>
            <w:webHidden/>
          </w:rPr>
          <w:fldChar w:fldCharType="end"/>
        </w:r>
      </w:hyperlink>
    </w:p>
    <w:p w14:paraId="2D72718F" w14:textId="37175243" w:rsidR="00631984" w:rsidRPr="0038148D" w:rsidRDefault="000B0B97">
      <w:pPr>
        <w:pStyle w:val="TOC1"/>
        <w:rPr>
          <w:rFonts w:asciiTheme="minorHAnsi" w:eastAsiaTheme="minorEastAsia" w:hAnsiTheme="minorHAnsi" w:cstheme="minorBidi"/>
          <w:caps w:val="0"/>
          <w:noProof/>
          <w:sz w:val="22"/>
          <w:szCs w:val="22"/>
        </w:rPr>
      </w:pPr>
      <w:hyperlink w:anchor="_Toc398217618" w:history="1">
        <w:r w:rsidR="00631984" w:rsidRPr="0038148D">
          <w:rPr>
            <w:rStyle w:val="Hyperlink"/>
            <w:noProof/>
          </w:rPr>
          <w:t>Schedules and deliverables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_Toc398217618 \h </w:instrText>
        </w:r>
        <w:r w:rsidR="00846B6C" w:rsidRPr="0038148D">
          <w:rPr>
            <w:noProof/>
            <w:webHidden/>
          </w:rPr>
        </w:r>
        <w:r w:rsidR="00846B6C" w:rsidRPr="0038148D">
          <w:rPr>
            <w:noProof/>
            <w:webHidden/>
          </w:rPr>
          <w:fldChar w:fldCharType="separate"/>
        </w:r>
        <w:r w:rsidR="00831795" w:rsidRPr="0038148D">
          <w:rPr>
            <w:noProof/>
            <w:webHidden/>
          </w:rPr>
          <w:t>19</w:t>
        </w:r>
        <w:r w:rsidR="00846B6C" w:rsidRPr="0038148D">
          <w:rPr>
            <w:noProof/>
            <w:webHidden/>
          </w:rPr>
          <w:fldChar w:fldCharType="end"/>
        </w:r>
      </w:hyperlink>
    </w:p>
    <w:p w14:paraId="1A7B4AFA" w14:textId="7BB1D370" w:rsidR="00631984" w:rsidRPr="0038148D" w:rsidRDefault="000B0B97">
      <w:pPr>
        <w:pStyle w:val="TOC1"/>
        <w:rPr>
          <w:rFonts w:asciiTheme="minorHAnsi" w:eastAsiaTheme="minorEastAsia" w:hAnsiTheme="minorHAnsi" w:cstheme="minorBidi"/>
          <w:caps w:val="0"/>
          <w:noProof/>
          <w:sz w:val="22"/>
          <w:szCs w:val="22"/>
        </w:rPr>
      </w:pPr>
      <w:hyperlink w:anchor="_Toc398217619" w:history="1">
        <w:r w:rsidR="00631984" w:rsidRPr="0038148D">
          <w:rPr>
            <w:rStyle w:val="Hyperlink"/>
            <w:noProof/>
          </w:rPr>
          <w:t>Responsibilities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_Toc398217619 \h </w:instrText>
        </w:r>
        <w:r w:rsidR="00846B6C" w:rsidRPr="0038148D">
          <w:rPr>
            <w:noProof/>
            <w:webHidden/>
          </w:rPr>
        </w:r>
        <w:r w:rsidR="00846B6C" w:rsidRPr="0038148D">
          <w:rPr>
            <w:noProof/>
            <w:webHidden/>
          </w:rPr>
          <w:fldChar w:fldCharType="separate"/>
        </w:r>
        <w:r w:rsidR="00831795" w:rsidRPr="0038148D">
          <w:rPr>
            <w:noProof/>
            <w:webHidden/>
          </w:rPr>
          <w:t>20</w:t>
        </w:r>
        <w:r w:rsidR="00846B6C" w:rsidRPr="0038148D">
          <w:rPr>
            <w:noProof/>
            <w:webHidden/>
          </w:rPr>
          <w:fldChar w:fldCharType="end"/>
        </w:r>
      </w:hyperlink>
    </w:p>
    <w:p w14:paraId="06F80C00" w14:textId="31CEF557" w:rsidR="00631984" w:rsidRPr="0038148D" w:rsidRDefault="000B0B97">
      <w:pPr>
        <w:pStyle w:val="TOC1"/>
        <w:rPr>
          <w:rFonts w:asciiTheme="minorHAnsi" w:eastAsiaTheme="minorEastAsia" w:hAnsiTheme="minorHAnsi" w:cstheme="minorBidi"/>
          <w:caps w:val="0"/>
          <w:noProof/>
          <w:sz w:val="22"/>
          <w:szCs w:val="22"/>
        </w:rPr>
      </w:pPr>
      <w:hyperlink w:anchor="_Toc398217620" w:history="1">
        <w:r w:rsidR="00631984" w:rsidRPr="0038148D">
          <w:rPr>
            <w:rStyle w:val="Hyperlink"/>
            <w:noProof/>
          </w:rPr>
          <w:t>Literature Cited</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_Toc398217620 \h </w:instrText>
        </w:r>
        <w:r w:rsidR="00846B6C" w:rsidRPr="0038148D">
          <w:rPr>
            <w:noProof/>
            <w:webHidden/>
          </w:rPr>
        </w:r>
        <w:r w:rsidR="00846B6C" w:rsidRPr="0038148D">
          <w:rPr>
            <w:noProof/>
            <w:webHidden/>
          </w:rPr>
          <w:fldChar w:fldCharType="separate"/>
        </w:r>
        <w:r w:rsidR="00831795" w:rsidRPr="0038148D">
          <w:rPr>
            <w:noProof/>
            <w:webHidden/>
          </w:rPr>
          <w:t>21</w:t>
        </w:r>
        <w:r w:rsidR="00846B6C" w:rsidRPr="0038148D">
          <w:rPr>
            <w:noProof/>
            <w:webHidden/>
          </w:rPr>
          <w:fldChar w:fldCharType="end"/>
        </w:r>
      </w:hyperlink>
    </w:p>
    <w:p w14:paraId="74F111CC" w14:textId="4BB916AA" w:rsidR="00631984" w:rsidRPr="0038148D" w:rsidRDefault="000B0B97">
      <w:pPr>
        <w:pStyle w:val="TOC1"/>
        <w:rPr>
          <w:rFonts w:asciiTheme="minorHAnsi" w:eastAsiaTheme="minorEastAsia" w:hAnsiTheme="minorHAnsi" w:cstheme="minorBidi"/>
          <w:caps w:val="0"/>
          <w:noProof/>
          <w:sz w:val="22"/>
          <w:szCs w:val="22"/>
        </w:rPr>
      </w:pPr>
      <w:hyperlink w:anchor="_Toc398217621" w:history="1">
        <w:r w:rsidR="00631984" w:rsidRPr="0038148D">
          <w:rPr>
            <w:rStyle w:val="Hyperlink"/>
            <w:noProof/>
          </w:rPr>
          <w:t>Appendices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_Toc398217621 \h </w:instrText>
        </w:r>
        <w:r w:rsidR="00846B6C" w:rsidRPr="0038148D">
          <w:rPr>
            <w:noProof/>
            <w:webHidden/>
          </w:rPr>
        </w:r>
        <w:r w:rsidR="00846B6C" w:rsidRPr="0038148D">
          <w:rPr>
            <w:noProof/>
            <w:webHidden/>
          </w:rPr>
          <w:fldChar w:fldCharType="separate"/>
        </w:r>
        <w:r w:rsidR="00831795" w:rsidRPr="0038148D">
          <w:rPr>
            <w:noProof/>
            <w:webHidden/>
          </w:rPr>
          <w:t>23</w:t>
        </w:r>
        <w:r w:rsidR="00846B6C" w:rsidRPr="0038148D">
          <w:rPr>
            <w:noProof/>
            <w:webHidden/>
          </w:rPr>
          <w:fldChar w:fldCharType="end"/>
        </w:r>
      </w:hyperlink>
    </w:p>
    <w:p w14:paraId="5F44A8FB" w14:textId="77777777" w:rsidR="00D32F0E" w:rsidRPr="00534FF2" w:rsidRDefault="00846B6C" w:rsidP="00A763FA">
      <w:pPr>
        <w:rPr>
          <w:caps/>
          <w:sz w:val="20"/>
          <w:szCs w:val="20"/>
          <w:highlight w:val="yellow"/>
        </w:rPr>
      </w:pPr>
      <w:r w:rsidRPr="0038148D">
        <w:rPr>
          <w:caps/>
          <w:sz w:val="20"/>
          <w:szCs w:val="20"/>
        </w:rPr>
        <w:fldChar w:fldCharType="end"/>
      </w:r>
    </w:p>
    <w:p w14:paraId="68139859" w14:textId="77777777" w:rsidR="00D32F0E" w:rsidRPr="00534FF2" w:rsidRDefault="00D32F0E">
      <w:pPr>
        <w:spacing w:after="200" w:line="276" w:lineRule="auto"/>
        <w:jc w:val="left"/>
        <w:rPr>
          <w:caps/>
          <w:sz w:val="20"/>
          <w:szCs w:val="20"/>
          <w:highlight w:val="yellow"/>
        </w:rPr>
      </w:pPr>
      <w:r w:rsidRPr="00534FF2">
        <w:rPr>
          <w:caps/>
          <w:sz w:val="20"/>
          <w:szCs w:val="20"/>
          <w:highlight w:val="yellow"/>
        </w:rPr>
        <w:br w:type="page"/>
      </w:r>
    </w:p>
    <w:p w14:paraId="52C86F23" w14:textId="77777777" w:rsidR="00624541" w:rsidRPr="00534FF2" w:rsidRDefault="00624541" w:rsidP="00624541">
      <w:pPr>
        <w:pStyle w:val="Heading1"/>
      </w:pPr>
      <w:bookmarkStart w:id="6" w:name="_Toc398217598"/>
      <w:r w:rsidRPr="00534FF2">
        <w:lastRenderedPageBreak/>
        <w:t>LIST OF TABLES</w:t>
      </w:r>
      <w:bookmarkEnd w:id="6"/>
    </w:p>
    <w:p w14:paraId="6E5C85A0" w14:textId="77777777" w:rsidR="00624541" w:rsidRPr="0038148D" w:rsidRDefault="00DD75C2" w:rsidP="00624541">
      <w:pPr>
        <w:pStyle w:val="List-Page"/>
      </w:pPr>
      <w:r w:rsidRPr="0038148D">
        <w:t>Table</w:t>
      </w:r>
      <w:r w:rsidR="00624541" w:rsidRPr="0038148D">
        <w:tab/>
        <w:t>Page</w:t>
      </w:r>
    </w:p>
    <w:p w14:paraId="6E7F4B40" w14:textId="0F1A0C17" w:rsidR="00631984" w:rsidRPr="0038148D" w:rsidRDefault="00846B6C">
      <w:pPr>
        <w:pStyle w:val="TableofFigures"/>
        <w:rPr>
          <w:rFonts w:asciiTheme="minorHAnsi" w:eastAsiaTheme="minorEastAsia" w:hAnsiTheme="minorHAnsi" w:cstheme="minorBidi"/>
          <w:noProof/>
          <w:sz w:val="22"/>
          <w:szCs w:val="22"/>
        </w:rPr>
      </w:pPr>
      <w:r w:rsidRPr="0038148D">
        <w:fldChar w:fldCharType="begin"/>
      </w:r>
      <w:r w:rsidR="00003E46" w:rsidRPr="0038148D">
        <w:instrText xml:space="preserve"> TOC \h \z \c "Table" </w:instrText>
      </w:r>
      <w:r w:rsidRPr="0038148D">
        <w:fldChar w:fldCharType="separate"/>
      </w:r>
      <w:hyperlink w:anchor="_Toc398217622" w:history="1">
        <w:r w:rsidR="00631984" w:rsidRPr="0038148D">
          <w:rPr>
            <w:rStyle w:val="Hyperlink"/>
            <w:noProof/>
          </w:rPr>
          <w:t>Table 1. Halibut reporting areas and sampled ports corresponding with each IPHC regulatory area.</w:t>
        </w:r>
        <w:r w:rsidR="00631984" w:rsidRPr="0038148D">
          <w:rPr>
            <w:noProof/>
            <w:webHidden/>
          </w:rPr>
          <w:tab/>
        </w:r>
        <w:r w:rsidRPr="0038148D">
          <w:rPr>
            <w:noProof/>
            <w:webHidden/>
          </w:rPr>
          <w:fldChar w:fldCharType="begin"/>
        </w:r>
        <w:r w:rsidR="00631984" w:rsidRPr="0038148D">
          <w:rPr>
            <w:noProof/>
            <w:webHidden/>
          </w:rPr>
          <w:instrText xml:space="preserve"> PAGEREF _Toc398217622 \h </w:instrText>
        </w:r>
        <w:r w:rsidRPr="0038148D">
          <w:rPr>
            <w:noProof/>
            <w:webHidden/>
          </w:rPr>
        </w:r>
        <w:r w:rsidRPr="0038148D">
          <w:rPr>
            <w:noProof/>
            <w:webHidden/>
          </w:rPr>
          <w:fldChar w:fldCharType="separate"/>
        </w:r>
        <w:r w:rsidR="00831795" w:rsidRPr="0038148D">
          <w:rPr>
            <w:noProof/>
            <w:webHidden/>
          </w:rPr>
          <w:t>6</w:t>
        </w:r>
        <w:r w:rsidRPr="0038148D">
          <w:rPr>
            <w:noProof/>
            <w:webHidden/>
          </w:rPr>
          <w:fldChar w:fldCharType="end"/>
        </w:r>
      </w:hyperlink>
    </w:p>
    <w:p w14:paraId="2476C778" w14:textId="76B690FF" w:rsidR="00631984" w:rsidRPr="0038148D" w:rsidRDefault="000B0B97">
      <w:pPr>
        <w:pStyle w:val="TableofFigures"/>
        <w:rPr>
          <w:rFonts w:asciiTheme="minorHAnsi" w:eastAsiaTheme="minorEastAsia" w:hAnsiTheme="minorHAnsi" w:cstheme="minorBidi"/>
          <w:noProof/>
          <w:sz w:val="22"/>
          <w:szCs w:val="22"/>
        </w:rPr>
      </w:pPr>
      <w:hyperlink w:anchor="_Toc398217623" w:history="1">
        <w:r w:rsidR="00631984" w:rsidRPr="0038148D">
          <w:rPr>
            <w:rStyle w:val="Hyperlink"/>
            <w:noProof/>
          </w:rPr>
          <w:t>Table 2. Example of projected charter harvest for 201</w:t>
        </w:r>
        <w:r w:rsidR="0038148D" w:rsidRPr="0038148D">
          <w:rPr>
            <w:rStyle w:val="Hyperlink"/>
            <w:noProof/>
          </w:rPr>
          <w:t>7</w:t>
        </w:r>
        <w:r w:rsidR="00631984" w:rsidRPr="0038148D">
          <w:rPr>
            <w:rStyle w:val="Hyperlink"/>
            <w:noProof/>
          </w:rPr>
          <w:t xml:space="preserve"> </w:t>
        </w:r>
        <w:r w:rsidR="0038148D" w:rsidRPr="0038148D">
          <w:rPr>
            <w:rStyle w:val="Hyperlink"/>
            <w:noProof/>
          </w:rPr>
          <w:t>using logbook data through July 31 to forecast harvest for the year and final harvest estimates using full logbook data</w:t>
        </w:r>
        <w:r w:rsidR="00631984" w:rsidRPr="0038148D">
          <w:rPr>
            <w:rStyle w:val="Hyperlink"/>
            <w:noProof/>
          </w:rPr>
          <w:t>.</w:t>
        </w:r>
        <w:r w:rsidR="00631984" w:rsidRPr="0038148D">
          <w:rPr>
            <w:noProof/>
            <w:webHidden/>
          </w:rPr>
          <w:tab/>
        </w:r>
        <w:r w:rsidR="0038148D" w:rsidRPr="0038148D">
          <w:rPr>
            <w:noProof/>
            <w:webHidden/>
          </w:rPr>
          <w:t>10</w:t>
        </w:r>
      </w:hyperlink>
    </w:p>
    <w:p w14:paraId="7BCF0BC0" w14:textId="3E9708E4" w:rsidR="00631984" w:rsidRPr="0038148D" w:rsidRDefault="000B0B97">
      <w:pPr>
        <w:pStyle w:val="TableofFigures"/>
        <w:rPr>
          <w:rFonts w:asciiTheme="minorHAnsi" w:eastAsiaTheme="minorEastAsia" w:hAnsiTheme="minorHAnsi" w:cstheme="minorBidi"/>
          <w:noProof/>
          <w:sz w:val="22"/>
          <w:szCs w:val="22"/>
        </w:rPr>
      </w:pPr>
      <w:hyperlink w:anchor="_Toc398217624" w:history="1">
        <w:r w:rsidR="00631984" w:rsidRPr="0038148D">
          <w:rPr>
            <w:rStyle w:val="Hyperlink"/>
            <w:noProof/>
          </w:rPr>
          <w:t>Table 3. Approximate annual timeline of estimation and reporting tasks associated with halibut.</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_Toc398217624 \h </w:instrText>
        </w:r>
        <w:r w:rsidR="00846B6C" w:rsidRPr="0038148D">
          <w:rPr>
            <w:noProof/>
            <w:webHidden/>
          </w:rPr>
        </w:r>
        <w:r w:rsidR="00846B6C" w:rsidRPr="0038148D">
          <w:rPr>
            <w:noProof/>
            <w:webHidden/>
          </w:rPr>
          <w:fldChar w:fldCharType="separate"/>
        </w:r>
        <w:r w:rsidR="00831795" w:rsidRPr="0038148D">
          <w:rPr>
            <w:noProof/>
            <w:webHidden/>
          </w:rPr>
          <w:t>20</w:t>
        </w:r>
        <w:r w:rsidR="00846B6C" w:rsidRPr="0038148D">
          <w:rPr>
            <w:noProof/>
            <w:webHidden/>
          </w:rPr>
          <w:fldChar w:fldCharType="end"/>
        </w:r>
      </w:hyperlink>
    </w:p>
    <w:p w14:paraId="5102B7B0" w14:textId="77777777" w:rsidR="00AD26BD" w:rsidRPr="00534FF2" w:rsidRDefault="00846B6C" w:rsidP="00AD26BD">
      <w:pPr>
        <w:rPr>
          <w:highlight w:val="yellow"/>
        </w:rPr>
      </w:pPr>
      <w:r w:rsidRPr="0038148D">
        <w:fldChar w:fldCharType="end"/>
      </w:r>
    </w:p>
    <w:p w14:paraId="704DCD5A" w14:textId="77777777" w:rsidR="00C00D2A" w:rsidRPr="00534FF2" w:rsidRDefault="00C00D2A">
      <w:pPr>
        <w:pStyle w:val="Heading1"/>
      </w:pPr>
      <w:bookmarkStart w:id="7" w:name="_Toc398217599"/>
      <w:r w:rsidRPr="00534FF2">
        <w:t>LIST OF FIGURES</w:t>
      </w:r>
      <w:bookmarkEnd w:id="7"/>
    </w:p>
    <w:p w14:paraId="73CBDD8B" w14:textId="77777777" w:rsidR="00C00D2A" w:rsidRPr="00534FF2" w:rsidRDefault="00C00D2A" w:rsidP="00AD26BD">
      <w:pPr>
        <w:pStyle w:val="List-Page"/>
        <w:keepNext/>
        <w:rPr>
          <w:highlight w:val="yellow"/>
        </w:rPr>
      </w:pPr>
    </w:p>
    <w:p w14:paraId="6EFF1468" w14:textId="77777777" w:rsidR="00C00D2A" w:rsidRPr="00F83405" w:rsidRDefault="00C00D2A" w:rsidP="00AD26BD">
      <w:pPr>
        <w:pStyle w:val="List-Page"/>
        <w:keepNext/>
      </w:pPr>
      <w:r w:rsidRPr="00F83405">
        <w:t>Figure</w:t>
      </w:r>
      <w:r w:rsidRPr="00F83405">
        <w:tab/>
        <w:t>Page</w:t>
      </w:r>
    </w:p>
    <w:p w14:paraId="4ABEBDCF" w14:textId="1E7670DD" w:rsidR="002E0BD4" w:rsidRPr="00F83405" w:rsidRDefault="00846B6C">
      <w:pPr>
        <w:pStyle w:val="TableofFigures"/>
        <w:rPr>
          <w:rFonts w:asciiTheme="minorHAnsi" w:eastAsiaTheme="minorEastAsia" w:hAnsiTheme="minorHAnsi" w:cstheme="minorBidi"/>
          <w:noProof/>
          <w:sz w:val="22"/>
          <w:szCs w:val="22"/>
        </w:rPr>
      </w:pPr>
      <w:r w:rsidRPr="00F83405">
        <w:fldChar w:fldCharType="begin"/>
      </w:r>
      <w:r w:rsidR="00AD26BD" w:rsidRPr="00F83405">
        <w:instrText xml:space="preserve"> TOC \c "Figure" </w:instrText>
      </w:r>
      <w:r w:rsidRPr="00F83405">
        <w:fldChar w:fldCharType="separate"/>
      </w:r>
      <w:r w:rsidR="002E0BD4" w:rsidRPr="00F83405">
        <w:rPr>
          <w:noProof/>
        </w:rPr>
        <w:t>Figure 1</w:t>
      </w:r>
      <w:r w:rsidR="00CF2755">
        <w:rPr>
          <w:noProof/>
        </w:rPr>
        <w:t>.</w:t>
      </w:r>
      <w:r w:rsidR="002E0BD4" w:rsidRPr="00F83405">
        <w:rPr>
          <w:noProof/>
        </w:rPr>
        <w:t xml:space="preserve"> Statewide harvest of halibut (numbers of fish) as estimated by the ADF&amp;G statewide mail survey, 1977-201</w:t>
      </w:r>
      <w:r w:rsidR="00F83405" w:rsidRPr="00F83405">
        <w:rPr>
          <w:noProof/>
        </w:rPr>
        <w:t>7</w:t>
      </w:r>
      <w:r w:rsidR="002E0BD4" w:rsidRPr="00F83405">
        <w:rPr>
          <w:noProof/>
        </w:rPr>
        <w:t>.</w:t>
      </w:r>
      <w:r w:rsidR="002E0BD4" w:rsidRPr="00F83405">
        <w:rPr>
          <w:noProof/>
        </w:rPr>
        <w:tab/>
      </w:r>
      <w:r w:rsidRPr="00F83405">
        <w:rPr>
          <w:noProof/>
        </w:rPr>
        <w:fldChar w:fldCharType="begin"/>
      </w:r>
      <w:r w:rsidR="002E0BD4" w:rsidRPr="00F83405">
        <w:rPr>
          <w:noProof/>
        </w:rPr>
        <w:instrText xml:space="preserve"> PAGEREF _Toc400572421 \h </w:instrText>
      </w:r>
      <w:r w:rsidRPr="00F83405">
        <w:rPr>
          <w:noProof/>
        </w:rPr>
      </w:r>
      <w:r w:rsidRPr="00F83405">
        <w:rPr>
          <w:noProof/>
        </w:rPr>
        <w:fldChar w:fldCharType="separate"/>
      </w:r>
      <w:r w:rsidR="00831795" w:rsidRPr="00F83405">
        <w:rPr>
          <w:noProof/>
        </w:rPr>
        <w:t>2</w:t>
      </w:r>
      <w:r w:rsidRPr="00F83405">
        <w:rPr>
          <w:noProof/>
        </w:rPr>
        <w:fldChar w:fldCharType="end"/>
      </w:r>
    </w:p>
    <w:p w14:paraId="12849AEC" w14:textId="791C1D13" w:rsidR="002E0BD4" w:rsidRPr="00F83405" w:rsidRDefault="002E0BD4">
      <w:pPr>
        <w:pStyle w:val="TableofFigures"/>
        <w:rPr>
          <w:rFonts w:asciiTheme="minorHAnsi" w:eastAsiaTheme="minorEastAsia" w:hAnsiTheme="minorHAnsi" w:cstheme="minorBidi"/>
          <w:noProof/>
          <w:sz w:val="22"/>
          <w:szCs w:val="22"/>
        </w:rPr>
      </w:pPr>
      <w:r w:rsidRPr="00F83405">
        <w:rPr>
          <w:noProof/>
        </w:rPr>
        <w:t>Figure 2. International Pacific Halibut Commission regulatory areas.</w:t>
      </w:r>
      <w:r w:rsidRPr="00F83405">
        <w:rPr>
          <w:noProof/>
        </w:rPr>
        <w:tab/>
      </w:r>
      <w:r w:rsidR="00846B6C" w:rsidRPr="00F83405">
        <w:rPr>
          <w:noProof/>
        </w:rPr>
        <w:fldChar w:fldCharType="begin"/>
      </w:r>
      <w:r w:rsidRPr="00F83405">
        <w:rPr>
          <w:noProof/>
        </w:rPr>
        <w:instrText xml:space="preserve"> PAGEREF _Toc400572422 \h </w:instrText>
      </w:r>
      <w:r w:rsidR="00846B6C" w:rsidRPr="00F83405">
        <w:rPr>
          <w:noProof/>
        </w:rPr>
      </w:r>
      <w:r w:rsidR="00846B6C" w:rsidRPr="00F83405">
        <w:rPr>
          <w:noProof/>
        </w:rPr>
        <w:fldChar w:fldCharType="separate"/>
      </w:r>
      <w:r w:rsidR="00831795" w:rsidRPr="00F83405">
        <w:rPr>
          <w:noProof/>
        </w:rPr>
        <w:t>2</w:t>
      </w:r>
      <w:r w:rsidR="00846B6C" w:rsidRPr="00F83405">
        <w:rPr>
          <w:noProof/>
        </w:rPr>
        <w:fldChar w:fldCharType="end"/>
      </w:r>
    </w:p>
    <w:p w14:paraId="7718FB2B" w14:textId="7540A026" w:rsidR="002E0BD4" w:rsidRPr="00F83405" w:rsidRDefault="002E0BD4">
      <w:pPr>
        <w:pStyle w:val="TableofFigures"/>
        <w:rPr>
          <w:rFonts w:asciiTheme="minorHAnsi" w:eastAsiaTheme="minorEastAsia" w:hAnsiTheme="minorHAnsi" w:cstheme="minorBidi"/>
          <w:noProof/>
          <w:sz w:val="22"/>
          <w:szCs w:val="22"/>
        </w:rPr>
      </w:pPr>
      <w:r w:rsidRPr="00F83405">
        <w:rPr>
          <w:noProof/>
        </w:rPr>
        <w:t xml:space="preserve">Figure </w:t>
      </w:r>
      <w:r w:rsidR="00F83405" w:rsidRPr="00F83405">
        <w:rPr>
          <w:noProof/>
        </w:rPr>
        <w:t>3</w:t>
      </w:r>
      <w:r w:rsidR="00CF2755">
        <w:rPr>
          <w:noProof/>
        </w:rPr>
        <w:t>.</w:t>
      </w:r>
      <w:r w:rsidR="00F83405" w:rsidRPr="00F83405">
        <w:rPr>
          <w:noProof/>
        </w:rPr>
        <w:t xml:space="preserve"> </w:t>
      </w:r>
      <w:r w:rsidR="00F83405" w:rsidRPr="00F83405">
        <w:t>Estimates of the proportions of the catch that was kept (pKept) corresponding with the 10</w:t>
      </w:r>
      <w:r w:rsidR="00F83405" w:rsidRPr="00F83405">
        <w:rPr>
          <w:vertAlign w:val="superscript"/>
        </w:rPr>
        <w:t>th</w:t>
      </w:r>
      <w:r w:rsidR="00F83405" w:rsidRPr="00F83405">
        <w:t xml:space="preserve"> and 90</w:t>
      </w:r>
      <w:r w:rsidR="00F83405" w:rsidRPr="00F83405">
        <w:rPr>
          <w:vertAlign w:val="superscript"/>
        </w:rPr>
        <w:t>th</w:t>
      </w:r>
      <w:r w:rsidR="00F83405" w:rsidRPr="00F83405">
        <w:t xml:space="preserve"> percentiles for length (cm) in the harvest. Mean values for pKept are 0.221 at the 10</w:t>
      </w:r>
      <w:r w:rsidR="00F83405" w:rsidRPr="00F83405">
        <w:rPr>
          <w:vertAlign w:val="superscript"/>
        </w:rPr>
        <w:t>th</w:t>
      </w:r>
      <w:r w:rsidR="00F83405" w:rsidRPr="00F83405">
        <w:t xml:space="preserve"> percentile, and 0.834 at the 90</w:t>
      </w:r>
      <w:r w:rsidR="00F83405" w:rsidRPr="00F83405">
        <w:rPr>
          <w:vertAlign w:val="superscript"/>
        </w:rPr>
        <w:t>th</w:t>
      </w:r>
      <w:r w:rsidR="00F83405" w:rsidRPr="00F83405">
        <w:t xml:space="preserve"> percentile, indicated by dotted reference lines. Data are from creel surveys where length of released fish was recorded from measurements or angler estimates. Data were included for fisheries without size limits, or fisheries where the minimum size limit was well below the smallest fish retained (didn’t have a significant effect on the proportions kept). Species include red snapper </w:t>
      </w:r>
      <w:r w:rsidR="00F83405" w:rsidRPr="00F83405">
        <w:rPr>
          <w:rStyle w:val="kno-fv"/>
        </w:rPr>
        <w:t xml:space="preserve">Lutjanus </w:t>
      </w:r>
      <w:r w:rsidR="00F83405" w:rsidRPr="00F83405">
        <w:rPr>
          <w:rStyle w:val="kno-fv"/>
          <w:i/>
        </w:rPr>
        <w:t>campechanus</w:t>
      </w:r>
      <w:r w:rsidR="00F83405" w:rsidRPr="00F83405">
        <w:t xml:space="preserve"> (RS), striped bass </w:t>
      </w:r>
      <w:r w:rsidR="00F83405" w:rsidRPr="00F83405">
        <w:rPr>
          <w:i/>
        </w:rPr>
        <w:t>Morone saxatilis</w:t>
      </w:r>
      <w:r w:rsidR="00F83405" w:rsidRPr="00F83405">
        <w:t xml:space="preserve"> (SB), northern pike </w:t>
      </w:r>
      <w:r w:rsidR="00F83405" w:rsidRPr="00F83405">
        <w:rPr>
          <w:i/>
        </w:rPr>
        <w:t>Esox lucius</w:t>
      </w:r>
      <w:r w:rsidR="00F83405" w:rsidRPr="00F83405">
        <w:t xml:space="preserve"> (NP), yellow perch </w:t>
      </w:r>
      <w:r w:rsidR="00F83405" w:rsidRPr="00F83405">
        <w:rPr>
          <w:i/>
        </w:rPr>
        <w:t>Perca flavacens</w:t>
      </w:r>
      <w:r w:rsidR="00F83405" w:rsidRPr="00F83405">
        <w:t xml:space="preserve"> (YP), walleye </w:t>
      </w:r>
      <w:r w:rsidR="00F83405" w:rsidRPr="00F83405">
        <w:rPr>
          <w:i/>
        </w:rPr>
        <w:t>Sander vitreus</w:t>
      </w:r>
      <w:r w:rsidR="00F83405" w:rsidRPr="00F83405">
        <w:t xml:space="preserve"> (WE), black crappie </w:t>
      </w:r>
      <w:r w:rsidR="00F83405" w:rsidRPr="00F83405">
        <w:rPr>
          <w:rStyle w:val="Emphasis"/>
        </w:rPr>
        <w:t>Pomoxis</w:t>
      </w:r>
      <w:r w:rsidR="00F83405" w:rsidRPr="00F83405">
        <w:rPr>
          <w:rStyle w:val="st"/>
          <w:i/>
        </w:rPr>
        <w:t xml:space="preserve"> nigromaculatus</w:t>
      </w:r>
      <w:r w:rsidR="00F83405" w:rsidRPr="00F83405">
        <w:t xml:space="preserve"> (BC), sunfish </w:t>
      </w:r>
      <w:r w:rsidR="00F83405" w:rsidRPr="00F83405">
        <w:rPr>
          <w:i/>
        </w:rPr>
        <w:t>Lepomis</w:t>
      </w:r>
      <w:r w:rsidR="00F83405" w:rsidRPr="00F83405">
        <w:t xml:space="preserve"> spp. (SF), and channel catfish </w:t>
      </w:r>
      <w:r w:rsidR="00F83405" w:rsidRPr="00F83405">
        <w:rPr>
          <w:i/>
        </w:rPr>
        <w:t>Ictalurus punctatus</w:t>
      </w:r>
      <w:r w:rsidR="00F83405" w:rsidRPr="00F83405">
        <w:t xml:space="preserve"> (CC). Sources include Chapman (2001), Donaldson et al. (20</w:t>
      </w:r>
      <w:r w:rsidR="00854384">
        <w:t>13</w:t>
      </w:r>
      <w:r w:rsidR="00F83405" w:rsidRPr="00F83405">
        <w:t>), Jensen (2012), Jensen (2013), Meerbeek (2006), Minnesota DNR (no date), and Pelham (2004)</w:t>
      </w:r>
      <w:r w:rsidRPr="00F83405">
        <w:rPr>
          <w:noProof/>
        </w:rPr>
        <w:tab/>
      </w:r>
      <w:r w:rsidR="00F83405" w:rsidRPr="00F83405">
        <w:rPr>
          <w:noProof/>
        </w:rPr>
        <w:t>16</w:t>
      </w:r>
    </w:p>
    <w:p w14:paraId="1468A6E5" w14:textId="2EB6D0A7" w:rsidR="002E0BD4" w:rsidRPr="00F83405" w:rsidRDefault="002E0BD4">
      <w:pPr>
        <w:pStyle w:val="TableofFigures"/>
        <w:rPr>
          <w:rFonts w:asciiTheme="minorHAnsi" w:eastAsiaTheme="minorEastAsia" w:hAnsiTheme="minorHAnsi" w:cstheme="minorBidi"/>
          <w:noProof/>
          <w:sz w:val="22"/>
          <w:szCs w:val="22"/>
        </w:rPr>
      </w:pPr>
      <w:r w:rsidRPr="00F83405">
        <w:rPr>
          <w:noProof/>
        </w:rPr>
        <w:t xml:space="preserve">Figure </w:t>
      </w:r>
      <w:r w:rsidR="00F83405" w:rsidRPr="00F83405">
        <w:rPr>
          <w:noProof/>
        </w:rPr>
        <w:t>4</w:t>
      </w:r>
      <w:r w:rsidR="00CF2755">
        <w:rPr>
          <w:noProof/>
        </w:rPr>
        <w:t>.</w:t>
      </w:r>
      <w:r w:rsidR="00F83405" w:rsidRPr="00F83405">
        <w:rPr>
          <w:noProof/>
        </w:rPr>
        <w:t xml:space="preserve"> </w:t>
      </w:r>
      <w:r w:rsidR="00F83405" w:rsidRPr="00F83405">
        <w:t xml:space="preserve">Example </w:t>
      </w:r>
      <w:r w:rsidR="00854384">
        <w:t>using</w:t>
      </w:r>
      <w:r w:rsidR="00F83405" w:rsidRPr="00F83405">
        <w:t xml:space="preserve"> 2017 length data from halibut harvested by unguided anglers in Homer to predict the length frequency of released halibut. In the upper figure, a logistic curve was fit to empirical points representing 22% retention at the 10th percentile for length (24 inches) and 83% retention at the 90</w:t>
      </w:r>
      <w:r w:rsidR="00F83405" w:rsidRPr="00F83405">
        <w:rPr>
          <w:vertAlign w:val="superscript"/>
        </w:rPr>
        <w:t>th</w:t>
      </w:r>
      <w:r w:rsidR="00F83405" w:rsidRPr="00F83405">
        <w:t xml:space="preserve"> percentile for length (38 inches), subject to the condition that the predicted number of released fish (sum over length frequency in the lower figure) equals the </w:t>
      </w:r>
      <w:r w:rsidR="00854384">
        <w:t>final</w:t>
      </w:r>
      <w:r w:rsidR="00F83405" w:rsidRPr="00F83405">
        <w:t xml:space="preserve"> estimate of released fish for 201</w:t>
      </w:r>
      <w:r w:rsidR="00854384">
        <w:t>7</w:t>
      </w:r>
      <w:r w:rsidR="00F83405" w:rsidRPr="00F83405">
        <w:t>. The mean weight of released fish is calculated from the release length frequency in the lower figure using the IPHC length-weight relationship</w:t>
      </w:r>
      <w:r w:rsidRPr="00F83405">
        <w:rPr>
          <w:noProof/>
        </w:rPr>
        <w:tab/>
      </w:r>
      <w:r w:rsidR="00F83405" w:rsidRPr="00F83405">
        <w:rPr>
          <w:noProof/>
        </w:rPr>
        <w:t>17</w:t>
      </w:r>
    </w:p>
    <w:p w14:paraId="0DD765DA" w14:textId="77777777" w:rsidR="00AD26BD" w:rsidRPr="00F83405" w:rsidRDefault="00846B6C" w:rsidP="00AD26BD">
      <w:pPr>
        <w:keepNext/>
      </w:pPr>
      <w:r w:rsidRPr="00F83405">
        <w:fldChar w:fldCharType="end"/>
      </w:r>
    </w:p>
    <w:p w14:paraId="1B6B1AB0" w14:textId="77777777" w:rsidR="00C00D2A" w:rsidRPr="00534FF2" w:rsidRDefault="00C00D2A" w:rsidP="00C00D2A">
      <w:pPr>
        <w:pStyle w:val="Heading1"/>
      </w:pPr>
      <w:bookmarkStart w:id="8" w:name="_Toc398217600"/>
      <w:r w:rsidRPr="00534FF2">
        <w:t>LIST OF APPENDICES</w:t>
      </w:r>
      <w:bookmarkEnd w:id="8"/>
    </w:p>
    <w:p w14:paraId="76EB9824" w14:textId="77777777" w:rsidR="00C00D2A" w:rsidRPr="00CF2755" w:rsidRDefault="00C00D2A" w:rsidP="00C00D2A">
      <w:pPr>
        <w:pStyle w:val="List-Page"/>
      </w:pPr>
      <w:r w:rsidRPr="00CF2755">
        <w:t>Appendix</w:t>
      </w:r>
      <w:r w:rsidRPr="00CF2755">
        <w:tab/>
        <w:t>Page</w:t>
      </w:r>
    </w:p>
    <w:p w14:paraId="4738A4D9" w14:textId="1A581A49" w:rsidR="002E0BD4" w:rsidRPr="00CF2755" w:rsidRDefault="00846B6C">
      <w:pPr>
        <w:pStyle w:val="TableofFigures"/>
        <w:rPr>
          <w:rFonts w:asciiTheme="minorHAnsi" w:eastAsiaTheme="minorEastAsia" w:hAnsiTheme="minorHAnsi" w:cstheme="minorBidi"/>
          <w:noProof/>
          <w:sz w:val="22"/>
          <w:szCs w:val="22"/>
        </w:rPr>
      </w:pPr>
      <w:r w:rsidRPr="00CF2755">
        <w:rPr>
          <w:sz w:val="22"/>
          <w:szCs w:val="22"/>
        </w:rPr>
        <w:fldChar w:fldCharType="begin"/>
      </w:r>
      <w:r w:rsidR="00FE6F66" w:rsidRPr="00CF2755">
        <w:rPr>
          <w:sz w:val="22"/>
          <w:szCs w:val="22"/>
        </w:rPr>
        <w:instrText xml:space="preserve"> TOC \h \z \c "Appendix" </w:instrText>
      </w:r>
      <w:r w:rsidRPr="00CF2755">
        <w:rPr>
          <w:sz w:val="22"/>
          <w:szCs w:val="22"/>
        </w:rPr>
        <w:fldChar w:fldCharType="separate"/>
      </w:r>
      <w:hyperlink w:anchor="_Toc400572439" w:history="1">
        <w:r w:rsidR="002E0BD4" w:rsidRPr="00CF2755">
          <w:rPr>
            <w:rStyle w:val="Hyperlink"/>
            <w:noProof/>
          </w:rPr>
          <w:t xml:space="preserve">Appendix A1. Sample OpenBugs code and results of estimation of the standard error of average weight and yield for charter and </w:t>
        </w:r>
        <w:r w:rsidR="00A04F70" w:rsidRPr="00CF2755">
          <w:rPr>
            <w:rStyle w:val="Hyperlink"/>
            <w:noProof/>
          </w:rPr>
          <w:t>unguided</w:t>
        </w:r>
        <w:r w:rsidR="002E0BD4" w:rsidRPr="00CF2755">
          <w:rPr>
            <w:rStyle w:val="Hyperlink"/>
            <w:noProof/>
          </w:rPr>
          <w:t xml:space="preserve"> sectors in IPHC Area 2C </w:t>
        </w:r>
        <w:r w:rsidR="00AB2D41">
          <w:rPr>
            <w:rStyle w:val="Hyperlink"/>
            <w:noProof/>
          </w:rPr>
          <w:t xml:space="preserve">in 2017 </w:t>
        </w:r>
        <w:r w:rsidR="002E0BD4" w:rsidRPr="00CF2755">
          <w:rPr>
            <w:rStyle w:val="Hyperlink"/>
            <w:noProof/>
          </w:rPr>
          <w:t>(Objective 1).</w:t>
        </w:r>
        <w:r w:rsidR="002E0BD4" w:rsidRPr="00CF2755">
          <w:rPr>
            <w:noProof/>
            <w:webHidden/>
          </w:rPr>
          <w:tab/>
        </w:r>
        <w:r w:rsidRPr="00CF2755">
          <w:rPr>
            <w:noProof/>
            <w:webHidden/>
          </w:rPr>
          <w:fldChar w:fldCharType="begin"/>
        </w:r>
        <w:r w:rsidR="002E0BD4" w:rsidRPr="00CF2755">
          <w:rPr>
            <w:noProof/>
            <w:webHidden/>
          </w:rPr>
          <w:instrText xml:space="preserve"> PAGEREF _Toc400572439 \h </w:instrText>
        </w:r>
        <w:r w:rsidRPr="00CF2755">
          <w:rPr>
            <w:noProof/>
            <w:webHidden/>
          </w:rPr>
        </w:r>
        <w:r w:rsidRPr="00CF2755">
          <w:rPr>
            <w:noProof/>
            <w:webHidden/>
          </w:rPr>
          <w:fldChar w:fldCharType="separate"/>
        </w:r>
        <w:r w:rsidR="00831795" w:rsidRPr="00CF2755">
          <w:rPr>
            <w:noProof/>
            <w:webHidden/>
          </w:rPr>
          <w:t>23</w:t>
        </w:r>
        <w:r w:rsidRPr="00CF2755">
          <w:rPr>
            <w:noProof/>
            <w:webHidden/>
          </w:rPr>
          <w:fldChar w:fldCharType="end"/>
        </w:r>
      </w:hyperlink>
    </w:p>
    <w:p w14:paraId="6318F7C4" w14:textId="77777777" w:rsidR="004D7964" w:rsidRPr="00CF2755" w:rsidRDefault="00846B6C" w:rsidP="00FE6F66">
      <w:pPr>
        <w:pStyle w:val="TableofFigures"/>
      </w:pPr>
      <w:r w:rsidRPr="00CF2755">
        <w:rPr>
          <w:sz w:val="22"/>
          <w:szCs w:val="22"/>
        </w:rPr>
        <w:fldChar w:fldCharType="end"/>
      </w:r>
      <w:r w:rsidR="00796FB6" w:rsidRPr="00CF2755">
        <w:rPr>
          <w:rStyle w:val="Hyperlink"/>
          <w:noProof/>
          <w:color w:val="auto"/>
          <w:u w:val="none"/>
        </w:rPr>
        <w:tab/>
      </w:r>
    </w:p>
    <w:p w14:paraId="4FE5F95D" w14:textId="77777777" w:rsidR="00134CB0" w:rsidRPr="00534FF2" w:rsidRDefault="00134CB0" w:rsidP="00A763FA">
      <w:pPr>
        <w:pStyle w:val="Heading1"/>
        <w:rPr>
          <w:highlight w:val="yellow"/>
        </w:rPr>
        <w:sectPr w:rsidR="00134CB0" w:rsidRPr="00534FF2" w:rsidSect="004072E5">
          <w:headerReference w:type="default" r:id="rId24"/>
          <w:footerReference w:type="default" r:id="rId25"/>
          <w:pgSz w:w="12240" w:h="15840" w:code="1"/>
          <w:pgMar w:top="1440" w:right="1440" w:bottom="1440" w:left="1440" w:header="720" w:footer="576" w:gutter="0"/>
          <w:pgNumType w:fmt="lowerRoman" w:start="1"/>
          <w:cols w:space="720"/>
          <w:docGrid w:linePitch="360"/>
        </w:sectPr>
      </w:pPr>
    </w:p>
    <w:p w14:paraId="449C327C" w14:textId="77777777" w:rsidR="00A8418B" w:rsidRPr="00534FF2" w:rsidRDefault="00A8418B" w:rsidP="00A8418B">
      <w:pPr>
        <w:pStyle w:val="Heading1"/>
      </w:pPr>
      <w:bookmarkStart w:id="9" w:name="_Toc398217601"/>
      <w:bookmarkEnd w:id="2"/>
      <w:bookmarkEnd w:id="3"/>
      <w:bookmarkEnd w:id="4"/>
      <w:r w:rsidRPr="00534FF2">
        <w:lastRenderedPageBreak/>
        <w:t>Purpose</w:t>
      </w:r>
      <w:bookmarkEnd w:id="9"/>
    </w:p>
    <w:p w14:paraId="3749A6C0" w14:textId="3EC2EF21" w:rsidR="00F80A27" w:rsidRPr="00534FF2" w:rsidRDefault="00F80A27" w:rsidP="00F80A27">
      <w:pPr>
        <w:rPr>
          <w:color w:val="000000" w:themeColor="text1"/>
        </w:rPr>
      </w:pPr>
      <w:r w:rsidRPr="00534FF2">
        <w:rPr>
          <w:color w:val="000000" w:themeColor="text1"/>
        </w:rPr>
        <w:t xml:space="preserve">This plan describes the procedures by which </w:t>
      </w:r>
      <w:r w:rsidR="00804A3A" w:rsidRPr="00534FF2">
        <w:rPr>
          <w:color w:val="000000" w:themeColor="text1"/>
        </w:rPr>
        <w:t xml:space="preserve">multiple types of </w:t>
      </w:r>
      <w:r w:rsidR="0078733E" w:rsidRPr="00534FF2">
        <w:rPr>
          <w:color w:val="000000" w:themeColor="text1"/>
        </w:rPr>
        <w:t>halibut sport fishery data</w:t>
      </w:r>
      <w:r w:rsidRPr="00534FF2">
        <w:rPr>
          <w:color w:val="000000" w:themeColor="text1"/>
        </w:rPr>
        <w:t xml:space="preserve"> </w:t>
      </w:r>
      <w:r w:rsidR="00804A3A" w:rsidRPr="00534FF2">
        <w:rPr>
          <w:color w:val="000000" w:themeColor="text1"/>
        </w:rPr>
        <w:t xml:space="preserve">from </w:t>
      </w:r>
      <w:r w:rsidR="0078733E" w:rsidRPr="00534FF2">
        <w:rPr>
          <w:color w:val="000000" w:themeColor="text1"/>
        </w:rPr>
        <w:t xml:space="preserve">the Alaska Department of Fish and Game creel sampling programs, </w:t>
      </w:r>
      <w:r w:rsidR="00AA369F" w:rsidRPr="00534FF2">
        <w:rPr>
          <w:color w:val="000000" w:themeColor="text1"/>
        </w:rPr>
        <w:t xml:space="preserve">Statewide Harvest Survey, </w:t>
      </w:r>
      <w:r w:rsidR="0078733E" w:rsidRPr="00534FF2">
        <w:rPr>
          <w:color w:val="000000" w:themeColor="text1"/>
        </w:rPr>
        <w:t xml:space="preserve">and </w:t>
      </w:r>
      <w:r w:rsidR="00534FF2">
        <w:rPr>
          <w:color w:val="000000" w:themeColor="text1"/>
        </w:rPr>
        <w:t>C</w:t>
      </w:r>
      <w:r w:rsidR="0078733E" w:rsidRPr="00534FF2">
        <w:rPr>
          <w:color w:val="000000" w:themeColor="text1"/>
        </w:rPr>
        <w:t xml:space="preserve">harter </w:t>
      </w:r>
      <w:r w:rsidR="00534FF2">
        <w:rPr>
          <w:color w:val="000000" w:themeColor="text1"/>
        </w:rPr>
        <w:t>L</w:t>
      </w:r>
      <w:r w:rsidR="0078733E" w:rsidRPr="00534FF2">
        <w:rPr>
          <w:color w:val="000000" w:themeColor="text1"/>
        </w:rPr>
        <w:t xml:space="preserve">ogbook </w:t>
      </w:r>
      <w:r w:rsidR="00534FF2">
        <w:rPr>
          <w:color w:val="000000" w:themeColor="text1"/>
        </w:rPr>
        <w:t xml:space="preserve">Program </w:t>
      </w:r>
      <w:r w:rsidR="00804A3A" w:rsidRPr="00534FF2">
        <w:rPr>
          <w:color w:val="000000" w:themeColor="text1"/>
        </w:rPr>
        <w:t xml:space="preserve">will be synthesized to provide estimates and projections of </w:t>
      </w:r>
      <w:r w:rsidR="000E218B">
        <w:rPr>
          <w:color w:val="000000" w:themeColor="text1"/>
        </w:rPr>
        <w:t>charter (guided</w:t>
      </w:r>
      <w:r w:rsidR="00AA369F">
        <w:rPr>
          <w:color w:val="000000" w:themeColor="text1"/>
        </w:rPr>
        <w:t>, for-hire</w:t>
      </w:r>
      <w:r w:rsidR="000E218B">
        <w:rPr>
          <w:color w:val="000000" w:themeColor="text1"/>
        </w:rPr>
        <w:t>)</w:t>
      </w:r>
      <w:r w:rsidR="00A04F70">
        <w:rPr>
          <w:color w:val="000000" w:themeColor="text1"/>
        </w:rPr>
        <w:t xml:space="preserve"> </w:t>
      </w:r>
      <w:r w:rsidR="00804A3A" w:rsidRPr="00534FF2">
        <w:rPr>
          <w:color w:val="000000" w:themeColor="text1"/>
        </w:rPr>
        <w:t xml:space="preserve">and unguided recreational halibut harvest and discard mortality for </w:t>
      </w:r>
      <w:r w:rsidR="0078733E" w:rsidRPr="00534FF2">
        <w:rPr>
          <w:color w:val="000000" w:themeColor="text1"/>
        </w:rPr>
        <w:t xml:space="preserve">Alaska. </w:t>
      </w:r>
      <w:r w:rsidR="00804A3A" w:rsidRPr="00534FF2">
        <w:rPr>
          <w:color w:val="000000" w:themeColor="text1"/>
        </w:rPr>
        <w:t xml:space="preserve">This information is </w:t>
      </w:r>
      <w:r w:rsidR="0078733E" w:rsidRPr="00534FF2">
        <w:rPr>
          <w:color w:val="000000" w:themeColor="text1"/>
        </w:rPr>
        <w:t>provided</w:t>
      </w:r>
      <w:r w:rsidR="00804A3A" w:rsidRPr="00534FF2">
        <w:rPr>
          <w:color w:val="000000" w:themeColor="text1"/>
        </w:rPr>
        <w:t xml:space="preserve"> </w:t>
      </w:r>
      <w:r w:rsidR="0078733E" w:rsidRPr="00534FF2">
        <w:rPr>
          <w:color w:val="000000" w:themeColor="text1"/>
        </w:rPr>
        <w:t xml:space="preserve">annually to multiple federal agencies for halibut stock assessment, development of harvest policy, and evaluation </w:t>
      </w:r>
      <w:r w:rsidR="00804A3A" w:rsidRPr="00534FF2">
        <w:rPr>
          <w:color w:val="000000" w:themeColor="text1"/>
        </w:rPr>
        <w:t xml:space="preserve">of annual management measures for the </w:t>
      </w:r>
      <w:r w:rsidR="00A04F70">
        <w:rPr>
          <w:color w:val="000000" w:themeColor="text1"/>
        </w:rPr>
        <w:t>charter</w:t>
      </w:r>
      <w:r w:rsidR="00E975CE">
        <w:rPr>
          <w:color w:val="000000" w:themeColor="text1"/>
        </w:rPr>
        <w:t xml:space="preserve"> </w:t>
      </w:r>
      <w:r w:rsidR="0078733E" w:rsidRPr="00534FF2">
        <w:rPr>
          <w:color w:val="000000" w:themeColor="text1"/>
        </w:rPr>
        <w:t>fishery</w:t>
      </w:r>
      <w:r w:rsidR="00804A3A" w:rsidRPr="00534FF2">
        <w:rPr>
          <w:color w:val="000000" w:themeColor="text1"/>
        </w:rPr>
        <w:t xml:space="preserve">. </w:t>
      </w:r>
    </w:p>
    <w:p w14:paraId="1F8ED637" w14:textId="77777777" w:rsidR="00A8418B" w:rsidRPr="001779B5" w:rsidRDefault="00A8418B" w:rsidP="00A8418B">
      <w:pPr>
        <w:pStyle w:val="Heading1"/>
      </w:pPr>
      <w:bookmarkStart w:id="10" w:name="_Toc398217602"/>
      <w:r w:rsidRPr="001779B5">
        <w:t>Background</w:t>
      </w:r>
      <w:bookmarkEnd w:id="10"/>
    </w:p>
    <w:p w14:paraId="45BCB3E1" w14:textId="1973A39A" w:rsidR="00A8418B" w:rsidRPr="007C167C" w:rsidRDefault="00A8418B" w:rsidP="00F80A27">
      <w:pPr>
        <w:rPr>
          <w:spacing w:val="-3"/>
        </w:rPr>
      </w:pPr>
      <w:r w:rsidRPr="001779B5">
        <w:t xml:space="preserve">The marine waters of Southeast and Southcentral Alaska support </w:t>
      </w:r>
      <w:r w:rsidR="00D846AE" w:rsidRPr="001779B5">
        <w:t>a major</w:t>
      </w:r>
      <w:r w:rsidRPr="001779B5">
        <w:t xml:space="preserve"> recreational fishery for Pacific</w:t>
      </w:r>
      <w:r w:rsidRPr="001779B5">
        <w:rPr>
          <w:spacing w:val="-3"/>
        </w:rPr>
        <w:t xml:space="preserve"> halibut </w:t>
      </w:r>
      <w:proofErr w:type="spellStart"/>
      <w:r w:rsidRPr="001779B5">
        <w:rPr>
          <w:i/>
          <w:spacing w:val="-3"/>
        </w:rPr>
        <w:t>Hippoglossus</w:t>
      </w:r>
      <w:proofErr w:type="spellEnd"/>
      <w:r w:rsidRPr="001779B5">
        <w:rPr>
          <w:i/>
          <w:spacing w:val="-3"/>
        </w:rPr>
        <w:t xml:space="preserve"> </w:t>
      </w:r>
      <w:proofErr w:type="spellStart"/>
      <w:r w:rsidRPr="001779B5">
        <w:rPr>
          <w:i/>
          <w:spacing w:val="-3"/>
        </w:rPr>
        <w:t>stenolepis</w:t>
      </w:r>
      <w:proofErr w:type="spellEnd"/>
      <w:r w:rsidRPr="001779B5">
        <w:rPr>
          <w:spacing w:val="-3"/>
        </w:rPr>
        <w:t xml:space="preserve">. Recreational </w:t>
      </w:r>
      <w:r w:rsidRPr="001779B5">
        <w:t xml:space="preserve">harvest of halibut has grown considerably since the mid-1970s. </w:t>
      </w:r>
      <w:proofErr w:type="spellStart"/>
      <w:r w:rsidRPr="001779B5">
        <w:t>Skud</w:t>
      </w:r>
      <w:proofErr w:type="spellEnd"/>
      <w:r w:rsidRPr="001779B5">
        <w:t xml:space="preserve"> (1975) estimated the entire Alaska </w:t>
      </w:r>
      <w:r w:rsidR="0091794A">
        <w:t>recreational</w:t>
      </w:r>
      <w:r w:rsidRPr="001779B5">
        <w:t xml:space="preserve"> harvest at 10,000 fish in the mid-1970s. Estimates from the </w:t>
      </w:r>
      <w:r w:rsidR="007C167C">
        <w:t>Alaska Department of Fish and Game (</w:t>
      </w:r>
      <w:r w:rsidRPr="001779B5">
        <w:t>ADF&amp;G</w:t>
      </w:r>
      <w:r w:rsidR="007C167C">
        <w:t>)</w:t>
      </w:r>
      <w:r w:rsidRPr="001779B5">
        <w:t xml:space="preserve"> Statewide Harvest Survey (SWHS)</w:t>
      </w:r>
      <w:r w:rsidR="009B03F1" w:rsidRPr="001779B5">
        <w:t>,</w:t>
      </w:r>
      <w:r w:rsidRPr="001779B5">
        <w:t xml:space="preserve"> range from about 23,000 fish statewide when the survey began in 1977 to a peak harvest of </w:t>
      </w:r>
      <w:r w:rsidR="00331BF0" w:rsidRPr="001779B5">
        <w:t>nearly</w:t>
      </w:r>
      <w:r w:rsidRPr="001779B5">
        <w:t xml:space="preserve"> 58</w:t>
      </w:r>
      <w:r w:rsidR="00331BF0" w:rsidRPr="001779B5">
        <w:t>5</w:t>
      </w:r>
      <w:r w:rsidRPr="001779B5">
        <w:t xml:space="preserve">,000 halibut in </w:t>
      </w:r>
      <w:r w:rsidRPr="00177EDD">
        <w:t xml:space="preserve">2007 (Figure 1). </w:t>
      </w:r>
      <w:proofErr w:type="gramStart"/>
      <w:r w:rsidRPr="00177EDD">
        <w:t>The majority of</w:t>
      </w:r>
      <w:proofErr w:type="gramEnd"/>
      <w:r w:rsidRPr="00177EDD">
        <w:t xml:space="preserve"> the recreational harvest occurs in that portion of Southcentral Alaska making up International Pacific Halibut Commission (IPHC) Regulatory Area 3A, which stretches from Cape Spencer to the south end of Kodiak Island (Figure 2). Most of the remainder of the </w:t>
      </w:r>
      <w:r w:rsidR="00712C0D" w:rsidRPr="00177EDD">
        <w:t>recreational</w:t>
      </w:r>
      <w:r w:rsidRPr="00177EDD">
        <w:t xml:space="preserve"> harvest occurs in </w:t>
      </w:r>
      <w:r w:rsidR="00701585" w:rsidRPr="00177EDD">
        <w:t xml:space="preserve">IPHC Regulatory </w:t>
      </w:r>
      <w:r w:rsidRPr="00177EDD">
        <w:t xml:space="preserve">Area 2C, which extends from Cape Spencer to the southern border of Southeast Alaska near Ketchikan. </w:t>
      </w:r>
      <w:r w:rsidR="00712C0D" w:rsidRPr="00177EDD">
        <w:t>Recreational</w:t>
      </w:r>
      <w:r w:rsidRPr="00177EDD">
        <w:t xml:space="preserve"> harvest is relatively minor in </w:t>
      </w:r>
      <w:r w:rsidR="00701585" w:rsidRPr="00177EDD">
        <w:t xml:space="preserve">IPHC Regulatory </w:t>
      </w:r>
      <w:r w:rsidRPr="00177EDD">
        <w:t>Areas 3B and 4</w:t>
      </w:r>
      <w:r w:rsidR="007C167C" w:rsidRPr="00177EDD">
        <w:t>A-E</w:t>
      </w:r>
      <w:r w:rsidRPr="00177EDD">
        <w:t xml:space="preserve"> (Figure 1). The halibut fishery and</w:t>
      </w:r>
      <w:r w:rsidRPr="007C167C">
        <w:t xml:space="preserve"> related tourism are extremely important to the economy of coastal communities, providing significant seasonal employment and income. </w:t>
      </w:r>
    </w:p>
    <w:p w14:paraId="734D858B" w14:textId="04BD33A8" w:rsidR="00A8418B" w:rsidRPr="007C167C" w:rsidRDefault="00AA369F" w:rsidP="00F80A27">
      <w:r w:rsidRPr="007C167C">
        <w:t>Several</w:t>
      </w:r>
      <w:r w:rsidR="00A8418B" w:rsidRPr="007C167C">
        <w:t xml:space="preserve"> jurisdictions and agencies are involved in halibut management. The fishery is managed under the “Convention Between the United States and Canada for the Preservation of the Halibut Fishery of the North Pacific Ocean and Bering Sea” (Convention). Within the U</w:t>
      </w:r>
      <w:r w:rsidR="00D846AE" w:rsidRPr="007C167C">
        <w:t>nited States</w:t>
      </w:r>
      <w:r w:rsidR="00A8418B" w:rsidRPr="007C167C">
        <w:t xml:space="preserve">, the IPHC and National Marine Fisheries Service (NMFS) manage halibut under authority of the Northern Pacific Halibut Act of 1982 (Halibut Act). The </w:t>
      </w:r>
      <w:r w:rsidR="007C167C">
        <w:t xml:space="preserve">Secretary of State and </w:t>
      </w:r>
      <w:r w:rsidR="00A8418B" w:rsidRPr="007C167C">
        <w:t>Secretary of Commerce ha</w:t>
      </w:r>
      <w:r w:rsidR="007C167C">
        <w:t>ve</w:t>
      </w:r>
      <w:r w:rsidR="00A8418B" w:rsidRPr="007C167C">
        <w:t xml:space="preserve"> authority to approve regulations necessary to carry out the objectives of the Convention and Halibut Act. In addition, the North Pacific Fishery Management Council (</w:t>
      </w:r>
      <w:r w:rsidR="00FE4532">
        <w:t xml:space="preserve">NPFMC, </w:t>
      </w:r>
      <w:r w:rsidR="00F745C8" w:rsidRPr="007C167C">
        <w:t>Council</w:t>
      </w:r>
      <w:r w:rsidR="00A8418B" w:rsidRPr="007C167C">
        <w:t xml:space="preserve">) has authority to develop additional regulations for allocation of the halibut resource within Alaska. These regulations may not </w:t>
      </w:r>
      <w:proofErr w:type="gramStart"/>
      <w:r w:rsidR="00A8418B" w:rsidRPr="007C167C">
        <w:t>be in conflict with</w:t>
      </w:r>
      <w:proofErr w:type="gramEnd"/>
      <w:r w:rsidR="00A8418B" w:rsidRPr="007C167C">
        <w:t xml:space="preserve"> IPHC regulations. The ADF&amp;G Commissioner</w:t>
      </w:r>
      <w:r w:rsidR="007C167C" w:rsidRPr="007C167C">
        <w:t>, or an appointee thereof,</w:t>
      </w:r>
      <w:r w:rsidR="00A8418B" w:rsidRPr="007C167C">
        <w:t xml:space="preserve"> is a designated voting member of the </w:t>
      </w:r>
      <w:r w:rsidR="00F745C8" w:rsidRPr="007C167C">
        <w:t>Council</w:t>
      </w:r>
      <w:r w:rsidR="00A8418B" w:rsidRPr="007C167C">
        <w:t xml:space="preserve">, and represents the </w:t>
      </w:r>
      <w:r>
        <w:t>s</w:t>
      </w:r>
      <w:r w:rsidR="00A8418B" w:rsidRPr="007C167C">
        <w:t>tate</w:t>
      </w:r>
      <w:r w:rsidR="00092B21" w:rsidRPr="007C167C">
        <w:t>’s interests</w:t>
      </w:r>
      <w:r w:rsidR="00A8418B" w:rsidRPr="007C167C">
        <w:t xml:space="preserve"> in allocation and management decisions. </w:t>
      </w:r>
    </w:p>
    <w:p w14:paraId="0009184A" w14:textId="29A9D9C1" w:rsidR="0078733E" w:rsidRPr="0019550F" w:rsidRDefault="00142557" w:rsidP="00F80A27">
      <w:r w:rsidRPr="007C167C">
        <w:t xml:space="preserve">Since the mid-1980s, </w:t>
      </w:r>
      <w:r w:rsidR="00A8418B" w:rsidRPr="007C167C">
        <w:t xml:space="preserve">ADF&amp;G has assumed responsibility for collection of data from the recreational </w:t>
      </w:r>
      <w:r w:rsidR="007C167C" w:rsidRPr="007C167C">
        <w:t xml:space="preserve">halibut </w:t>
      </w:r>
      <w:r w:rsidR="00A8418B" w:rsidRPr="007C167C">
        <w:t xml:space="preserve">fishery in order to advise federal management agencies </w:t>
      </w:r>
      <w:r w:rsidR="00EC6425" w:rsidRPr="007C167C">
        <w:t>such that</w:t>
      </w:r>
      <w:r w:rsidR="00A8418B" w:rsidRPr="007C167C">
        <w:t xml:space="preserve"> decisions </w:t>
      </w:r>
      <w:r w:rsidR="00FE4532">
        <w:t>are</w:t>
      </w:r>
      <w:r w:rsidR="00A8418B" w:rsidRPr="007C167C">
        <w:t xml:space="preserve"> made based upon the best available information. </w:t>
      </w:r>
      <w:r w:rsidR="002C7B78" w:rsidRPr="007C167C">
        <w:t>ADF&amp;G provides the</w:t>
      </w:r>
      <w:r w:rsidR="00A8418B" w:rsidRPr="007C167C">
        <w:t xml:space="preserve"> IPHC </w:t>
      </w:r>
      <w:r w:rsidR="002C7B78" w:rsidRPr="007C167C">
        <w:t xml:space="preserve">with harvest information </w:t>
      </w:r>
      <w:r w:rsidR="00E37135" w:rsidRPr="007C167C">
        <w:t xml:space="preserve">annually </w:t>
      </w:r>
      <w:r w:rsidR="00A8418B" w:rsidRPr="007C167C">
        <w:t xml:space="preserve">for stock assessments, formulation of harvest strategies, and </w:t>
      </w:r>
      <w:r w:rsidR="00E37135" w:rsidRPr="007C167C">
        <w:t xml:space="preserve">to aid in </w:t>
      </w:r>
      <w:r w:rsidR="00A8418B" w:rsidRPr="007C167C">
        <w:t xml:space="preserve">apportionment of quota recommendations among </w:t>
      </w:r>
      <w:r w:rsidR="00A8418B" w:rsidRPr="0019550F">
        <w:t xml:space="preserve">regulatory areas. </w:t>
      </w:r>
      <w:r w:rsidR="002C7B78" w:rsidRPr="0019550F">
        <w:t xml:space="preserve">ADF&amp;G also provides this information to the Council and analyzes regulatory alternatives for management of the </w:t>
      </w:r>
      <w:r w:rsidR="00701585">
        <w:t xml:space="preserve">charter </w:t>
      </w:r>
      <w:r w:rsidR="007C167C" w:rsidRPr="0019550F">
        <w:t>fishery</w:t>
      </w:r>
      <w:r w:rsidR="002C7B78" w:rsidRPr="0019550F">
        <w:t>.</w:t>
      </w:r>
    </w:p>
    <w:p w14:paraId="77F58CD8" w14:textId="16010A27" w:rsidR="00254662" w:rsidRPr="00534FF2" w:rsidRDefault="00177EDD" w:rsidP="00177EDD">
      <w:pPr>
        <w:pStyle w:val="Caption"/>
        <w:ind w:firstLine="0"/>
        <w:jc w:val="left"/>
        <w:rPr>
          <w:highlight w:val="yellow"/>
        </w:rPr>
      </w:pPr>
      <w:r w:rsidRPr="00177EDD">
        <w:rPr>
          <w:noProof/>
        </w:rPr>
        <w:lastRenderedPageBreak/>
        <w:drawing>
          <wp:inline distT="0" distB="0" distL="0" distR="0" wp14:anchorId="7651C98F" wp14:editId="226877C9">
            <wp:extent cx="5970352" cy="3925019"/>
            <wp:effectExtent l="19050" t="19050" r="1143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97303" cy="3942737"/>
                    </a:xfrm>
                    <a:prstGeom prst="rect">
                      <a:avLst/>
                    </a:prstGeom>
                    <a:noFill/>
                    <a:ln>
                      <a:solidFill>
                        <a:schemeClr val="tx1"/>
                      </a:solidFill>
                    </a:ln>
                  </pic:spPr>
                </pic:pic>
              </a:graphicData>
            </a:graphic>
          </wp:inline>
        </w:drawing>
      </w:r>
    </w:p>
    <w:p w14:paraId="23FBC997" w14:textId="6DF46046" w:rsidR="00AD26BD" w:rsidRPr="00D1090E" w:rsidRDefault="00AD26BD" w:rsidP="00177EDD">
      <w:pPr>
        <w:pStyle w:val="Caption"/>
        <w:ind w:firstLine="0"/>
        <w:rPr>
          <w:sz w:val="20"/>
        </w:rPr>
      </w:pPr>
      <w:bookmarkStart w:id="11" w:name="_Toc400572421"/>
      <w:r w:rsidRPr="00D1090E">
        <w:rPr>
          <w:sz w:val="20"/>
        </w:rPr>
        <w:t xml:space="preserve">Figure </w:t>
      </w:r>
      <w:r w:rsidR="00534FF2" w:rsidRPr="00D1090E">
        <w:rPr>
          <w:sz w:val="20"/>
        </w:rPr>
        <w:fldChar w:fldCharType="begin"/>
      </w:r>
      <w:r w:rsidR="00534FF2" w:rsidRPr="00D1090E">
        <w:rPr>
          <w:sz w:val="20"/>
        </w:rPr>
        <w:instrText xml:space="preserve"> SEQ Figure \* ARABIC </w:instrText>
      </w:r>
      <w:r w:rsidR="00534FF2" w:rsidRPr="00D1090E">
        <w:rPr>
          <w:sz w:val="20"/>
        </w:rPr>
        <w:fldChar w:fldCharType="separate"/>
      </w:r>
      <w:r w:rsidR="00831795">
        <w:rPr>
          <w:noProof/>
          <w:sz w:val="20"/>
        </w:rPr>
        <w:t>1</w:t>
      </w:r>
      <w:r w:rsidR="00534FF2" w:rsidRPr="00D1090E">
        <w:rPr>
          <w:noProof/>
          <w:sz w:val="20"/>
        </w:rPr>
        <w:fldChar w:fldCharType="end"/>
      </w:r>
      <w:r w:rsidRPr="00D1090E">
        <w:rPr>
          <w:sz w:val="20"/>
        </w:rPr>
        <w:t>. Statewide harvest of halibut (numbers of fish) as estimated by the ADF&amp;G statewide mail survey, 1977-201</w:t>
      </w:r>
      <w:r w:rsidR="00177EDD" w:rsidRPr="00D1090E">
        <w:rPr>
          <w:sz w:val="20"/>
        </w:rPr>
        <w:t>7</w:t>
      </w:r>
      <w:r w:rsidRPr="00D1090E">
        <w:rPr>
          <w:sz w:val="20"/>
        </w:rPr>
        <w:t>.</w:t>
      </w:r>
      <w:bookmarkEnd w:id="11"/>
    </w:p>
    <w:p w14:paraId="0D716BFE" w14:textId="77777777" w:rsidR="00254662" w:rsidRPr="00534FF2" w:rsidRDefault="00254662" w:rsidP="00F80A27">
      <w:pPr>
        <w:rPr>
          <w:highlight w:val="yellow"/>
        </w:rPr>
      </w:pPr>
    </w:p>
    <w:p w14:paraId="5348A359" w14:textId="452B04C4" w:rsidR="00254662" w:rsidRPr="00534FF2" w:rsidRDefault="00177EDD" w:rsidP="00177EDD">
      <w:pPr>
        <w:spacing w:after="0"/>
        <w:rPr>
          <w:highlight w:val="yellow"/>
        </w:rPr>
      </w:pPr>
      <w:r w:rsidRPr="00534FF2">
        <w:rPr>
          <w:noProof/>
          <w:highlight w:val="yellow"/>
        </w:rPr>
        <w:drawing>
          <wp:anchor distT="0" distB="0" distL="114300" distR="114300" simplePos="0" relativeHeight="251691520" behindDoc="0" locked="0" layoutInCell="1" allowOverlap="1" wp14:anchorId="35C3C1DD" wp14:editId="4B198AB8">
            <wp:simplePos x="0" y="0"/>
            <wp:positionH relativeFrom="column">
              <wp:posOffset>15875</wp:posOffset>
            </wp:positionH>
            <wp:positionV relativeFrom="paragraph">
              <wp:posOffset>438785</wp:posOffset>
            </wp:positionV>
            <wp:extent cx="4700905" cy="2604135"/>
            <wp:effectExtent l="19050" t="19050" r="23495" b="24765"/>
            <wp:wrapTopAndBottom/>
            <wp:docPr id="1" name="Picture 0" descr="IPHCRegAreasb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CRegAreasbig.gif"/>
                    <pic:cNvPicPr/>
                  </pic:nvPicPr>
                  <pic:blipFill rotWithShape="1">
                    <a:blip r:embed="rId27" cstate="print"/>
                    <a:srcRect l="6674" t="6097" r="6721" b="6241"/>
                    <a:stretch/>
                  </pic:blipFill>
                  <pic:spPr bwMode="auto">
                    <a:xfrm>
                      <a:off x="0" y="0"/>
                      <a:ext cx="4700905" cy="26041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AF7064" w14:textId="069ED5DA" w:rsidR="00AD26BD" w:rsidRPr="00D1090E" w:rsidRDefault="00AD26BD" w:rsidP="00177EDD">
      <w:pPr>
        <w:pStyle w:val="Caption"/>
        <w:spacing w:before="240"/>
        <w:ind w:firstLine="0"/>
        <w:rPr>
          <w:sz w:val="20"/>
        </w:rPr>
      </w:pPr>
      <w:bookmarkStart w:id="12" w:name="_Toc400572422"/>
      <w:r w:rsidRPr="00D1090E">
        <w:rPr>
          <w:sz w:val="20"/>
        </w:rPr>
        <w:t xml:space="preserve">Figure </w:t>
      </w:r>
      <w:r w:rsidR="00534FF2" w:rsidRPr="00D1090E">
        <w:rPr>
          <w:sz w:val="20"/>
        </w:rPr>
        <w:fldChar w:fldCharType="begin"/>
      </w:r>
      <w:r w:rsidR="00534FF2" w:rsidRPr="00D1090E">
        <w:rPr>
          <w:sz w:val="20"/>
        </w:rPr>
        <w:instrText xml:space="preserve"> SEQ Figure \* ARABIC </w:instrText>
      </w:r>
      <w:r w:rsidR="00534FF2" w:rsidRPr="00D1090E">
        <w:rPr>
          <w:sz w:val="20"/>
        </w:rPr>
        <w:fldChar w:fldCharType="separate"/>
      </w:r>
      <w:r w:rsidR="00831795">
        <w:rPr>
          <w:noProof/>
          <w:sz w:val="20"/>
        </w:rPr>
        <w:t>2</w:t>
      </w:r>
      <w:r w:rsidR="00534FF2" w:rsidRPr="00D1090E">
        <w:rPr>
          <w:noProof/>
          <w:sz w:val="20"/>
        </w:rPr>
        <w:fldChar w:fldCharType="end"/>
      </w:r>
      <w:r w:rsidRPr="00D1090E">
        <w:rPr>
          <w:sz w:val="20"/>
        </w:rPr>
        <w:t>. International Pacific Halibut Commission regulatory areas.</w:t>
      </w:r>
      <w:bookmarkEnd w:id="12"/>
    </w:p>
    <w:p w14:paraId="7460EAF8" w14:textId="330AA4C2" w:rsidR="004721DF" w:rsidRPr="004721DF" w:rsidRDefault="00EC6425" w:rsidP="00F80A27">
      <w:pPr>
        <w:rPr>
          <w:highlight w:val="yellow"/>
        </w:rPr>
      </w:pPr>
      <w:r w:rsidRPr="008A2618">
        <w:lastRenderedPageBreak/>
        <w:t>As mentioned</w:t>
      </w:r>
      <w:r w:rsidRPr="00850070">
        <w:t xml:space="preserve"> earlier, the IPHC is responsible for assessing the halibut stock. The assessment includes estimation of </w:t>
      </w:r>
      <w:r w:rsidR="00850070" w:rsidRPr="00850070">
        <w:t>spawning biomass and</w:t>
      </w:r>
      <w:r w:rsidRPr="00850070">
        <w:t xml:space="preserve"> </w:t>
      </w:r>
      <w:r w:rsidR="00B67563">
        <w:t>projections under</w:t>
      </w:r>
      <w:r w:rsidRPr="00850070">
        <w:t xml:space="preserve"> alternate harvest strategies. </w:t>
      </w:r>
      <w:r w:rsidR="00B67563">
        <w:t>S</w:t>
      </w:r>
      <w:r w:rsidR="00850070" w:rsidRPr="00850070">
        <w:t>pawning</w:t>
      </w:r>
      <w:r w:rsidRPr="00850070">
        <w:t xml:space="preserve"> biomass</w:t>
      </w:r>
      <w:r w:rsidR="00B67563">
        <w:t xml:space="preserve"> is projected using both fishery dependent and fishery independent sources, as well as auxiliary biological information. </w:t>
      </w:r>
      <w:r w:rsidR="00A8418B" w:rsidRPr="00850070">
        <w:t>Since 2006 the IPHC has assessed the halibut population as a single stock</w:t>
      </w:r>
      <w:r w:rsidR="00850070" w:rsidRPr="00850070">
        <w:t xml:space="preserve"> with</w:t>
      </w:r>
      <w:r w:rsidR="00850070" w:rsidRPr="00B4334C">
        <w:t xml:space="preserve"> movement of fish between the Bering Sea and northern </w:t>
      </w:r>
      <w:r w:rsidR="00850070" w:rsidRPr="00850070">
        <w:t>California.</w:t>
      </w:r>
      <w:r w:rsidR="00A8418B" w:rsidRPr="00850070">
        <w:t xml:space="preserve"> </w:t>
      </w:r>
      <w:r w:rsidR="00850070" w:rsidRPr="00850070">
        <w:t>The coastwide stock is currently assessed using an ensemble of four models, combinations of short</w:t>
      </w:r>
      <w:r w:rsidR="00850070" w:rsidRPr="00B4334C">
        <w:t xml:space="preserve"> and long</w:t>
      </w:r>
      <w:r w:rsidR="00850070">
        <w:t xml:space="preserve"> </w:t>
      </w:r>
      <w:r w:rsidR="00850070" w:rsidRPr="00B4334C">
        <w:t xml:space="preserve">time series of available data and </w:t>
      </w:r>
      <w:r w:rsidR="00850070">
        <w:t xml:space="preserve">aggregated </w:t>
      </w:r>
      <w:r w:rsidR="00850070" w:rsidRPr="00B4334C">
        <w:t xml:space="preserve">coastwide versus areas-as-fleets models. The four models give a range of estimates regarding current stock status </w:t>
      </w:r>
      <w:r w:rsidR="00850070">
        <w:t>and</w:t>
      </w:r>
      <w:r w:rsidR="00850070" w:rsidRPr="00B4334C">
        <w:t xml:space="preserve"> exhibit similar trends. The model results are weighted equally to derive integrated estimates of spawning </w:t>
      </w:r>
      <w:r w:rsidR="00850070" w:rsidRPr="00850070">
        <w:t>biomass.</w:t>
      </w:r>
      <w:r w:rsidR="00A8418B" w:rsidRPr="00850070">
        <w:t xml:space="preserve"> </w:t>
      </w:r>
      <w:r w:rsidR="00850070" w:rsidRPr="00850070">
        <w:t>Estimated</w:t>
      </w:r>
      <w:r w:rsidR="00850070" w:rsidRPr="004E54FD">
        <w:t xml:space="preserve"> coastwide halibut biomass is distributed to </w:t>
      </w:r>
      <w:r w:rsidR="00850070" w:rsidRPr="00F23202">
        <w:t>four biological regions</w:t>
      </w:r>
      <w:r w:rsidR="00850070">
        <w:t xml:space="preserve"> (2, 3, 4, and 4B) </w:t>
      </w:r>
      <w:r w:rsidR="00850070" w:rsidRPr="004E54FD">
        <w:t xml:space="preserve">using </w:t>
      </w:r>
      <w:r w:rsidR="00850070">
        <w:t>the IPHC’s Fishery Independent Setline Survey</w:t>
      </w:r>
      <w:r w:rsidR="00850070" w:rsidRPr="004E54FD">
        <w:t xml:space="preserve"> </w:t>
      </w:r>
      <w:r w:rsidR="00B10BA1">
        <w:t xml:space="preserve">modelled </w:t>
      </w:r>
      <w:r w:rsidR="00850070">
        <w:t>w</w:t>
      </w:r>
      <w:r w:rsidR="00850070" w:rsidRPr="004E54FD">
        <w:t xml:space="preserve">eight-per-unit-effort </w:t>
      </w:r>
      <w:r w:rsidR="00850070">
        <w:t>(</w:t>
      </w:r>
      <w:r w:rsidR="00850070" w:rsidRPr="004E54FD">
        <w:t>WPUE</w:t>
      </w:r>
      <w:r w:rsidR="00850070">
        <w:t>)</w:t>
      </w:r>
      <w:r w:rsidR="00B10BA1">
        <w:t xml:space="preserve"> of all sizes of Pacific halibut</w:t>
      </w:r>
      <w:r w:rsidR="00850070" w:rsidRPr="004E54FD">
        <w:t xml:space="preserve">, weighted by the estimated habitat in each </w:t>
      </w:r>
      <w:r w:rsidR="00850070">
        <w:t>region</w:t>
      </w:r>
      <w:r w:rsidR="00850070" w:rsidRPr="004E54FD">
        <w:t xml:space="preserve">. WPUE is estimated using a space-time model that integrates current and past data for each </w:t>
      </w:r>
      <w:r w:rsidR="00B10BA1">
        <w:t xml:space="preserve">survey </w:t>
      </w:r>
      <w:r w:rsidR="00850070" w:rsidRPr="004E54FD">
        <w:t xml:space="preserve">station as well as adjacent stations to get a smoothed estimate of WPUE. </w:t>
      </w:r>
      <w:r w:rsidR="00A8418B" w:rsidRPr="0019550F">
        <w:t xml:space="preserve">There are additional </w:t>
      </w:r>
      <w:r w:rsidR="000C23A7" w:rsidRPr="0019550F">
        <w:t>adjustments</w:t>
      </w:r>
      <w:r w:rsidR="00A8418B" w:rsidRPr="0019550F">
        <w:t xml:space="preserve"> for harvest taken prior to the average survey date in each area </w:t>
      </w:r>
      <w:r w:rsidR="00A8418B" w:rsidRPr="00806574">
        <w:t xml:space="preserve">and hook competition by other species. </w:t>
      </w:r>
      <w:r w:rsidRPr="00806574">
        <w:t xml:space="preserve">The </w:t>
      </w:r>
      <w:r w:rsidR="00B67563">
        <w:t>spawning</w:t>
      </w:r>
      <w:r w:rsidRPr="00806574">
        <w:t xml:space="preserve"> biomass of h</w:t>
      </w:r>
      <w:r w:rsidR="00A8418B" w:rsidRPr="00806574">
        <w:t xml:space="preserve">alibut </w:t>
      </w:r>
      <w:r w:rsidR="00B67563">
        <w:t>declined continuously from</w:t>
      </w:r>
      <w:r w:rsidR="00A8418B" w:rsidRPr="00806574">
        <w:t xml:space="preserve"> the late 1990s </w:t>
      </w:r>
      <w:r w:rsidR="00B67563">
        <w:t xml:space="preserve">to around 2011 </w:t>
      </w:r>
      <w:r w:rsidR="00A8418B" w:rsidRPr="00806574">
        <w:t xml:space="preserve">due to a combination of relatively weak recruitments and a long-term decline in size at age. </w:t>
      </w:r>
      <w:r w:rsidR="00B67563">
        <w:t>Since 2011 the stock has been relatively stable but is expected to decline in upcoming years under status quo levels of fishing mortality due to weak recruitment of cohorts</w:t>
      </w:r>
      <w:r w:rsidR="005B639A">
        <w:t xml:space="preserve"> currently contributing to the spawning biomass</w:t>
      </w:r>
      <w:r w:rsidR="00B67563">
        <w:t xml:space="preserve">. </w:t>
      </w:r>
    </w:p>
    <w:p w14:paraId="45232866" w14:textId="1418E366" w:rsidR="00A8418B" w:rsidRPr="0019550F" w:rsidRDefault="00A8418B" w:rsidP="00A8418B">
      <w:r w:rsidRPr="00806574">
        <w:t xml:space="preserve">The increasing trend in sport harvest, </w:t>
      </w:r>
      <w:r w:rsidR="000C23A7" w:rsidRPr="00806574">
        <w:t xml:space="preserve">implementation of catch shares in the commercial fishery, </w:t>
      </w:r>
      <w:r w:rsidRPr="00806574">
        <w:t>changes in the halibut stock, and in</w:t>
      </w:r>
      <w:r w:rsidR="000C23A7" w:rsidRPr="00806574">
        <w:t>effective</w:t>
      </w:r>
      <w:r w:rsidRPr="00806574">
        <w:t xml:space="preserve"> management of the charter fishery led to </w:t>
      </w:r>
      <w:r w:rsidR="000C23A7" w:rsidRPr="00806574">
        <w:t xml:space="preserve">an </w:t>
      </w:r>
      <w:r w:rsidRPr="00806574">
        <w:t xml:space="preserve">intense and prolonged allocation conflict between the commercial and charter sectors. </w:t>
      </w:r>
      <w:r w:rsidR="004721DF">
        <w:t>In</w:t>
      </w:r>
      <w:r w:rsidR="000C23A7" w:rsidRPr="0019550F">
        <w:t xml:space="preserve"> 2003</w:t>
      </w:r>
      <w:r w:rsidR="00B10BA1">
        <w:t>,</w:t>
      </w:r>
      <w:r w:rsidR="004721DF">
        <w:t xml:space="preserve"> </w:t>
      </w:r>
      <w:r w:rsidR="004721DF" w:rsidRPr="0019550F">
        <w:t>Guideline Harvest Levels (GHLs)</w:t>
      </w:r>
      <w:r w:rsidR="004721DF">
        <w:t xml:space="preserve"> w</w:t>
      </w:r>
      <w:r w:rsidR="00B10BA1">
        <w:t>ere</w:t>
      </w:r>
      <w:r w:rsidR="004721DF" w:rsidRPr="0019550F">
        <w:t xml:space="preserve"> approved by the Council </w:t>
      </w:r>
      <w:r w:rsidR="004721DF">
        <w:t xml:space="preserve">for </w:t>
      </w:r>
      <w:r w:rsidR="000C23A7" w:rsidRPr="0019550F">
        <w:t>the</w:t>
      </w:r>
      <w:r w:rsidRPr="0019550F">
        <w:t xml:space="preserve"> charter fisheries in Areas 2C and 3A. </w:t>
      </w:r>
      <w:r w:rsidR="000C23A7" w:rsidRPr="0019550F">
        <w:t xml:space="preserve">The GHLs were established as 125% of the average charter harvest from 1995-1999 and declined in stepwise fashion in proportion to declines in exploitable biomass. </w:t>
      </w:r>
      <w:r w:rsidRPr="0019550F">
        <w:t xml:space="preserve">Management measures adopted by the </w:t>
      </w:r>
      <w:r w:rsidR="00092B21" w:rsidRPr="0019550F">
        <w:t>Council</w:t>
      </w:r>
      <w:r w:rsidRPr="0019550F">
        <w:t xml:space="preserve"> for the Area 2C charter fishery were inadequate to keep pace with increases in effort and declines in biomass. Over the period 2004-2010, the GHL in Area 2C dropped from 1.432 M </w:t>
      </w:r>
      <w:proofErr w:type="spellStart"/>
      <w:r w:rsidRPr="0019550F">
        <w:t>lb</w:t>
      </w:r>
      <w:proofErr w:type="spellEnd"/>
      <w:r w:rsidRPr="0019550F">
        <w:t xml:space="preserve"> to 0.788 M </w:t>
      </w:r>
      <w:proofErr w:type="spellStart"/>
      <w:r w:rsidRPr="0019550F">
        <w:t>lb</w:t>
      </w:r>
      <w:proofErr w:type="spellEnd"/>
      <w:r w:rsidRPr="0019550F">
        <w:t xml:space="preserve"> along with decreases in exploitable biomass. Charter harvest in Area 2C exceeded the GHL every year from 2004 through 2010, with overages ranging from 22 to 115 percent. </w:t>
      </w:r>
      <w:r w:rsidR="004721DF">
        <w:t>T</w:t>
      </w:r>
      <w:r w:rsidRPr="0019550F">
        <w:t xml:space="preserve">he GHL in Area 3A remained steady at 3.65 M </w:t>
      </w:r>
      <w:proofErr w:type="spellStart"/>
      <w:r w:rsidRPr="0019550F">
        <w:t>lb</w:t>
      </w:r>
      <w:proofErr w:type="spellEnd"/>
      <w:r w:rsidRPr="0019550F">
        <w:t xml:space="preserve"> from 2004 to 2010</w:t>
      </w:r>
      <w:r w:rsidR="004721DF">
        <w:t xml:space="preserve"> and</w:t>
      </w:r>
      <w:r w:rsidRPr="0019550F">
        <w:t xml:space="preserve"> charter harvest </w:t>
      </w:r>
      <w:r w:rsidR="005B639A">
        <w:t xml:space="preserve">only exceeded the GHL </w:t>
      </w:r>
      <w:r w:rsidR="004721DF">
        <w:t>by a significant amount in</w:t>
      </w:r>
      <w:r w:rsidRPr="0019550F">
        <w:t xml:space="preserve"> 2007</w:t>
      </w:r>
      <w:r w:rsidR="004721DF">
        <w:t xml:space="preserve"> (9.6%)</w:t>
      </w:r>
      <w:r w:rsidRPr="0019550F">
        <w:t xml:space="preserve">. </w:t>
      </w:r>
    </w:p>
    <w:p w14:paraId="70D1B814" w14:textId="2AAC2216" w:rsidR="00A8418B" w:rsidRPr="00701585" w:rsidRDefault="004721DF" w:rsidP="00A8418B">
      <w:r w:rsidRPr="004721DF">
        <w:t>A</w:t>
      </w:r>
      <w:r w:rsidR="00F745C8" w:rsidRPr="004721DF">
        <w:t xml:space="preserve">llocation conflicts </w:t>
      </w:r>
      <w:r w:rsidRPr="004721DF">
        <w:t xml:space="preserve">and GHL overages </w:t>
      </w:r>
      <w:r w:rsidR="00F745C8" w:rsidRPr="004721DF">
        <w:t xml:space="preserve">were </w:t>
      </w:r>
      <w:r w:rsidRPr="004721DF">
        <w:t xml:space="preserve">subsequently </w:t>
      </w:r>
      <w:r w:rsidR="00F745C8" w:rsidRPr="004721DF">
        <w:t>addressed in two major</w:t>
      </w:r>
      <w:r w:rsidR="00A8418B" w:rsidRPr="004721DF">
        <w:t xml:space="preserve"> C</w:t>
      </w:r>
      <w:r w:rsidR="00092B21" w:rsidRPr="004721DF">
        <w:t>ouncil</w:t>
      </w:r>
      <w:r w:rsidR="00A8418B" w:rsidRPr="004721DF">
        <w:t xml:space="preserve"> </w:t>
      </w:r>
      <w:r w:rsidR="00F745C8" w:rsidRPr="004721DF">
        <w:t>actions</w:t>
      </w:r>
      <w:r w:rsidR="00F745C8" w:rsidRPr="009234C5">
        <w:t>. First, the Council</w:t>
      </w:r>
      <w:r w:rsidR="00092B21" w:rsidRPr="009234C5">
        <w:t xml:space="preserve"> approved a limited entry system for halibut charters that was implemented by NMFS in 2011. Limited entry permits were issued to participants that met qualification criteria based on historical (2004 or 2005) and recent (2008) participation</w:t>
      </w:r>
      <w:r w:rsidR="009234C5">
        <w:t xml:space="preserve"> in the charter </w:t>
      </w:r>
      <w:r w:rsidR="00701585" w:rsidRPr="00701585">
        <w:t>fishery</w:t>
      </w:r>
      <w:r w:rsidR="00092B21" w:rsidRPr="00701585">
        <w:t xml:space="preserve">. Transferable or non-transferable permits were issued for regulatory areas 2C and 3A based on the number of qualifying boat-trips, and permits were endorsed for a specific number of clients based on past participation. Second, the Council approved </w:t>
      </w:r>
      <w:r w:rsidR="00A8418B" w:rsidRPr="00701585">
        <w:t xml:space="preserve">a Catch Sharing Plan (CSP) </w:t>
      </w:r>
      <w:r w:rsidR="00092B21" w:rsidRPr="00701585">
        <w:t xml:space="preserve">in </w:t>
      </w:r>
      <w:r w:rsidR="00142557" w:rsidRPr="00701585">
        <w:t xml:space="preserve">October 2012 </w:t>
      </w:r>
      <w:r w:rsidR="00A8418B" w:rsidRPr="00701585">
        <w:t>that allocate</w:t>
      </w:r>
      <w:r w:rsidR="00092B21" w:rsidRPr="00701585">
        <w:t>s</w:t>
      </w:r>
      <w:r w:rsidR="00A8418B" w:rsidRPr="00701585">
        <w:t xml:space="preserve"> harvest between the commercial and charter sectors, implement</w:t>
      </w:r>
      <w:r w:rsidR="00142557" w:rsidRPr="00701585">
        <w:t>s</w:t>
      </w:r>
      <w:r w:rsidR="00A8418B" w:rsidRPr="00701585">
        <w:t xml:space="preserve"> regulations to manage the charter fishery at the beginning of each season, and provide</w:t>
      </w:r>
      <w:r w:rsidR="00701585">
        <w:t>s</w:t>
      </w:r>
      <w:r w:rsidR="00A8418B" w:rsidRPr="00701585">
        <w:t xml:space="preserve"> for temporary transfer </w:t>
      </w:r>
      <w:r w:rsidR="00142557" w:rsidRPr="00701585">
        <w:t xml:space="preserve">(lease) </w:t>
      </w:r>
      <w:r w:rsidR="00A8418B" w:rsidRPr="00701585">
        <w:t xml:space="preserve">of commercial quota for use by individual charter clients in order to harvest halibut in excess of specified bag or size limits placed on the charter fishery. The CSP </w:t>
      </w:r>
      <w:r w:rsidR="00142557" w:rsidRPr="00701585">
        <w:t xml:space="preserve">also establishes the ADF&amp;G charter logbook as the preferred accounting method for charter </w:t>
      </w:r>
      <w:proofErr w:type="gramStart"/>
      <w:r w:rsidR="00142557" w:rsidRPr="00701585">
        <w:t>harvest, and</w:t>
      </w:r>
      <w:proofErr w:type="gramEnd"/>
      <w:r w:rsidR="00142557" w:rsidRPr="00701585">
        <w:t xml:space="preserve"> specifies that waste (discard mortality) in the commercial and charter sectors counts toward each sector’s allocation. The CSP </w:t>
      </w:r>
      <w:r w:rsidR="00A8418B" w:rsidRPr="00701585">
        <w:t>replace</w:t>
      </w:r>
      <w:r w:rsidR="00142557" w:rsidRPr="00701585">
        <w:t>d</w:t>
      </w:r>
      <w:r w:rsidR="00A8418B" w:rsidRPr="00701585">
        <w:t xml:space="preserve"> GHL management </w:t>
      </w:r>
      <w:r w:rsidR="00142557" w:rsidRPr="00701585">
        <w:t>in 2014</w:t>
      </w:r>
      <w:r w:rsidR="00A8418B" w:rsidRPr="00701585">
        <w:t>.</w:t>
      </w:r>
    </w:p>
    <w:p w14:paraId="388FCE1A" w14:textId="0FB0C04C" w:rsidR="00A8418B" w:rsidRPr="00701585" w:rsidRDefault="00A8418B" w:rsidP="00A8418B">
      <w:r w:rsidRPr="00701585">
        <w:lastRenderedPageBreak/>
        <w:t xml:space="preserve">Four ADF&amp;G programs provide data on recreational halibut harvest in Alaska. The SWHS provides annual estimates of the number of halibut harvested and caught in </w:t>
      </w:r>
      <w:r w:rsidR="00701585" w:rsidRPr="00701585">
        <w:t>charter</w:t>
      </w:r>
      <w:r w:rsidRPr="00701585">
        <w:t xml:space="preserve"> and </w:t>
      </w:r>
      <w:r w:rsidR="00701585" w:rsidRPr="00701585">
        <w:t>un</w:t>
      </w:r>
      <w:r w:rsidRPr="00701585">
        <w:t xml:space="preserve">guided fisheries. The number of fish released is estimated as the difference between catch and harvest. The </w:t>
      </w:r>
      <w:r w:rsidR="00701585">
        <w:t>Charter L</w:t>
      </w:r>
      <w:r w:rsidRPr="00701585">
        <w:t xml:space="preserve">ogbook </w:t>
      </w:r>
      <w:r w:rsidR="00701585">
        <w:t>P</w:t>
      </w:r>
      <w:r w:rsidRPr="00701585">
        <w:t xml:space="preserve">rogram also provides data </w:t>
      </w:r>
      <w:r w:rsidR="00701585" w:rsidRPr="00701585">
        <w:t xml:space="preserve">from the charter sector </w:t>
      </w:r>
      <w:r w:rsidRPr="00701585">
        <w:t xml:space="preserve">on the number of </w:t>
      </w:r>
      <w:proofErr w:type="spellStart"/>
      <w:r w:rsidRPr="00701585">
        <w:t>bottomfish</w:t>
      </w:r>
      <w:proofErr w:type="spellEnd"/>
      <w:r w:rsidRPr="00701585">
        <w:t xml:space="preserve"> anglers, the number of halibut kept and released, and spatial information on harvest and landings. Marine fishery monitoring programs in Southeast and Southcentral Alaska provide information on the sizes of fish harvested in Area 2C and Area 3A</w:t>
      </w:r>
      <w:r w:rsidR="00701585">
        <w:t xml:space="preserve">, </w:t>
      </w:r>
      <w:r w:rsidR="00701585" w:rsidRPr="00701585">
        <w:t>respectively</w:t>
      </w:r>
      <w:r w:rsidR="004B417C">
        <w:t xml:space="preserve">, and ancillary information </w:t>
      </w:r>
      <w:r w:rsidR="000223B1">
        <w:t>including</w:t>
      </w:r>
      <w:r w:rsidR="004B417C">
        <w:t xml:space="preserve"> methods of capture, extent of effort, </w:t>
      </w:r>
      <w:r w:rsidR="000223B1">
        <w:t xml:space="preserve">fishing location, </w:t>
      </w:r>
      <w:r w:rsidR="004B417C">
        <w:t>and catch composition</w:t>
      </w:r>
      <w:r w:rsidRPr="00701585">
        <w:t xml:space="preserve">. Data from all four of these programs are </w:t>
      </w:r>
      <w:r w:rsidR="000223B1">
        <w:t>used in concert to</w:t>
      </w:r>
      <w:r w:rsidRPr="00701585">
        <w:t xml:space="preserve"> provide federal </w:t>
      </w:r>
      <w:r w:rsidR="0022700A" w:rsidRPr="00701585">
        <w:t xml:space="preserve">halibut </w:t>
      </w:r>
      <w:r w:rsidRPr="00701585">
        <w:t xml:space="preserve">management agencies </w:t>
      </w:r>
      <w:r w:rsidR="000223B1">
        <w:t xml:space="preserve">with information </w:t>
      </w:r>
      <w:r w:rsidRPr="00701585">
        <w:t xml:space="preserve">for </w:t>
      </w:r>
      <w:r w:rsidR="0022700A" w:rsidRPr="00701585">
        <w:t>stock assessment, development of harvest policies, and evaluation of annual regulatory alternatives.</w:t>
      </w:r>
      <w:r w:rsidRPr="00701585">
        <w:t xml:space="preserve"> </w:t>
      </w:r>
    </w:p>
    <w:p w14:paraId="7FE29894" w14:textId="475D130C" w:rsidR="0078733E" w:rsidRPr="00701585" w:rsidRDefault="0078733E" w:rsidP="0078733E">
      <w:pPr>
        <w:rPr>
          <w:color w:val="000000" w:themeColor="text1"/>
        </w:rPr>
      </w:pPr>
      <w:r w:rsidRPr="00701585">
        <w:rPr>
          <w:color w:val="000000" w:themeColor="text1"/>
        </w:rPr>
        <w:t xml:space="preserve">This operational plan describes the procedures by which these various data sources are combined on an annual basis to inform federal management agencies for assessment of the halibut stock and management of recreational halibut fisheries. This plan will include only procedures used for routine annual analyses </w:t>
      </w:r>
      <w:r w:rsidR="005F04E0">
        <w:rPr>
          <w:color w:val="000000" w:themeColor="text1"/>
        </w:rPr>
        <w:t>and</w:t>
      </w:r>
      <w:r w:rsidRPr="00701585">
        <w:rPr>
          <w:color w:val="000000" w:themeColor="text1"/>
        </w:rPr>
        <w:t xml:space="preserve"> information requests and will not cover procedures used in special analyses.</w:t>
      </w:r>
      <w:r w:rsidR="004841B6">
        <w:rPr>
          <w:color w:val="000000" w:themeColor="text1"/>
        </w:rPr>
        <w:t xml:space="preserve"> </w:t>
      </w:r>
      <w:r w:rsidR="001449E2">
        <w:rPr>
          <w:color w:val="000000" w:themeColor="text1"/>
        </w:rPr>
        <w:t>A</w:t>
      </w:r>
      <w:r w:rsidR="004841B6">
        <w:rPr>
          <w:color w:val="000000" w:themeColor="text1"/>
        </w:rPr>
        <w:t xml:space="preserve">n example of the analyses of alternative charter management measures </w:t>
      </w:r>
      <w:r w:rsidR="001449E2">
        <w:rPr>
          <w:color w:val="000000" w:themeColor="text1"/>
        </w:rPr>
        <w:t>can be found in Webster and Powers 2019</w:t>
      </w:r>
      <w:r w:rsidR="004841B6">
        <w:rPr>
          <w:color w:val="000000" w:themeColor="text1"/>
        </w:rPr>
        <w:t>; requested analyses change on an annual basis depending on the previous year</w:t>
      </w:r>
      <w:r w:rsidR="001449E2">
        <w:rPr>
          <w:color w:val="000000" w:themeColor="text1"/>
        </w:rPr>
        <w:t>’</w:t>
      </w:r>
      <w:r w:rsidR="004841B6">
        <w:rPr>
          <w:color w:val="000000" w:themeColor="text1"/>
        </w:rPr>
        <w:t>s performance, preferences of the charter halibut management committee, and current stock status, and are therefore not included in this operational plan.</w:t>
      </w:r>
    </w:p>
    <w:p w14:paraId="33045D81" w14:textId="32AA09E5" w:rsidR="00A8418B" w:rsidRPr="00701585" w:rsidRDefault="008177D7" w:rsidP="00A8418B">
      <w:pPr>
        <w:pStyle w:val="Heading1"/>
      </w:pPr>
      <w:bookmarkStart w:id="13" w:name="_Toc398217603"/>
      <w:r>
        <w:t xml:space="preserve">Primary </w:t>
      </w:r>
      <w:r w:rsidR="00A8418B" w:rsidRPr="00701585">
        <w:t>Objectives</w:t>
      </w:r>
      <w:bookmarkEnd w:id="13"/>
    </w:p>
    <w:p w14:paraId="4983DB87" w14:textId="05BBAB02" w:rsidR="00A8418B" w:rsidRPr="00701585" w:rsidRDefault="00A8418B" w:rsidP="00A8418B">
      <w:r w:rsidRPr="00701585">
        <w:t xml:space="preserve">The </w:t>
      </w:r>
      <w:r w:rsidR="008177D7">
        <w:t xml:space="preserve">primary </w:t>
      </w:r>
      <w:r w:rsidRPr="00701585">
        <w:t xml:space="preserve">goal of this work is to </w:t>
      </w:r>
      <w:r w:rsidR="008177D7">
        <w:t xml:space="preserve">provide Pacific halibut harvest estimates </w:t>
      </w:r>
      <w:r w:rsidR="00AA7563" w:rsidRPr="00701585">
        <w:t>from the sport fisheries in Southeast and Southcentral Alaska</w:t>
      </w:r>
      <w:r w:rsidR="00AA7563">
        <w:t xml:space="preserve"> </w:t>
      </w:r>
      <w:r w:rsidR="008177D7">
        <w:t>to</w:t>
      </w:r>
      <w:r w:rsidRPr="00701585">
        <w:t xml:space="preserve"> federal </w:t>
      </w:r>
      <w:r w:rsidR="00AA7563">
        <w:t>management agencies</w:t>
      </w:r>
      <w:r w:rsidRPr="00701585">
        <w:t xml:space="preserve">. Specific </w:t>
      </w:r>
      <w:r w:rsidR="008177D7">
        <w:t xml:space="preserve">primary </w:t>
      </w:r>
      <w:r w:rsidRPr="00701585">
        <w:t>objectives are to:</w:t>
      </w:r>
    </w:p>
    <w:p w14:paraId="6289B6B0" w14:textId="77777777" w:rsidR="00A8418B" w:rsidRPr="009D147B" w:rsidRDefault="00A8418B" w:rsidP="005A60BB">
      <w:pPr>
        <w:pStyle w:val="ListParagraph"/>
        <w:numPr>
          <w:ilvl w:val="0"/>
          <w:numId w:val="2"/>
        </w:numPr>
      </w:pPr>
      <w:r w:rsidRPr="009D147B">
        <w:t xml:space="preserve">Estimate </w:t>
      </w:r>
      <w:r w:rsidR="0034070B" w:rsidRPr="009D147B">
        <w:t>unguided</w:t>
      </w:r>
      <w:r w:rsidRPr="009D147B">
        <w:t xml:space="preserve"> halibut yield (harvest in pounds) in IPHC Areas 2C and 3A </w:t>
      </w:r>
      <w:r w:rsidR="0034070B" w:rsidRPr="009D147B">
        <w:t xml:space="preserve">for </w:t>
      </w:r>
      <w:r w:rsidRPr="009D147B">
        <w:t xml:space="preserve">the most recent year </w:t>
      </w:r>
      <w:r w:rsidR="00D46D24" w:rsidRPr="009D147B">
        <w:t>with final</w:t>
      </w:r>
      <w:r w:rsidRPr="009D147B">
        <w:t xml:space="preserve"> SWHS estimates, with a relative precision of 15% (α = 0.05);</w:t>
      </w:r>
    </w:p>
    <w:p w14:paraId="58326650" w14:textId="77777777" w:rsidR="0034070B" w:rsidRPr="009D147B" w:rsidRDefault="0034070B" w:rsidP="0034070B">
      <w:pPr>
        <w:pStyle w:val="ListParagraph"/>
        <w:numPr>
          <w:ilvl w:val="0"/>
          <w:numId w:val="2"/>
        </w:numPr>
      </w:pPr>
      <w:r w:rsidRPr="009D147B">
        <w:t xml:space="preserve">Estimate charter halibut yield in Areas 2C and 3A with a relative precision of 10% (α = 0.05), using </w:t>
      </w:r>
      <w:r w:rsidR="00701585" w:rsidRPr="009D147B">
        <w:t>Charter L</w:t>
      </w:r>
      <w:r w:rsidRPr="009D147B">
        <w:t>ogbook harvest data for the most recent year</w:t>
      </w:r>
      <w:r w:rsidR="00A571EE" w:rsidRPr="009D147B">
        <w:t xml:space="preserve"> with complete data</w:t>
      </w:r>
      <w:r w:rsidRPr="009D147B">
        <w:t>;</w:t>
      </w:r>
    </w:p>
    <w:p w14:paraId="3B554430" w14:textId="2640550A" w:rsidR="008177D7" w:rsidRDefault="008177D7" w:rsidP="008177D7">
      <w:pPr>
        <w:pStyle w:val="Heading1"/>
      </w:pPr>
      <w:r>
        <w:t xml:space="preserve">SECONDary </w:t>
      </w:r>
      <w:r w:rsidRPr="00701585">
        <w:t>Objectives</w:t>
      </w:r>
    </w:p>
    <w:p w14:paraId="0D0B1875" w14:textId="7FE179FF" w:rsidR="008177D7" w:rsidRPr="008177D7" w:rsidRDefault="008177D7" w:rsidP="008177D7">
      <w:r w:rsidRPr="00701585">
        <w:t>The</w:t>
      </w:r>
      <w:r w:rsidR="00AA7563">
        <w:t xml:space="preserve"> secondary</w:t>
      </w:r>
      <w:r w:rsidRPr="00701585">
        <w:t xml:space="preserve"> goal</w:t>
      </w:r>
      <w:r w:rsidR="001449E2">
        <w:t>s</w:t>
      </w:r>
      <w:r w:rsidRPr="00701585">
        <w:t xml:space="preserve"> of this work address routine annual federal information needs for halibut from the sport fisheries in Southeast and Southcentral Alaska. Specific </w:t>
      </w:r>
      <w:r w:rsidR="00AA7563">
        <w:t>secondar</w:t>
      </w:r>
      <w:r>
        <w:t xml:space="preserve">y </w:t>
      </w:r>
      <w:r w:rsidRPr="00701585">
        <w:t>objectives are to:</w:t>
      </w:r>
    </w:p>
    <w:p w14:paraId="208BE5E1" w14:textId="0C3DEE99" w:rsidR="00A8418B" w:rsidRPr="009D147B" w:rsidRDefault="00A8418B" w:rsidP="008177D7">
      <w:pPr>
        <w:pStyle w:val="ListParagraph"/>
        <w:numPr>
          <w:ilvl w:val="0"/>
          <w:numId w:val="6"/>
        </w:numPr>
      </w:pPr>
      <w:r w:rsidRPr="009D147B">
        <w:t xml:space="preserve">Produce preliminary estimates, or projections, of charter and </w:t>
      </w:r>
      <w:r w:rsidR="00A04F70" w:rsidRPr="009D147B">
        <w:t>unguided</w:t>
      </w:r>
      <w:r w:rsidRPr="009D147B">
        <w:t xml:space="preserve"> halibut </w:t>
      </w:r>
      <w:r w:rsidR="00631984" w:rsidRPr="009D147B">
        <w:t xml:space="preserve">harvest, releases, and </w:t>
      </w:r>
      <w:r w:rsidRPr="009D147B">
        <w:t>yield in Areas 2C and 3A for the current year;</w:t>
      </w:r>
    </w:p>
    <w:p w14:paraId="31FEA1E9" w14:textId="77777777" w:rsidR="00A8418B" w:rsidRPr="009D147B" w:rsidRDefault="00A8418B" w:rsidP="008177D7">
      <w:pPr>
        <w:pStyle w:val="ListParagraph"/>
        <w:numPr>
          <w:ilvl w:val="0"/>
          <w:numId w:val="6"/>
        </w:numPr>
      </w:pPr>
      <w:r w:rsidRPr="009D147B">
        <w:t xml:space="preserve">Estimate charter and </w:t>
      </w:r>
      <w:r w:rsidR="00A04F70" w:rsidRPr="009D147B">
        <w:t>unguided</w:t>
      </w:r>
      <w:r w:rsidRPr="009D147B">
        <w:t xml:space="preserve"> halibut discard mortality in Areas 2C and 3A </w:t>
      </w:r>
      <w:r w:rsidR="0034070B" w:rsidRPr="009D147B">
        <w:t xml:space="preserve">for </w:t>
      </w:r>
      <w:r w:rsidR="00A571EE" w:rsidRPr="009D147B">
        <w:t xml:space="preserve">the most recent </w:t>
      </w:r>
      <w:r w:rsidR="0034070B" w:rsidRPr="009D147B">
        <w:t>year with complete data</w:t>
      </w:r>
      <w:r w:rsidRPr="009D147B">
        <w:t>;</w:t>
      </w:r>
    </w:p>
    <w:p w14:paraId="109631D4" w14:textId="77777777" w:rsidR="0034070B" w:rsidRPr="009D147B" w:rsidRDefault="0034070B" w:rsidP="008177D7">
      <w:pPr>
        <w:pStyle w:val="ListParagraph"/>
        <w:numPr>
          <w:ilvl w:val="0"/>
          <w:numId w:val="6"/>
        </w:numPr>
      </w:pPr>
      <w:r w:rsidRPr="009D147B">
        <w:t xml:space="preserve">Produce preliminary estimates, or projections, of charter and </w:t>
      </w:r>
      <w:r w:rsidR="00A04F70" w:rsidRPr="009D147B">
        <w:t>unguided</w:t>
      </w:r>
      <w:r w:rsidRPr="009D147B">
        <w:t xml:space="preserve"> halibut discard mortality in Areas 2C and 3A for the current year;</w:t>
      </w:r>
    </w:p>
    <w:p w14:paraId="6D023EBF" w14:textId="1D2DC0B9" w:rsidR="00A8418B" w:rsidRPr="009D147B" w:rsidRDefault="00A8418B" w:rsidP="008177D7">
      <w:pPr>
        <w:pStyle w:val="ListParagraph"/>
        <w:numPr>
          <w:ilvl w:val="0"/>
          <w:numId w:val="6"/>
        </w:numPr>
      </w:pPr>
      <w:r w:rsidRPr="009D147B">
        <w:t xml:space="preserve">Estimate the proportions of charter and </w:t>
      </w:r>
      <w:r w:rsidR="00A04F70" w:rsidRPr="009D147B">
        <w:t>unguided</w:t>
      </w:r>
      <w:r w:rsidRPr="009D147B">
        <w:t xml:space="preserve"> harvest (in numbers of fish) taken in Areas 2C and 3A prior to the average IPHC longline survey date during the </w:t>
      </w:r>
      <w:r w:rsidR="00B502E9">
        <w:t>previous year</w:t>
      </w:r>
      <w:r w:rsidRPr="009D147B">
        <w:t>;</w:t>
      </w:r>
    </w:p>
    <w:p w14:paraId="0A2E1017" w14:textId="4AF34CD2" w:rsidR="00A8418B" w:rsidRPr="009D147B" w:rsidRDefault="00A8418B" w:rsidP="008177D7">
      <w:pPr>
        <w:pStyle w:val="ListParagraph"/>
        <w:numPr>
          <w:ilvl w:val="0"/>
          <w:numId w:val="6"/>
        </w:numPr>
      </w:pPr>
      <w:r w:rsidRPr="009D147B">
        <w:t xml:space="preserve">Estimate overall sport halibut harvest (charter and </w:t>
      </w:r>
      <w:r w:rsidR="00A04F70" w:rsidRPr="009D147B">
        <w:t>unguided</w:t>
      </w:r>
      <w:r w:rsidRPr="009D147B">
        <w:t xml:space="preserve"> combined) in IPHC Areas 3B and 4</w:t>
      </w:r>
      <w:r w:rsidR="001449E2">
        <w:t xml:space="preserve"> (A – E combined)</w:t>
      </w:r>
      <w:r w:rsidRPr="009D147B">
        <w:t xml:space="preserve"> through the most recent year for which SWHS estimates are available; and</w:t>
      </w:r>
    </w:p>
    <w:p w14:paraId="242BE8A5" w14:textId="593F4CEF" w:rsidR="00A8418B" w:rsidRPr="009D147B" w:rsidRDefault="00A8418B" w:rsidP="008177D7">
      <w:pPr>
        <w:pStyle w:val="ListParagraph"/>
        <w:numPr>
          <w:ilvl w:val="0"/>
          <w:numId w:val="6"/>
        </w:numPr>
      </w:pPr>
      <w:r w:rsidRPr="009D147B">
        <w:lastRenderedPageBreak/>
        <w:t xml:space="preserve">Produce preliminary estimates, or projections, of overall sport halibut harvest in Areas 3B and 4 </w:t>
      </w:r>
      <w:r w:rsidR="001449E2">
        <w:t xml:space="preserve">(A – E combined) </w:t>
      </w:r>
      <w:r w:rsidRPr="009D147B">
        <w:t>for the current year.</w:t>
      </w:r>
    </w:p>
    <w:p w14:paraId="4388D4D0" w14:textId="77777777" w:rsidR="00A8418B" w:rsidRPr="00AB6C85" w:rsidRDefault="00A8418B" w:rsidP="00A8418B">
      <w:pPr>
        <w:pStyle w:val="Heading1"/>
      </w:pPr>
      <w:bookmarkStart w:id="14" w:name="_Toc398217604"/>
      <w:r w:rsidRPr="00AB6C85">
        <w:t>Methods</w:t>
      </w:r>
      <w:bookmarkEnd w:id="14"/>
    </w:p>
    <w:p w14:paraId="7359055A" w14:textId="77777777" w:rsidR="00A8418B" w:rsidRPr="00AB6C85" w:rsidRDefault="00A8418B" w:rsidP="00A8418B">
      <w:pPr>
        <w:pStyle w:val="Heading2"/>
      </w:pPr>
      <w:bookmarkStart w:id="15" w:name="_Toc398217605"/>
      <w:r w:rsidRPr="00AB6C85">
        <w:t>Study Design</w:t>
      </w:r>
      <w:bookmarkEnd w:id="15"/>
    </w:p>
    <w:p w14:paraId="392F4D13" w14:textId="6E49F5E0" w:rsidR="00A8418B" w:rsidRPr="00D1090E" w:rsidRDefault="00A8418B" w:rsidP="009B03F1">
      <w:r w:rsidRPr="00AB6C85">
        <w:t xml:space="preserve">As stated previously, this project does not involve any data collection </w:t>
      </w:r>
      <w:r w:rsidRPr="00AB6C85">
        <w:rPr>
          <w:i/>
        </w:rPr>
        <w:t>per se</w:t>
      </w:r>
      <w:r w:rsidRPr="00AB6C85">
        <w:t xml:space="preserve">, but rather relies on other projects and data sources to compile estimates. </w:t>
      </w:r>
      <w:r w:rsidRPr="00954B01">
        <w:t xml:space="preserve">Final estimates and projections of halibut harvest will be compiled by </w:t>
      </w:r>
      <w:r w:rsidR="00631984" w:rsidRPr="00954B01">
        <w:t>sector</w:t>
      </w:r>
      <w:r w:rsidRPr="00954B01">
        <w:t xml:space="preserve"> </w:t>
      </w:r>
      <w:r w:rsidR="00631984" w:rsidRPr="00954B01">
        <w:t xml:space="preserve">(charter and </w:t>
      </w:r>
      <w:r w:rsidR="00A04F70">
        <w:t>unguided</w:t>
      </w:r>
      <w:r w:rsidR="00631984" w:rsidRPr="00954B01">
        <w:t xml:space="preserve">) </w:t>
      </w:r>
      <w:r w:rsidRPr="00954B01">
        <w:t>and by</w:t>
      </w:r>
      <w:r w:rsidR="00AB6C85" w:rsidRPr="00954B01">
        <w:t xml:space="preserve"> </w:t>
      </w:r>
      <w:r w:rsidR="00A1202D">
        <w:t xml:space="preserve">halibut </w:t>
      </w:r>
      <w:r w:rsidRPr="00954B01">
        <w:t>reporting areas, and</w:t>
      </w:r>
      <w:r w:rsidRPr="00AB6C85">
        <w:t xml:space="preserve"> then summed to obtain estimates for each IPHC </w:t>
      </w:r>
      <w:r w:rsidR="00A1202D">
        <w:t xml:space="preserve">regulatory </w:t>
      </w:r>
      <w:r w:rsidRPr="00AB6C85">
        <w:t xml:space="preserve">area. In Southeast Alaska, the </w:t>
      </w:r>
      <w:r w:rsidR="00A1202D">
        <w:t xml:space="preserve">halibut </w:t>
      </w:r>
      <w:r w:rsidRPr="00AB6C85">
        <w:t xml:space="preserve">reporting areas </w:t>
      </w:r>
      <w:r w:rsidR="00A1202D">
        <w:t xml:space="preserve">generally </w:t>
      </w:r>
      <w:r w:rsidRPr="00AB6C85">
        <w:t>match the SWHS reporting areas</w:t>
      </w:r>
      <w:r w:rsidR="00AB6C85" w:rsidRPr="00AB6C85">
        <w:t xml:space="preserve"> (A – H)</w:t>
      </w:r>
      <w:r w:rsidR="00A1202D">
        <w:t xml:space="preserve"> generally </w:t>
      </w:r>
      <w:r w:rsidR="00A1202D" w:rsidRPr="00AB6C85">
        <w:t>match</w:t>
      </w:r>
      <w:r w:rsidR="00A1202D" w:rsidRPr="00A1202D">
        <w:t xml:space="preserve"> </w:t>
      </w:r>
      <w:r w:rsidR="00A1202D" w:rsidRPr="00AB6C85">
        <w:t xml:space="preserve">the </w:t>
      </w:r>
      <w:r w:rsidR="00A1202D">
        <w:t xml:space="preserve">halibut </w:t>
      </w:r>
      <w:r w:rsidR="00A1202D" w:rsidRPr="00AB6C85">
        <w:t>reporting areas</w:t>
      </w:r>
      <w:r w:rsidR="00A1202D">
        <w:t>. Areas E (Juneau) and F (Haines/Skagway) are combined due to the overlap in fishing areas and lack of port sampling data from Area F. Charter harvest in Area G must be separated into two areas to correspond with the IPHC regulatory areas (2C and 3A) that intersect Area G; this is only necessary for the charter sector as the unguided sector rarely fishes in the 3A portion of Area G and is done using Logbook data</w:t>
      </w:r>
      <w:r w:rsidRPr="00AB6C85">
        <w:t xml:space="preserve">. </w:t>
      </w:r>
      <w:r w:rsidRPr="00D70F46">
        <w:t xml:space="preserve">In Southcentral Alaska, some SWHS areas are further divided to better correspond with port sampling data. Specifically, the North Gulf Coast/Prince William Sound (PWS) area, SWHS Area J, is divided into Eastern PWS, Western PWS, and North Gulf Coast. The Area J </w:t>
      </w:r>
      <w:r w:rsidR="00747E2F">
        <w:t xml:space="preserve">SWHS </w:t>
      </w:r>
      <w:r w:rsidRPr="00D70F46">
        <w:t xml:space="preserve">questionnaire is specifically designed to capture this information. Harvest in Area J is partitioned according to the location where the fish are landed so that average weights estimated from ports of landing are properly matched to the estimated harvests. Similarly, estimates for </w:t>
      </w:r>
      <w:r w:rsidRPr="00954B01">
        <w:t>Cook Inlet (SWHS Area P) are divided into Central Cook Inlet (CCI) and Lower Cook Inlet (LCI)</w:t>
      </w:r>
      <w:r w:rsidR="00747E2F">
        <w:t>, though this is based on capture location, not landing location</w:t>
      </w:r>
      <w:r w:rsidRPr="00954B01">
        <w:t>. The halibut reporting areas and corresponding ports</w:t>
      </w:r>
      <w:r w:rsidR="00954B01" w:rsidRPr="00954B01">
        <w:t xml:space="preserve"> and SWHS areas</w:t>
      </w:r>
      <w:r w:rsidRPr="00954B01">
        <w:t xml:space="preserve"> for each IPHC </w:t>
      </w:r>
      <w:r w:rsidR="00954B01" w:rsidRPr="00954B01">
        <w:t>Regulatory A</w:t>
      </w:r>
      <w:r w:rsidRPr="00954B01">
        <w:t xml:space="preserve">rea are </w:t>
      </w:r>
      <w:r w:rsidRPr="00D1090E">
        <w:t>described in Table 1.</w:t>
      </w:r>
    </w:p>
    <w:p w14:paraId="317CF24C" w14:textId="06E675F6" w:rsidR="00A8418B" w:rsidRPr="00BE4A41" w:rsidRDefault="00003E46" w:rsidP="00003E46">
      <w:pPr>
        <w:pStyle w:val="Caption"/>
        <w:rPr>
          <w:sz w:val="20"/>
        </w:rPr>
      </w:pPr>
      <w:bookmarkStart w:id="16" w:name="_Toc398217622"/>
      <w:r w:rsidRPr="00BE4A41">
        <w:rPr>
          <w:sz w:val="20"/>
        </w:rPr>
        <w:t xml:space="preserve">Table </w:t>
      </w:r>
      <w:r w:rsidR="00534FF2" w:rsidRPr="00BE4A41">
        <w:rPr>
          <w:sz w:val="20"/>
        </w:rPr>
        <w:fldChar w:fldCharType="begin"/>
      </w:r>
      <w:r w:rsidR="00534FF2" w:rsidRPr="00BE4A41">
        <w:rPr>
          <w:sz w:val="20"/>
        </w:rPr>
        <w:instrText xml:space="preserve"> SEQ Table \* ARABIC </w:instrText>
      </w:r>
      <w:r w:rsidR="00534FF2" w:rsidRPr="00BE4A41">
        <w:rPr>
          <w:sz w:val="20"/>
        </w:rPr>
        <w:fldChar w:fldCharType="separate"/>
      </w:r>
      <w:r w:rsidR="00831795">
        <w:rPr>
          <w:noProof/>
          <w:sz w:val="20"/>
        </w:rPr>
        <w:t>1</w:t>
      </w:r>
      <w:r w:rsidR="00534FF2" w:rsidRPr="00BE4A41">
        <w:rPr>
          <w:noProof/>
          <w:sz w:val="20"/>
        </w:rPr>
        <w:fldChar w:fldCharType="end"/>
      </w:r>
      <w:r w:rsidRPr="00BE4A41">
        <w:rPr>
          <w:sz w:val="20"/>
        </w:rPr>
        <w:t>. Halibut reporting areas</w:t>
      </w:r>
      <w:r w:rsidR="00D559FC" w:rsidRPr="00BE4A41">
        <w:rPr>
          <w:sz w:val="20"/>
        </w:rPr>
        <w:t>,</w:t>
      </w:r>
      <w:r w:rsidRPr="00BE4A41">
        <w:rPr>
          <w:sz w:val="20"/>
        </w:rPr>
        <w:t xml:space="preserve"> sampled ports</w:t>
      </w:r>
      <w:r w:rsidR="00D559FC" w:rsidRPr="00BE4A41">
        <w:rPr>
          <w:sz w:val="20"/>
        </w:rPr>
        <w:t>, and SWHS areas</w:t>
      </w:r>
      <w:r w:rsidRPr="00BE4A41">
        <w:rPr>
          <w:sz w:val="20"/>
        </w:rPr>
        <w:t xml:space="preserve"> corresponding with IPHC </w:t>
      </w:r>
      <w:r w:rsidR="00D559FC" w:rsidRPr="00BE4A41">
        <w:rPr>
          <w:sz w:val="20"/>
        </w:rPr>
        <w:t>R</w:t>
      </w:r>
      <w:r w:rsidRPr="00BE4A41">
        <w:rPr>
          <w:sz w:val="20"/>
        </w:rPr>
        <w:t xml:space="preserve">egulatory </w:t>
      </w:r>
      <w:r w:rsidR="00D559FC" w:rsidRPr="00BE4A41">
        <w:rPr>
          <w:sz w:val="20"/>
        </w:rPr>
        <w:t>A</w:t>
      </w:r>
      <w:r w:rsidRPr="00BE4A41">
        <w:rPr>
          <w:sz w:val="20"/>
        </w:rPr>
        <w:t>rea</w:t>
      </w:r>
      <w:r w:rsidR="00D559FC" w:rsidRPr="00BE4A41">
        <w:rPr>
          <w:sz w:val="20"/>
        </w:rPr>
        <w:t>s</w:t>
      </w:r>
      <w:r w:rsidRPr="00BE4A41">
        <w:rPr>
          <w:sz w:val="20"/>
        </w:rPr>
        <w:t>.</w:t>
      </w:r>
      <w:bookmarkEnd w:id="16"/>
    </w:p>
    <w:tbl>
      <w:tblPr>
        <w:tblW w:w="5000" w:type="pct"/>
        <w:tblLook w:val="00A0" w:firstRow="1" w:lastRow="0" w:firstColumn="1" w:lastColumn="0" w:noHBand="0" w:noVBand="0"/>
      </w:tblPr>
      <w:tblGrid>
        <w:gridCol w:w="1601"/>
        <w:gridCol w:w="1848"/>
        <w:gridCol w:w="2815"/>
        <w:gridCol w:w="3096"/>
      </w:tblGrid>
      <w:tr w:rsidR="00954B01" w:rsidRPr="00534FF2" w14:paraId="4F7D7F4D" w14:textId="77777777" w:rsidTr="00954B01">
        <w:trPr>
          <w:trHeight w:val="216"/>
        </w:trPr>
        <w:tc>
          <w:tcPr>
            <w:tcW w:w="855" w:type="pct"/>
            <w:tcBorders>
              <w:top w:val="single" w:sz="4" w:space="0" w:color="auto"/>
              <w:bottom w:val="single" w:sz="4" w:space="0" w:color="auto"/>
            </w:tcBorders>
            <w:vAlign w:val="bottom"/>
          </w:tcPr>
          <w:p w14:paraId="216824C1" w14:textId="77777777" w:rsidR="00954B01" w:rsidRPr="00954B01" w:rsidRDefault="00954B01" w:rsidP="00954B01">
            <w:pPr>
              <w:pStyle w:val="tablerow0"/>
              <w:keepNext/>
              <w:jc w:val="center"/>
            </w:pPr>
            <w:r w:rsidRPr="00954B01">
              <w:t>IPHC Area</w:t>
            </w:r>
          </w:p>
        </w:tc>
        <w:tc>
          <w:tcPr>
            <w:tcW w:w="987" w:type="pct"/>
            <w:tcBorders>
              <w:top w:val="single" w:sz="4" w:space="0" w:color="auto"/>
              <w:bottom w:val="single" w:sz="4" w:space="0" w:color="auto"/>
            </w:tcBorders>
          </w:tcPr>
          <w:p w14:paraId="3356BD1B" w14:textId="77777777" w:rsidR="00954B01" w:rsidRPr="00954B01" w:rsidRDefault="00954B01" w:rsidP="00954B01">
            <w:pPr>
              <w:pStyle w:val="tablerow0"/>
              <w:keepNext/>
            </w:pPr>
            <w:proofErr w:type="gramStart"/>
            <w:r w:rsidRPr="00954B01">
              <w:t>SWHS  Area</w:t>
            </w:r>
            <w:proofErr w:type="gramEnd"/>
          </w:p>
        </w:tc>
        <w:tc>
          <w:tcPr>
            <w:tcW w:w="1504" w:type="pct"/>
            <w:tcBorders>
              <w:top w:val="single" w:sz="4" w:space="0" w:color="auto"/>
              <w:bottom w:val="single" w:sz="4" w:space="0" w:color="auto"/>
            </w:tcBorders>
            <w:vAlign w:val="bottom"/>
          </w:tcPr>
          <w:p w14:paraId="21A1891B" w14:textId="77777777" w:rsidR="00954B01" w:rsidRPr="00954B01" w:rsidRDefault="00954B01" w:rsidP="00954B01">
            <w:pPr>
              <w:pStyle w:val="tablerow0"/>
              <w:keepNext/>
            </w:pPr>
            <w:r w:rsidRPr="00954B01">
              <w:t>Sampled Port(s)</w:t>
            </w:r>
          </w:p>
        </w:tc>
        <w:tc>
          <w:tcPr>
            <w:tcW w:w="1654" w:type="pct"/>
            <w:tcBorders>
              <w:top w:val="single" w:sz="4" w:space="0" w:color="auto"/>
              <w:bottom w:val="single" w:sz="4" w:space="0" w:color="auto"/>
            </w:tcBorders>
            <w:vAlign w:val="bottom"/>
          </w:tcPr>
          <w:p w14:paraId="4D15918C" w14:textId="77777777" w:rsidR="00954B01" w:rsidRPr="00954B01" w:rsidRDefault="00954B01" w:rsidP="00954B01">
            <w:pPr>
              <w:pStyle w:val="tablerow0"/>
              <w:keepNext/>
            </w:pPr>
            <w:r w:rsidRPr="00954B01">
              <w:t>Halibut Reporting Area</w:t>
            </w:r>
          </w:p>
        </w:tc>
      </w:tr>
      <w:tr w:rsidR="00954B01" w:rsidRPr="00534FF2" w14:paraId="2DAE1EB7" w14:textId="77777777" w:rsidTr="00954B01">
        <w:trPr>
          <w:trHeight w:val="216"/>
        </w:trPr>
        <w:tc>
          <w:tcPr>
            <w:tcW w:w="855" w:type="pct"/>
            <w:tcBorders>
              <w:top w:val="single" w:sz="4" w:space="0" w:color="auto"/>
            </w:tcBorders>
            <w:vAlign w:val="bottom"/>
          </w:tcPr>
          <w:p w14:paraId="1C8985D7" w14:textId="77777777" w:rsidR="00954B01" w:rsidRPr="00954B01" w:rsidRDefault="00954B01" w:rsidP="00954B01">
            <w:pPr>
              <w:pStyle w:val="tablerow0"/>
              <w:keepNext/>
              <w:jc w:val="center"/>
            </w:pPr>
            <w:r w:rsidRPr="00954B01">
              <w:t>2C</w:t>
            </w:r>
          </w:p>
        </w:tc>
        <w:tc>
          <w:tcPr>
            <w:tcW w:w="987" w:type="pct"/>
            <w:tcBorders>
              <w:top w:val="single" w:sz="4" w:space="0" w:color="auto"/>
            </w:tcBorders>
          </w:tcPr>
          <w:p w14:paraId="62E04CEA" w14:textId="77777777" w:rsidR="00954B01" w:rsidRPr="00954B01" w:rsidRDefault="00954B01" w:rsidP="00954B01">
            <w:pPr>
              <w:pStyle w:val="tablerow0"/>
              <w:keepNext/>
            </w:pPr>
            <w:r w:rsidRPr="00954B01">
              <w:t>A</w:t>
            </w:r>
          </w:p>
        </w:tc>
        <w:tc>
          <w:tcPr>
            <w:tcW w:w="1504" w:type="pct"/>
            <w:tcBorders>
              <w:top w:val="single" w:sz="4" w:space="0" w:color="auto"/>
            </w:tcBorders>
            <w:vAlign w:val="bottom"/>
          </w:tcPr>
          <w:p w14:paraId="51F3959B" w14:textId="77777777" w:rsidR="00954B01" w:rsidRPr="00954B01" w:rsidRDefault="00954B01" w:rsidP="00954B01">
            <w:pPr>
              <w:pStyle w:val="tablerow0"/>
              <w:keepNext/>
            </w:pPr>
            <w:r w:rsidRPr="00954B01">
              <w:t>Ketchikan</w:t>
            </w:r>
          </w:p>
        </w:tc>
        <w:tc>
          <w:tcPr>
            <w:tcW w:w="1654" w:type="pct"/>
            <w:tcBorders>
              <w:top w:val="single" w:sz="4" w:space="0" w:color="auto"/>
            </w:tcBorders>
            <w:vAlign w:val="bottom"/>
          </w:tcPr>
          <w:p w14:paraId="08BF4B08" w14:textId="77777777" w:rsidR="00954B01" w:rsidRPr="00954B01" w:rsidRDefault="00954B01" w:rsidP="00954B01">
            <w:pPr>
              <w:pStyle w:val="tablerow0"/>
              <w:keepNext/>
            </w:pPr>
            <w:r w:rsidRPr="00954B01">
              <w:t>Ketchikan (A)</w:t>
            </w:r>
          </w:p>
        </w:tc>
      </w:tr>
      <w:tr w:rsidR="00954B01" w:rsidRPr="00534FF2" w14:paraId="2A17460F" w14:textId="77777777" w:rsidTr="00954B01">
        <w:trPr>
          <w:trHeight w:val="216"/>
        </w:trPr>
        <w:tc>
          <w:tcPr>
            <w:tcW w:w="855" w:type="pct"/>
            <w:vAlign w:val="bottom"/>
          </w:tcPr>
          <w:p w14:paraId="0BDD1DC9" w14:textId="77777777" w:rsidR="00954B01" w:rsidRPr="00954B01" w:rsidRDefault="00954B01" w:rsidP="00954B01">
            <w:pPr>
              <w:pStyle w:val="tablerow0"/>
              <w:keepNext/>
              <w:jc w:val="center"/>
            </w:pPr>
          </w:p>
        </w:tc>
        <w:tc>
          <w:tcPr>
            <w:tcW w:w="987" w:type="pct"/>
          </w:tcPr>
          <w:p w14:paraId="3CCC708D" w14:textId="77777777" w:rsidR="00954B01" w:rsidRPr="00954B01" w:rsidRDefault="00954B01" w:rsidP="00954B01">
            <w:pPr>
              <w:pStyle w:val="tablerow0"/>
              <w:keepNext/>
            </w:pPr>
            <w:r w:rsidRPr="00954B01">
              <w:t>B</w:t>
            </w:r>
          </w:p>
        </w:tc>
        <w:tc>
          <w:tcPr>
            <w:tcW w:w="1504" w:type="pct"/>
            <w:vAlign w:val="bottom"/>
          </w:tcPr>
          <w:p w14:paraId="0A06A479" w14:textId="77777777" w:rsidR="00954B01" w:rsidRPr="00954B01" w:rsidRDefault="00954B01" w:rsidP="00954B01">
            <w:pPr>
              <w:pStyle w:val="tablerow0"/>
              <w:keepNext/>
            </w:pPr>
            <w:r w:rsidRPr="00954B01">
              <w:t>Craig, Klawock</w:t>
            </w:r>
          </w:p>
        </w:tc>
        <w:tc>
          <w:tcPr>
            <w:tcW w:w="1654" w:type="pct"/>
            <w:vAlign w:val="bottom"/>
          </w:tcPr>
          <w:p w14:paraId="3BE061DE" w14:textId="77777777" w:rsidR="00954B01" w:rsidRPr="00954B01" w:rsidRDefault="00954B01" w:rsidP="00954B01">
            <w:pPr>
              <w:pStyle w:val="tablerow0"/>
              <w:keepNext/>
            </w:pPr>
            <w:r w:rsidRPr="00954B01">
              <w:t>Prince of Wales Island (B)</w:t>
            </w:r>
          </w:p>
        </w:tc>
      </w:tr>
      <w:tr w:rsidR="00954B01" w:rsidRPr="00534FF2" w14:paraId="05E2B490" w14:textId="77777777" w:rsidTr="00954B01">
        <w:trPr>
          <w:trHeight w:val="216"/>
        </w:trPr>
        <w:tc>
          <w:tcPr>
            <w:tcW w:w="855" w:type="pct"/>
            <w:vAlign w:val="bottom"/>
          </w:tcPr>
          <w:p w14:paraId="59E78111" w14:textId="77777777" w:rsidR="00954B01" w:rsidRPr="00954B01" w:rsidRDefault="00954B01" w:rsidP="00954B01">
            <w:pPr>
              <w:pStyle w:val="tablerow0"/>
              <w:keepNext/>
              <w:jc w:val="center"/>
            </w:pPr>
          </w:p>
        </w:tc>
        <w:tc>
          <w:tcPr>
            <w:tcW w:w="987" w:type="pct"/>
          </w:tcPr>
          <w:p w14:paraId="214F5E4A" w14:textId="77777777" w:rsidR="00954B01" w:rsidRPr="00954B01" w:rsidRDefault="00954B01" w:rsidP="00954B01">
            <w:pPr>
              <w:pStyle w:val="tablerow0"/>
              <w:keepNext/>
            </w:pPr>
            <w:r w:rsidRPr="00954B01">
              <w:t>C</w:t>
            </w:r>
          </w:p>
        </w:tc>
        <w:tc>
          <w:tcPr>
            <w:tcW w:w="1504" w:type="pct"/>
            <w:vAlign w:val="bottom"/>
          </w:tcPr>
          <w:p w14:paraId="7CE1130C" w14:textId="77777777" w:rsidR="00954B01" w:rsidRPr="00954B01" w:rsidRDefault="00954B01" w:rsidP="00954B01">
            <w:pPr>
              <w:pStyle w:val="tablerow0"/>
              <w:keepNext/>
            </w:pPr>
            <w:r w:rsidRPr="00954B01">
              <w:t>Petersburg, Wrangell</w:t>
            </w:r>
          </w:p>
        </w:tc>
        <w:tc>
          <w:tcPr>
            <w:tcW w:w="1654" w:type="pct"/>
            <w:vAlign w:val="bottom"/>
          </w:tcPr>
          <w:p w14:paraId="61A4AF37" w14:textId="77777777" w:rsidR="00954B01" w:rsidRPr="00954B01" w:rsidRDefault="00954B01" w:rsidP="00954B01">
            <w:pPr>
              <w:pStyle w:val="tablerow0"/>
              <w:keepNext/>
            </w:pPr>
            <w:r w:rsidRPr="00954B01">
              <w:t>Petersburg/Wrangell (C)</w:t>
            </w:r>
          </w:p>
        </w:tc>
      </w:tr>
      <w:tr w:rsidR="00954B01" w:rsidRPr="00534FF2" w14:paraId="76504B41" w14:textId="77777777" w:rsidTr="00954B01">
        <w:trPr>
          <w:trHeight w:val="216"/>
        </w:trPr>
        <w:tc>
          <w:tcPr>
            <w:tcW w:w="855" w:type="pct"/>
            <w:vAlign w:val="bottom"/>
          </w:tcPr>
          <w:p w14:paraId="6535BB26" w14:textId="77777777" w:rsidR="00954B01" w:rsidRPr="00954B01" w:rsidRDefault="00954B01" w:rsidP="00954B01">
            <w:pPr>
              <w:pStyle w:val="tablerow0"/>
              <w:keepNext/>
              <w:jc w:val="center"/>
            </w:pPr>
          </w:p>
        </w:tc>
        <w:tc>
          <w:tcPr>
            <w:tcW w:w="987" w:type="pct"/>
          </w:tcPr>
          <w:p w14:paraId="59597B8B" w14:textId="77777777" w:rsidR="00954B01" w:rsidRPr="00954B01" w:rsidRDefault="00954B01" w:rsidP="00954B01">
            <w:pPr>
              <w:pStyle w:val="tablerow0"/>
              <w:keepNext/>
            </w:pPr>
            <w:r w:rsidRPr="00954B01">
              <w:t>D</w:t>
            </w:r>
          </w:p>
        </w:tc>
        <w:tc>
          <w:tcPr>
            <w:tcW w:w="1504" w:type="pct"/>
            <w:vAlign w:val="bottom"/>
          </w:tcPr>
          <w:p w14:paraId="58E55C0F" w14:textId="77777777" w:rsidR="00954B01" w:rsidRPr="00954B01" w:rsidRDefault="00954B01" w:rsidP="00954B01">
            <w:pPr>
              <w:pStyle w:val="tablerow0"/>
              <w:keepNext/>
            </w:pPr>
            <w:r w:rsidRPr="00954B01">
              <w:t>Sitka</w:t>
            </w:r>
          </w:p>
        </w:tc>
        <w:tc>
          <w:tcPr>
            <w:tcW w:w="1654" w:type="pct"/>
            <w:vAlign w:val="bottom"/>
          </w:tcPr>
          <w:p w14:paraId="7209A01C" w14:textId="77777777" w:rsidR="00954B01" w:rsidRPr="00954B01" w:rsidRDefault="00954B01" w:rsidP="00954B01">
            <w:pPr>
              <w:pStyle w:val="tablerow0"/>
              <w:keepNext/>
            </w:pPr>
            <w:r w:rsidRPr="00954B01">
              <w:t>Sitka (D)</w:t>
            </w:r>
          </w:p>
        </w:tc>
      </w:tr>
      <w:tr w:rsidR="00954B01" w:rsidRPr="00534FF2" w14:paraId="668AE00D" w14:textId="77777777" w:rsidTr="00954B01">
        <w:trPr>
          <w:trHeight w:val="216"/>
        </w:trPr>
        <w:tc>
          <w:tcPr>
            <w:tcW w:w="855" w:type="pct"/>
            <w:vAlign w:val="bottom"/>
          </w:tcPr>
          <w:p w14:paraId="0163EAD6" w14:textId="77777777" w:rsidR="00954B01" w:rsidRPr="00954B01" w:rsidRDefault="00954B01" w:rsidP="00954B01">
            <w:pPr>
              <w:pStyle w:val="tablerow0"/>
              <w:keepNext/>
              <w:jc w:val="center"/>
            </w:pPr>
          </w:p>
        </w:tc>
        <w:tc>
          <w:tcPr>
            <w:tcW w:w="987" w:type="pct"/>
          </w:tcPr>
          <w:p w14:paraId="7134CEB5" w14:textId="77777777" w:rsidR="00954B01" w:rsidRPr="00954B01" w:rsidRDefault="00954B01" w:rsidP="00954B01">
            <w:pPr>
              <w:pStyle w:val="tablerow0"/>
              <w:keepNext/>
            </w:pPr>
            <w:r w:rsidRPr="00954B01">
              <w:t>E</w:t>
            </w:r>
          </w:p>
        </w:tc>
        <w:tc>
          <w:tcPr>
            <w:tcW w:w="1504" w:type="pct"/>
            <w:vAlign w:val="bottom"/>
          </w:tcPr>
          <w:p w14:paraId="11EAF416" w14:textId="77777777" w:rsidR="00954B01" w:rsidRPr="00954B01" w:rsidRDefault="00954B01" w:rsidP="00954B01">
            <w:pPr>
              <w:pStyle w:val="tablerow0"/>
              <w:keepNext/>
            </w:pPr>
            <w:r w:rsidRPr="00954B01">
              <w:t>Juneau</w:t>
            </w:r>
          </w:p>
        </w:tc>
        <w:tc>
          <w:tcPr>
            <w:tcW w:w="1654" w:type="pct"/>
            <w:vAlign w:val="bottom"/>
          </w:tcPr>
          <w:p w14:paraId="7DA2B872" w14:textId="1A92600E" w:rsidR="00954B01" w:rsidRPr="00954B01" w:rsidRDefault="00954B01" w:rsidP="00954B01">
            <w:pPr>
              <w:pStyle w:val="tablerow0"/>
              <w:keepNext/>
            </w:pPr>
            <w:r w:rsidRPr="00954B01">
              <w:t>Juneau</w:t>
            </w:r>
            <w:r w:rsidR="00705DFC">
              <w:t>/</w:t>
            </w:r>
            <w:r w:rsidR="00705DFC" w:rsidRPr="00954B01">
              <w:t xml:space="preserve">Haines/Skagway </w:t>
            </w:r>
            <w:r w:rsidRPr="00954B01">
              <w:t>(E</w:t>
            </w:r>
            <w:r w:rsidR="00705DFC">
              <w:t>F</w:t>
            </w:r>
            <w:r w:rsidRPr="00954B01">
              <w:t>)</w:t>
            </w:r>
          </w:p>
        </w:tc>
      </w:tr>
      <w:tr w:rsidR="00954B01" w:rsidRPr="00534FF2" w14:paraId="2B5F2CBC" w14:textId="77777777" w:rsidTr="00954B01">
        <w:trPr>
          <w:trHeight w:val="216"/>
        </w:trPr>
        <w:tc>
          <w:tcPr>
            <w:tcW w:w="855" w:type="pct"/>
            <w:vAlign w:val="bottom"/>
          </w:tcPr>
          <w:p w14:paraId="78C24FA0" w14:textId="77777777" w:rsidR="00954B01" w:rsidRPr="00954B01" w:rsidRDefault="00954B01" w:rsidP="00954B01">
            <w:pPr>
              <w:pStyle w:val="tablerow0"/>
              <w:keepNext/>
              <w:jc w:val="center"/>
            </w:pPr>
          </w:p>
        </w:tc>
        <w:tc>
          <w:tcPr>
            <w:tcW w:w="987" w:type="pct"/>
          </w:tcPr>
          <w:p w14:paraId="5175A576" w14:textId="77777777" w:rsidR="00954B01" w:rsidRPr="00954B01" w:rsidRDefault="00954B01" w:rsidP="00954B01">
            <w:pPr>
              <w:pStyle w:val="tablerow0"/>
              <w:keepNext/>
            </w:pPr>
            <w:r w:rsidRPr="00954B01">
              <w:t>F</w:t>
            </w:r>
          </w:p>
        </w:tc>
        <w:tc>
          <w:tcPr>
            <w:tcW w:w="1504" w:type="pct"/>
            <w:vAlign w:val="bottom"/>
          </w:tcPr>
          <w:p w14:paraId="29596EEB" w14:textId="77777777" w:rsidR="00954B01" w:rsidRPr="00954B01" w:rsidRDefault="00954B01" w:rsidP="00954B01">
            <w:pPr>
              <w:pStyle w:val="tablerow0"/>
              <w:keepNext/>
            </w:pPr>
            <w:r w:rsidRPr="00954B01">
              <w:t>Juneau (proxy)</w:t>
            </w:r>
          </w:p>
        </w:tc>
        <w:tc>
          <w:tcPr>
            <w:tcW w:w="1654" w:type="pct"/>
            <w:vAlign w:val="bottom"/>
          </w:tcPr>
          <w:p w14:paraId="6700F90C" w14:textId="6E04AA32" w:rsidR="00954B01" w:rsidRPr="00954B01" w:rsidRDefault="00705DFC" w:rsidP="00954B01">
            <w:pPr>
              <w:pStyle w:val="tablerow0"/>
              <w:keepNext/>
            </w:pPr>
            <w:r w:rsidRPr="00954B01">
              <w:t>Juneau</w:t>
            </w:r>
            <w:r>
              <w:t>/</w:t>
            </w:r>
            <w:r w:rsidRPr="00954B01">
              <w:t>Haines/Skagway</w:t>
            </w:r>
            <w:r w:rsidR="00954B01" w:rsidRPr="00954B01">
              <w:t xml:space="preserve"> (</w:t>
            </w:r>
            <w:r>
              <w:t>E</w:t>
            </w:r>
            <w:r w:rsidR="00954B01" w:rsidRPr="00954B01">
              <w:t>F)</w:t>
            </w:r>
          </w:p>
        </w:tc>
      </w:tr>
      <w:tr w:rsidR="00954B01" w:rsidRPr="00534FF2" w14:paraId="67CB2937" w14:textId="77777777" w:rsidTr="00954B01">
        <w:trPr>
          <w:trHeight w:val="216"/>
        </w:trPr>
        <w:tc>
          <w:tcPr>
            <w:tcW w:w="855" w:type="pct"/>
            <w:vAlign w:val="bottom"/>
          </w:tcPr>
          <w:p w14:paraId="7D43E6EF" w14:textId="77777777" w:rsidR="00954B01" w:rsidRPr="00954B01" w:rsidRDefault="00954B01" w:rsidP="00954B01">
            <w:pPr>
              <w:pStyle w:val="tablerow0"/>
              <w:keepNext/>
              <w:jc w:val="center"/>
            </w:pPr>
          </w:p>
        </w:tc>
        <w:tc>
          <w:tcPr>
            <w:tcW w:w="987" w:type="pct"/>
          </w:tcPr>
          <w:p w14:paraId="30FF5955" w14:textId="77777777" w:rsidR="00954B01" w:rsidRPr="00954B01" w:rsidRDefault="00954B01" w:rsidP="00954B01">
            <w:pPr>
              <w:pStyle w:val="tablerow0"/>
              <w:keepNext/>
            </w:pPr>
            <w:r w:rsidRPr="00954B01">
              <w:t>G</w:t>
            </w:r>
          </w:p>
        </w:tc>
        <w:tc>
          <w:tcPr>
            <w:tcW w:w="1504" w:type="pct"/>
            <w:vAlign w:val="bottom"/>
          </w:tcPr>
          <w:p w14:paraId="4F12EB1E" w14:textId="77777777" w:rsidR="00954B01" w:rsidRPr="00954B01" w:rsidRDefault="00954B01" w:rsidP="00954B01">
            <w:pPr>
              <w:pStyle w:val="tablerow0"/>
              <w:keepNext/>
            </w:pPr>
            <w:r w:rsidRPr="00954B01">
              <w:t>Elfin Cove, Gustavus</w:t>
            </w:r>
          </w:p>
        </w:tc>
        <w:tc>
          <w:tcPr>
            <w:tcW w:w="1654" w:type="pct"/>
            <w:vAlign w:val="bottom"/>
          </w:tcPr>
          <w:p w14:paraId="23D2C48D" w14:textId="77777777" w:rsidR="00954B01" w:rsidRPr="00954B01" w:rsidRDefault="00954B01" w:rsidP="00954B01">
            <w:pPr>
              <w:pStyle w:val="tablerow0"/>
              <w:keepNext/>
            </w:pPr>
            <w:r w:rsidRPr="00954B01">
              <w:t>Glacier Bay (G2C)</w:t>
            </w:r>
          </w:p>
        </w:tc>
      </w:tr>
      <w:tr w:rsidR="00954B01" w:rsidRPr="00534FF2" w14:paraId="17044E02" w14:textId="77777777" w:rsidTr="00954B01">
        <w:trPr>
          <w:trHeight w:val="216"/>
        </w:trPr>
        <w:tc>
          <w:tcPr>
            <w:tcW w:w="855" w:type="pct"/>
            <w:vAlign w:val="bottom"/>
          </w:tcPr>
          <w:p w14:paraId="77F91492" w14:textId="77777777" w:rsidR="00954B01" w:rsidRPr="00954B01" w:rsidRDefault="00954B01" w:rsidP="00954B01">
            <w:pPr>
              <w:pStyle w:val="tablerow0"/>
              <w:keepNext/>
              <w:jc w:val="center"/>
            </w:pPr>
          </w:p>
        </w:tc>
        <w:tc>
          <w:tcPr>
            <w:tcW w:w="987" w:type="pct"/>
          </w:tcPr>
          <w:p w14:paraId="29970CF7" w14:textId="77777777" w:rsidR="00954B01" w:rsidRPr="00954B01" w:rsidRDefault="00954B01" w:rsidP="00954B01">
            <w:pPr>
              <w:pStyle w:val="tablerow0"/>
              <w:keepNext/>
            </w:pPr>
          </w:p>
        </w:tc>
        <w:tc>
          <w:tcPr>
            <w:tcW w:w="1504" w:type="pct"/>
            <w:vAlign w:val="bottom"/>
          </w:tcPr>
          <w:p w14:paraId="22D9372D" w14:textId="77777777" w:rsidR="00954B01" w:rsidRPr="00954B01" w:rsidRDefault="00954B01" w:rsidP="00954B01">
            <w:pPr>
              <w:pStyle w:val="tablerow0"/>
              <w:keepNext/>
            </w:pPr>
          </w:p>
        </w:tc>
        <w:tc>
          <w:tcPr>
            <w:tcW w:w="1654" w:type="pct"/>
            <w:vAlign w:val="bottom"/>
          </w:tcPr>
          <w:p w14:paraId="02266BDA" w14:textId="77777777" w:rsidR="00954B01" w:rsidRPr="00954B01" w:rsidRDefault="00954B01" w:rsidP="00954B01">
            <w:pPr>
              <w:pStyle w:val="tablerow0"/>
              <w:keepNext/>
            </w:pPr>
          </w:p>
        </w:tc>
      </w:tr>
      <w:tr w:rsidR="00954B01" w:rsidRPr="00534FF2" w14:paraId="7C148517" w14:textId="77777777" w:rsidTr="00954B01">
        <w:trPr>
          <w:trHeight w:val="216"/>
        </w:trPr>
        <w:tc>
          <w:tcPr>
            <w:tcW w:w="855" w:type="pct"/>
            <w:vAlign w:val="bottom"/>
          </w:tcPr>
          <w:p w14:paraId="1B3164F8" w14:textId="77777777" w:rsidR="00954B01" w:rsidRPr="00954B01" w:rsidRDefault="00954B01" w:rsidP="00954B01">
            <w:pPr>
              <w:pStyle w:val="tablerow0"/>
              <w:keepNext/>
              <w:jc w:val="center"/>
            </w:pPr>
            <w:r w:rsidRPr="00954B01">
              <w:t>3A</w:t>
            </w:r>
          </w:p>
        </w:tc>
        <w:tc>
          <w:tcPr>
            <w:tcW w:w="987" w:type="pct"/>
          </w:tcPr>
          <w:p w14:paraId="50FB3816" w14:textId="77777777" w:rsidR="00954B01" w:rsidRPr="00954B01" w:rsidRDefault="00954B01" w:rsidP="00954B01">
            <w:pPr>
              <w:pStyle w:val="tablerow0"/>
              <w:keepNext/>
            </w:pPr>
            <w:r w:rsidRPr="00954B01">
              <w:t>G</w:t>
            </w:r>
          </w:p>
        </w:tc>
        <w:tc>
          <w:tcPr>
            <w:tcW w:w="1504" w:type="pct"/>
            <w:vAlign w:val="bottom"/>
          </w:tcPr>
          <w:p w14:paraId="50A39475" w14:textId="77777777" w:rsidR="00954B01" w:rsidRPr="00954B01" w:rsidRDefault="00954B01" w:rsidP="00954B01">
            <w:pPr>
              <w:pStyle w:val="tablerow0"/>
              <w:keepNext/>
            </w:pPr>
            <w:r w:rsidRPr="00954B01">
              <w:t>Elfin Cove, Gustavus</w:t>
            </w:r>
          </w:p>
        </w:tc>
        <w:tc>
          <w:tcPr>
            <w:tcW w:w="1654" w:type="pct"/>
            <w:vAlign w:val="bottom"/>
          </w:tcPr>
          <w:p w14:paraId="2E833EFF" w14:textId="77777777" w:rsidR="00954B01" w:rsidRPr="00954B01" w:rsidRDefault="00954B01" w:rsidP="00954B01">
            <w:pPr>
              <w:pStyle w:val="tablerow0"/>
              <w:keepNext/>
            </w:pPr>
            <w:r w:rsidRPr="00954B01">
              <w:t>Glacier Bay (G3A)</w:t>
            </w:r>
          </w:p>
        </w:tc>
      </w:tr>
      <w:tr w:rsidR="00954B01" w:rsidRPr="00534FF2" w14:paraId="05C4DA11" w14:textId="77777777" w:rsidTr="00954B01">
        <w:trPr>
          <w:trHeight w:val="216"/>
        </w:trPr>
        <w:tc>
          <w:tcPr>
            <w:tcW w:w="855" w:type="pct"/>
            <w:vAlign w:val="bottom"/>
          </w:tcPr>
          <w:p w14:paraId="3A42B5FF" w14:textId="77777777" w:rsidR="00954B01" w:rsidRPr="00954B01" w:rsidRDefault="00954B01" w:rsidP="00954B01">
            <w:pPr>
              <w:pStyle w:val="tablerow0"/>
              <w:keepNext/>
              <w:jc w:val="center"/>
            </w:pPr>
          </w:p>
        </w:tc>
        <w:tc>
          <w:tcPr>
            <w:tcW w:w="987" w:type="pct"/>
          </w:tcPr>
          <w:p w14:paraId="2C4CCE2E" w14:textId="77777777" w:rsidR="00954B01" w:rsidRPr="00954B01" w:rsidRDefault="00954B01" w:rsidP="00954B01">
            <w:pPr>
              <w:pStyle w:val="tablerow0"/>
              <w:keepNext/>
            </w:pPr>
            <w:r w:rsidRPr="00954B01">
              <w:t>H</w:t>
            </w:r>
          </w:p>
        </w:tc>
        <w:tc>
          <w:tcPr>
            <w:tcW w:w="1504" w:type="pct"/>
            <w:vAlign w:val="bottom"/>
          </w:tcPr>
          <w:p w14:paraId="198E8CAF" w14:textId="77777777" w:rsidR="00954B01" w:rsidRPr="00954B01" w:rsidRDefault="00954B01" w:rsidP="00954B01">
            <w:pPr>
              <w:pStyle w:val="tablerow0"/>
              <w:keepNext/>
            </w:pPr>
            <w:r w:rsidRPr="00954B01">
              <w:t>Yakutat</w:t>
            </w:r>
          </w:p>
        </w:tc>
        <w:tc>
          <w:tcPr>
            <w:tcW w:w="1654" w:type="pct"/>
            <w:vAlign w:val="bottom"/>
          </w:tcPr>
          <w:p w14:paraId="0CB7E47A" w14:textId="77777777" w:rsidR="00954B01" w:rsidRPr="00954B01" w:rsidRDefault="00954B01" w:rsidP="00954B01">
            <w:pPr>
              <w:pStyle w:val="tablerow0"/>
              <w:keepNext/>
            </w:pPr>
            <w:r w:rsidRPr="00954B01">
              <w:t>Yakutat (H)</w:t>
            </w:r>
          </w:p>
        </w:tc>
      </w:tr>
      <w:tr w:rsidR="00954B01" w:rsidRPr="00534FF2" w14:paraId="6118C6D3" w14:textId="77777777" w:rsidTr="00954B01">
        <w:trPr>
          <w:trHeight w:val="216"/>
        </w:trPr>
        <w:tc>
          <w:tcPr>
            <w:tcW w:w="855" w:type="pct"/>
            <w:vAlign w:val="bottom"/>
          </w:tcPr>
          <w:p w14:paraId="6BEE6510" w14:textId="77777777" w:rsidR="00954B01" w:rsidRPr="00954B01" w:rsidRDefault="00954B01" w:rsidP="00954B01">
            <w:pPr>
              <w:pStyle w:val="tablerow0"/>
              <w:keepNext/>
              <w:jc w:val="center"/>
            </w:pPr>
          </w:p>
        </w:tc>
        <w:tc>
          <w:tcPr>
            <w:tcW w:w="987" w:type="pct"/>
          </w:tcPr>
          <w:p w14:paraId="33A7FB11" w14:textId="77777777" w:rsidR="00954B01" w:rsidRPr="00954B01" w:rsidRDefault="00954B01" w:rsidP="00954B01">
            <w:pPr>
              <w:pStyle w:val="tablerow0"/>
              <w:keepNext/>
            </w:pPr>
            <w:r w:rsidRPr="00954B01">
              <w:t>J</w:t>
            </w:r>
          </w:p>
        </w:tc>
        <w:tc>
          <w:tcPr>
            <w:tcW w:w="1504" w:type="pct"/>
            <w:vAlign w:val="bottom"/>
          </w:tcPr>
          <w:p w14:paraId="4E579683" w14:textId="77777777" w:rsidR="00954B01" w:rsidRPr="00954B01" w:rsidRDefault="00954B01" w:rsidP="00954B01">
            <w:pPr>
              <w:pStyle w:val="tablerow0"/>
              <w:keepNext/>
            </w:pPr>
            <w:r w:rsidRPr="00954B01">
              <w:t>Valdez</w:t>
            </w:r>
          </w:p>
        </w:tc>
        <w:tc>
          <w:tcPr>
            <w:tcW w:w="1654" w:type="pct"/>
            <w:vAlign w:val="bottom"/>
          </w:tcPr>
          <w:p w14:paraId="1136098B" w14:textId="77777777" w:rsidR="00954B01" w:rsidRPr="00954B01" w:rsidRDefault="00954B01" w:rsidP="00954B01">
            <w:pPr>
              <w:pStyle w:val="tablerow0"/>
              <w:keepNext/>
            </w:pPr>
            <w:r w:rsidRPr="00954B01">
              <w:t>Eastern PWS (EPWS)</w:t>
            </w:r>
          </w:p>
        </w:tc>
      </w:tr>
      <w:tr w:rsidR="00954B01" w:rsidRPr="00534FF2" w14:paraId="51552532" w14:textId="77777777" w:rsidTr="00954B01">
        <w:trPr>
          <w:trHeight w:val="216"/>
        </w:trPr>
        <w:tc>
          <w:tcPr>
            <w:tcW w:w="855" w:type="pct"/>
            <w:vAlign w:val="bottom"/>
          </w:tcPr>
          <w:p w14:paraId="0E9088BD" w14:textId="77777777" w:rsidR="00954B01" w:rsidRPr="00954B01" w:rsidRDefault="00954B01" w:rsidP="00954B01">
            <w:pPr>
              <w:pStyle w:val="tablerow0"/>
              <w:keepNext/>
              <w:jc w:val="center"/>
            </w:pPr>
          </w:p>
        </w:tc>
        <w:tc>
          <w:tcPr>
            <w:tcW w:w="987" w:type="pct"/>
          </w:tcPr>
          <w:p w14:paraId="59DA6658" w14:textId="77777777" w:rsidR="00954B01" w:rsidRPr="00954B01" w:rsidRDefault="00954B01" w:rsidP="00954B01">
            <w:pPr>
              <w:pStyle w:val="tablerow0"/>
              <w:keepNext/>
            </w:pPr>
            <w:r w:rsidRPr="00954B01">
              <w:t>J</w:t>
            </w:r>
          </w:p>
        </w:tc>
        <w:tc>
          <w:tcPr>
            <w:tcW w:w="1504" w:type="pct"/>
            <w:vAlign w:val="bottom"/>
          </w:tcPr>
          <w:p w14:paraId="2A9513D7" w14:textId="77777777" w:rsidR="00954B01" w:rsidRPr="00954B01" w:rsidRDefault="00954B01" w:rsidP="00954B01">
            <w:pPr>
              <w:pStyle w:val="tablerow0"/>
              <w:keepNext/>
            </w:pPr>
            <w:r w:rsidRPr="00954B01">
              <w:t>Whittier</w:t>
            </w:r>
          </w:p>
        </w:tc>
        <w:tc>
          <w:tcPr>
            <w:tcW w:w="1654" w:type="pct"/>
            <w:vAlign w:val="bottom"/>
          </w:tcPr>
          <w:p w14:paraId="3426D8BA" w14:textId="77777777" w:rsidR="00954B01" w:rsidRPr="00954B01" w:rsidRDefault="00954B01" w:rsidP="00954B01">
            <w:pPr>
              <w:pStyle w:val="tablerow0"/>
              <w:keepNext/>
            </w:pPr>
            <w:r w:rsidRPr="00954B01">
              <w:t>Western PWS (WPWS)</w:t>
            </w:r>
          </w:p>
        </w:tc>
      </w:tr>
      <w:tr w:rsidR="00954B01" w:rsidRPr="00534FF2" w14:paraId="5EC53576" w14:textId="77777777" w:rsidTr="00954B01">
        <w:trPr>
          <w:trHeight w:val="216"/>
        </w:trPr>
        <w:tc>
          <w:tcPr>
            <w:tcW w:w="855" w:type="pct"/>
            <w:vAlign w:val="bottom"/>
          </w:tcPr>
          <w:p w14:paraId="4A80CFE5" w14:textId="77777777" w:rsidR="00954B01" w:rsidRPr="00954B01" w:rsidRDefault="00954B01" w:rsidP="00954B01">
            <w:pPr>
              <w:pStyle w:val="tablerow0"/>
              <w:keepNext/>
              <w:jc w:val="center"/>
            </w:pPr>
          </w:p>
        </w:tc>
        <w:tc>
          <w:tcPr>
            <w:tcW w:w="987" w:type="pct"/>
          </w:tcPr>
          <w:p w14:paraId="4AB47123" w14:textId="77777777" w:rsidR="00954B01" w:rsidRPr="00954B01" w:rsidRDefault="00954B01" w:rsidP="00954B01">
            <w:pPr>
              <w:pStyle w:val="tablerow0"/>
              <w:keepNext/>
            </w:pPr>
            <w:r w:rsidRPr="00954B01">
              <w:t>J</w:t>
            </w:r>
          </w:p>
        </w:tc>
        <w:tc>
          <w:tcPr>
            <w:tcW w:w="1504" w:type="pct"/>
            <w:vAlign w:val="bottom"/>
          </w:tcPr>
          <w:p w14:paraId="0765299B" w14:textId="77777777" w:rsidR="00954B01" w:rsidRPr="00954B01" w:rsidRDefault="00954B01" w:rsidP="00954B01">
            <w:pPr>
              <w:pStyle w:val="tablerow0"/>
              <w:keepNext/>
            </w:pPr>
            <w:r w:rsidRPr="00954B01">
              <w:t>Seward</w:t>
            </w:r>
          </w:p>
        </w:tc>
        <w:tc>
          <w:tcPr>
            <w:tcW w:w="1654" w:type="pct"/>
            <w:vAlign w:val="bottom"/>
          </w:tcPr>
          <w:p w14:paraId="4EF9C346" w14:textId="77777777" w:rsidR="00954B01" w:rsidRPr="00954B01" w:rsidRDefault="00954B01" w:rsidP="00954B01">
            <w:pPr>
              <w:pStyle w:val="tablerow0"/>
              <w:keepNext/>
            </w:pPr>
            <w:r w:rsidRPr="00954B01">
              <w:t>North Gulf Coast (NG)</w:t>
            </w:r>
          </w:p>
        </w:tc>
      </w:tr>
      <w:tr w:rsidR="00954B01" w:rsidRPr="00534FF2" w14:paraId="06218DE8" w14:textId="77777777" w:rsidTr="00954B01">
        <w:trPr>
          <w:trHeight w:val="216"/>
        </w:trPr>
        <w:tc>
          <w:tcPr>
            <w:tcW w:w="855" w:type="pct"/>
            <w:vAlign w:val="bottom"/>
          </w:tcPr>
          <w:p w14:paraId="4EA0D253" w14:textId="77777777" w:rsidR="00954B01" w:rsidRPr="00954B01" w:rsidRDefault="00954B01" w:rsidP="00954B01">
            <w:pPr>
              <w:pStyle w:val="tablerow0"/>
              <w:keepNext/>
              <w:jc w:val="center"/>
            </w:pPr>
          </w:p>
        </w:tc>
        <w:tc>
          <w:tcPr>
            <w:tcW w:w="987" w:type="pct"/>
          </w:tcPr>
          <w:p w14:paraId="0AB1878F" w14:textId="77777777" w:rsidR="00954B01" w:rsidRPr="00954B01" w:rsidRDefault="00954B01" w:rsidP="00954B01">
            <w:pPr>
              <w:pStyle w:val="tablerow0"/>
              <w:keepNext/>
            </w:pPr>
            <w:r w:rsidRPr="00954B01">
              <w:t>P</w:t>
            </w:r>
          </w:p>
        </w:tc>
        <w:tc>
          <w:tcPr>
            <w:tcW w:w="1504" w:type="pct"/>
            <w:vAlign w:val="bottom"/>
          </w:tcPr>
          <w:p w14:paraId="57AA1E6A" w14:textId="77777777" w:rsidR="00954B01" w:rsidRPr="00954B01" w:rsidRDefault="00954B01" w:rsidP="00954B01">
            <w:pPr>
              <w:pStyle w:val="tablerow0"/>
              <w:keepNext/>
            </w:pPr>
            <w:r w:rsidRPr="00954B01">
              <w:t>Homer</w:t>
            </w:r>
          </w:p>
        </w:tc>
        <w:tc>
          <w:tcPr>
            <w:tcW w:w="1654" w:type="pct"/>
            <w:vAlign w:val="bottom"/>
          </w:tcPr>
          <w:p w14:paraId="345D9B74" w14:textId="77777777" w:rsidR="00954B01" w:rsidRPr="00954B01" w:rsidRDefault="00954B01" w:rsidP="00954B01">
            <w:pPr>
              <w:pStyle w:val="tablerow0"/>
              <w:keepNext/>
            </w:pPr>
            <w:r w:rsidRPr="00954B01">
              <w:t>Lower Cook Inlet (LCI)</w:t>
            </w:r>
          </w:p>
        </w:tc>
      </w:tr>
      <w:tr w:rsidR="00954B01" w:rsidRPr="00534FF2" w14:paraId="65A824E0" w14:textId="77777777" w:rsidTr="00954B01">
        <w:trPr>
          <w:trHeight w:val="216"/>
        </w:trPr>
        <w:tc>
          <w:tcPr>
            <w:tcW w:w="855" w:type="pct"/>
            <w:vAlign w:val="bottom"/>
          </w:tcPr>
          <w:p w14:paraId="504DABD0" w14:textId="77777777" w:rsidR="00954B01" w:rsidRPr="00954B01" w:rsidRDefault="00954B01" w:rsidP="00954B01">
            <w:pPr>
              <w:pStyle w:val="tablerow0"/>
              <w:keepNext/>
              <w:jc w:val="center"/>
            </w:pPr>
          </w:p>
        </w:tc>
        <w:tc>
          <w:tcPr>
            <w:tcW w:w="987" w:type="pct"/>
          </w:tcPr>
          <w:p w14:paraId="4EC51CAF" w14:textId="77777777" w:rsidR="00954B01" w:rsidRPr="00954B01" w:rsidRDefault="00954B01" w:rsidP="00954B01">
            <w:pPr>
              <w:pStyle w:val="tablerow0"/>
              <w:keepNext/>
            </w:pPr>
            <w:r w:rsidRPr="00954B01">
              <w:t>P</w:t>
            </w:r>
          </w:p>
        </w:tc>
        <w:tc>
          <w:tcPr>
            <w:tcW w:w="1504" w:type="pct"/>
            <w:vAlign w:val="bottom"/>
          </w:tcPr>
          <w:p w14:paraId="7AEA4268" w14:textId="77777777" w:rsidR="00954B01" w:rsidRPr="00954B01" w:rsidRDefault="00954B01" w:rsidP="00954B01">
            <w:pPr>
              <w:pStyle w:val="tablerow0"/>
              <w:keepNext/>
            </w:pPr>
            <w:r w:rsidRPr="00954B01">
              <w:t>Deep Creek, Anchor Point</w:t>
            </w:r>
          </w:p>
        </w:tc>
        <w:tc>
          <w:tcPr>
            <w:tcW w:w="1654" w:type="pct"/>
            <w:vAlign w:val="bottom"/>
          </w:tcPr>
          <w:p w14:paraId="08029203" w14:textId="77777777" w:rsidR="00954B01" w:rsidRPr="00954B01" w:rsidRDefault="00954B01" w:rsidP="00954B01">
            <w:pPr>
              <w:pStyle w:val="tablerow0"/>
              <w:keepNext/>
            </w:pPr>
            <w:r w:rsidRPr="00954B01">
              <w:t>Central Cook Inlet (CCI)</w:t>
            </w:r>
          </w:p>
        </w:tc>
      </w:tr>
      <w:tr w:rsidR="00954B01" w:rsidRPr="00534FF2" w14:paraId="213F0BBB" w14:textId="77777777" w:rsidTr="00954B01">
        <w:trPr>
          <w:trHeight w:val="216"/>
        </w:trPr>
        <w:tc>
          <w:tcPr>
            <w:tcW w:w="855" w:type="pct"/>
            <w:tcBorders>
              <w:bottom w:val="single" w:sz="4" w:space="0" w:color="auto"/>
            </w:tcBorders>
            <w:vAlign w:val="bottom"/>
          </w:tcPr>
          <w:p w14:paraId="7E9B9085" w14:textId="77777777" w:rsidR="00954B01" w:rsidRPr="00954B01" w:rsidRDefault="00954B01" w:rsidP="00954B01">
            <w:pPr>
              <w:pStyle w:val="tablerow0"/>
              <w:keepNext/>
              <w:jc w:val="center"/>
            </w:pPr>
          </w:p>
        </w:tc>
        <w:tc>
          <w:tcPr>
            <w:tcW w:w="987" w:type="pct"/>
            <w:tcBorders>
              <w:bottom w:val="single" w:sz="4" w:space="0" w:color="auto"/>
            </w:tcBorders>
          </w:tcPr>
          <w:p w14:paraId="310434C7" w14:textId="77777777" w:rsidR="00954B01" w:rsidRPr="00954B01" w:rsidRDefault="00954B01" w:rsidP="00954B01">
            <w:pPr>
              <w:pStyle w:val="tablerow0"/>
              <w:keepNext/>
            </w:pPr>
            <w:r w:rsidRPr="00954B01">
              <w:t>Q</w:t>
            </w:r>
          </w:p>
        </w:tc>
        <w:tc>
          <w:tcPr>
            <w:tcW w:w="1504" w:type="pct"/>
            <w:tcBorders>
              <w:bottom w:val="single" w:sz="4" w:space="0" w:color="auto"/>
            </w:tcBorders>
            <w:vAlign w:val="bottom"/>
          </w:tcPr>
          <w:p w14:paraId="096996E1" w14:textId="77777777" w:rsidR="00954B01" w:rsidRPr="00954B01" w:rsidRDefault="00954B01" w:rsidP="00954B01">
            <w:pPr>
              <w:pStyle w:val="tablerow0"/>
              <w:keepNext/>
            </w:pPr>
            <w:r w:rsidRPr="00954B01">
              <w:t>Kodiak city</w:t>
            </w:r>
          </w:p>
        </w:tc>
        <w:tc>
          <w:tcPr>
            <w:tcW w:w="1654" w:type="pct"/>
            <w:tcBorders>
              <w:bottom w:val="single" w:sz="4" w:space="0" w:color="auto"/>
            </w:tcBorders>
            <w:vAlign w:val="bottom"/>
          </w:tcPr>
          <w:p w14:paraId="32CDEE63" w14:textId="77777777" w:rsidR="00954B01" w:rsidRPr="00954B01" w:rsidRDefault="00954B01" w:rsidP="00954B01">
            <w:pPr>
              <w:pStyle w:val="tablerow0"/>
              <w:keepNext/>
            </w:pPr>
            <w:r w:rsidRPr="00954B01">
              <w:t>Kodiak (Q)</w:t>
            </w:r>
          </w:p>
        </w:tc>
      </w:tr>
    </w:tbl>
    <w:p w14:paraId="15A82123" w14:textId="77777777" w:rsidR="00705DFC" w:rsidRPr="00E86BAB" w:rsidRDefault="00705DFC" w:rsidP="00705DFC">
      <w:pPr>
        <w:pStyle w:val="Heading2"/>
      </w:pPr>
      <w:bookmarkStart w:id="17" w:name="_Toc398217606"/>
      <w:bookmarkStart w:id="18" w:name="_Toc398217608"/>
      <w:r w:rsidRPr="00E86BAB">
        <w:t>Fishery Creel Sampling</w:t>
      </w:r>
      <w:bookmarkEnd w:id="17"/>
    </w:p>
    <w:p w14:paraId="6E0BFFAC" w14:textId="77777777" w:rsidR="00705DFC" w:rsidRPr="00A04F70" w:rsidRDefault="00705DFC" w:rsidP="00705DFC">
      <w:r w:rsidRPr="00E86BAB">
        <w:t>The harvest of charter and unguided halibut is sampled through onsite fishery monitoring programs in Southeast and Southcentral Alaska</w:t>
      </w:r>
      <w:r w:rsidRPr="00A04F70">
        <w:t xml:space="preserve">. Fork lengths of harvested halibut are </w:t>
      </w:r>
      <w:proofErr w:type="gramStart"/>
      <w:r w:rsidRPr="00A04F70">
        <w:t>measured</w:t>
      </w:r>
      <w:proofErr w:type="gramEnd"/>
      <w:r w:rsidRPr="00A04F70">
        <w:t xml:space="preserve"> and average </w:t>
      </w:r>
      <w:r w:rsidRPr="00A04F70">
        <w:lastRenderedPageBreak/>
        <w:t>net weight is estimated from weights predicted for each fish using the IPHC length-weight relationship</w:t>
      </w:r>
      <w:r>
        <w:t xml:space="preserve"> (</w:t>
      </w:r>
      <w:r w:rsidRPr="00D374E9">
        <w:rPr>
          <w:rFonts w:ascii="Cambria Math" w:hAnsi="Cambria Math" w:cs="Cambria Math"/>
        </w:rPr>
        <w:t>𝑊</w:t>
      </w:r>
      <w:r w:rsidRPr="00D374E9">
        <w:rPr>
          <w:rFonts w:ascii="Cambria Math" w:hAnsi="Cambria Math" w:cs="Cambria Math"/>
          <w:vertAlign w:val="subscript"/>
        </w:rPr>
        <w:t>𝑛</w:t>
      </w:r>
      <w:r w:rsidRPr="00D374E9">
        <w:t>=0.00000692∙</w:t>
      </w:r>
      <w:r w:rsidRPr="00D374E9">
        <w:rPr>
          <w:rFonts w:ascii="Cambria Math" w:hAnsi="Cambria Math" w:cs="Cambria Math"/>
        </w:rPr>
        <w:t>𝐿</w:t>
      </w:r>
      <w:r w:rsidRPr="00D374E9">
        <w:rPr>
          <w:rFonts w:ascii="Cambria Math" w:hAnsi="Cambria Math" w:cs="Cambria Math"/>
          <w:vertAlign w:val="subscript"/>
        </w:rPr>
        <w:t>𝑓</w:t>
      </w:r>
      <w:r w:rsidRPr="00D374E9">
        <w:rPr>
          <w:vertAlign w:val="superscript"/>
        </w:rPr>
        <w:t>3.24</w:t>
      </w:r>
      <w:r w:rsidRPr="00D374E9">
        <w:t xml:space="preserve"> where </w:t>
      </w:r>
      <w:proofErr w:type="spellStart"/>
      <w:r w:rsidRPr="00D374E9">
        <w:t>W</w:t>
      </w:r>
      <w:r w:rsidRPr="00D374E9">
        <w:rPr>
          <w:vertAlign w:val="subscript"/>
        </w:rPr>
        <w:t>n</w:t>
      </w:r>
      <w:proofErr w:type="spellEnd"/>
      <w:r w:rsidRPr="00D374E9">
        <w:t xml:space="preserve"> is net weight an</w:t>
      </w:r>
      <w:r>
        <w:t xml:space="preserve">d </w:t>
      </w:r>
      <w:proofErr w:type="spellStart"/>
      <w:r>
        <w:t>L</w:t>
      </w:r>
      <w:r w:rsidRPr="00D374E9">
        <w:rPr>
          <w:vertAlign w:val="subscript"/>
        </w:rPr>
        <w:t>f</w:t>
      </w:r>
      <w:proofErr w:type="spellEnd"/>
      <w:r>
        <w:t xml:space="preserve"> is fork length, Clark 1992)</w:t>
      </w:r>
      <w:r w:rsidRPr="00A04F70">
        <w:t xml:space="preserve">. </w:t>
      </w:r>
      <w:r w:rsidRPr="00D374E9">
        <w:t>Charter skippers</w:t>
      </w:r>
      <w:r w:rsidRPr="00A04F70">
        <w:t xml:space="preserve"> and unguided anglers are also interviewed to collect ancillary data </w:t>
      </w:r>
      <w:r>
        <w:t xml:space="preserve">including information </w:t>
      </w:r>
      <w:r w:rsidRPr="00A04F70">
        <w:t xml:space="preserve">on effort, spatial distribution of the harvest, proportions of fish cleaned at sea, </w:t>
      </w:r>
      <w:r>
        <w:t>and size categories of released fish in Southeast</w:t>
      </w:r>
      <w:r w:rsidRPr="00A04F70">
        <w:t xml:space="preserve">. Detailed descriptions of sampling and estimation methods for average weight are provided in the operational plans for each </w:t>
      </w:r>
      <w:r>
        <w:t xml:space="preserve">sampling </w:t>
      </w:r>
      <w:r w:rsidRPr="00A04F70">
        <w:t>project. For purposes of halibut estimation, the end products of this sampling are estimates of average weight (and standard error) by sector (charter and unguided) and port, the estimated proportion of unguided harvest that occurred prior to the average date of the IPHC longline survey</w:t>
      </w:r>
      <w:r>
        <w:t>, and estimated size distribution of released fish in 2C</w:t>
      </w:r>
      <w:r w:rsidRPr="00A04F70">
        <w:t>.</w:t>
      </w:r>
    </w:p>
    <w:p w14:paraId="5D5C6005" w14:textId="77777777" w:rsidR="00705DFC" w:rsidRPr="00A04F70" w:rsidRDefault="00705DFC" w:rsidP="00705DFC">
      <w:pPr>
        <w:pStyle w:val="Heading2"/>
      </w:pPr>
      <w:bookmarkStart w:id="19" w:name="_Toc398217607"/>
      <w:r w:rsidRPr="00A04F70">
        <w:t>Statewide Harvest Survey</w:t>
      </w:r>
      <w:bookmarkEnd w:id="19"/>
    </w:p>
    <w:p w14:paraId="3BDC8771" w14:textId="77777777" w:rsidR="00705DFC" w:rsidRPr="00D559FC" w:rsidRDefault="00705DFC" w:rsidP="00705DFC">
      <w:r w:rsidRPr="00A04F70">
        <w:t>Estimates of charter and unguided halibut catch and harvest, along with corresponding standard errors and confidence intervals, are provided through the SWHS</w:t>
      </w:r>
      <w:r w:rsidRPr="00D559FC">
        <w:t>. These estimates are summarized by halibut reporting area and IPHC area, and final estimates are typically provided to staff in September of the year following harvest. These charter and unguided estimates are not summarized in the published SWHS report but are obtained using the same methods.</w:t>
      </w:r>
    </w:p>
    <w:p w14:paraId="7D343FF3" w14:textId="77777777" w:rsidR="00705DFC" w:rsidRPr="00D559FC" w:rsidRDefault="00705DFC" w:rsidP="00705DFC">
      <w:pPr>
        <w:pStyle w:val="Heading2"/>
      </w:pPr>
      <w:r w:rsidRPr="00D559FC">
        <w:t>Charter Logbook</w:t>
      </w:r>
      <w:bookmarkEnd w:id="18"/>
    </w:p>
    <w:p w14:paraId="5886471C" w14:textId="51683D5E" w:rsidR="00705DFC" w:rsidRPr="00C33BD9" w:rsidRDefault="00705DFC" w:rsidP="00705DFC">
      <w:r w:rsidRPr="00D559FC">
        <w:t xml:space="preserve">Charter logbook data are typically finalized by February or March of the year following harvest. Preliminary logbook data submitted for trips through July are available in </w:t>
      </w:r>
      <w:r>
        <w:t>September</w:t>
      </w:r>
      <w:r w:rsidRPr="00D559FC">
        <w:t xml:space="preserve"> for use in harvest projections for the current year. </w:t>
      </w:r>
      <w:r>
        <w:t>In addition to estimating harvest, l</w:t>
      </w:r>
      <w:r w:rsidRPr="00D559FC">
        <w:t>ogbook data are used to project the proportion of charter harvest taken prior to the average IPHC longline survey date, calculate the proportion of charter harvest made up of second fish in the bag limit, calculate the average number of anglers per boat trip, etc. Logbook data used for harvest projections and comparisons to the SWHS are summarized by halibut reporting area (Table 1).</w:t>
      </w:r>
    </w:p>
    <w:p w14:paraId="0AB1CE84" w14:textId="77777777" w:rsidR="00A8418B" w:rsidRPr="00534FF2" w:rsidRDefault="00A8418B" w:rsidP="00D46D24">
      <w:pPr>
        <w:pStyle w:val="Heading1"/>
        <w:spacing w:after="240"/>
        <w:ind w:left="0"/>
        <w:jc w:val="left"/>
        <w:rPr>
          <w:rFonts w:ascii="Times New Roman" w:hAnsi="Times New Roman"/>
          <w:caps w:val="0"/>
          <w:sz w:val="22"/>
          <w:szCs w:val="22"/>
          <w:highlight w:val="yellow"/>
        </w:rPr>
      </w:pPr>
    </w:p>
    <w:p w14:paraId="624C5FAA" w14:textId="77777777" w:rsidR="00A8418B" w:rsidRPr="00622F2F" w:rsidRDefault="00A8418B" w:rsidP="00A8418B">
      <w:pPr>
        <w:pStyle w:val="Heading2"/>
      </w:pPr>
      <w:bookmarkStart w:id="20" w:name="_Toc398217609"/>
      <w:r w:rsidRPr="00622F2F">
        <w:t>Data Analysis</w:t>
      </w:r>
      <w:bookmarkEnd w:id="20"/>
    </w:p>
    <w:p w14:paraId="26FEE210" w14:textId="34B18956" w:rsidR="00A8418B" w:rsidRPr="009D147B" w:rsidRDefault="00C33BD9" w:rsidP="00A8418B">
      <w:pPr>
        <w:pStyle w:val="Heading3"/>
      </w:pPr>
      <w:bookmarkStart w:id="21" w:name="_Toc398217610"/>
      <w:r>
        <w:t xml:space="preserve">Primary </w:t>
      </w:r>
      <w:r w:rsidR="00A8418B" w:rsidRPr="009D147B">
        <w:t xml:space="preserve">Objective 1: Estimate </w:t>
      </w:r>
      <w:r w:rsidR="00A04F70" w:rsidRPr="009D147B">
        <w:t>unguided</w:t>
      </w:r>
      <w:r w:rsidR="00A8418B" w:rsidRPr="009D147B">
        <w:t xml:space="preserve"> halibut yield in IPHC Areas 2C and 3A </w:t>
      </w:r>
      <w:r w:rsidR="00D46D24" w:rsidRPr="009D147B">
        <w:t>for the</w:t>
      </w:r>
      <w:r w:rsidR="00A8418B" w:rsidRPr="009D147B">
        <w:t xml:space="preserve"> most recent year </w:t>
      </w:r>
      <w:r w:rsidR="00D46D24" w:rsidRPr="009D147B">
        <w:t>with final</w:t>
      </w:r>
      <w:r w:rsidR="00A8418B" w:rsidRPr="009D147B">
        <w:t xml:space="preserve"> SWHS estimates.</w:t>
      </w:r>
      <w:bookmarkEnd w:id="21"/>
    </w:p>
    <w:p w14:paraId="1B334978" w14:textId="6AAC3585" w:rsidR="00A8418B" w:rsidRPr="009D147B" w:rsidRDefault="00A8418B" w:rsidP="009B03F1">
      <w:r w:rsidRPr="009D147B">
        <w:t xml:space="preserve">Yield for </w:t>
      </w:r>
      <w:r w:rsidR="004D0FEB">
        <w:t>the unguided sector</w:t>
      </w:r>
      <w:r w:rsidR="00A53CE4">
        <w:t>,</w:t>
      </w:r>
      <w:r w:rsidRPr="009D147B">
        <w:t xml:space="preserve"> </w:t>
      </w:r>
      <w:r w:rsidRPr="009D147B">
        <w:rPr>
          <w:i/>
        </w:rPr>
        <w:t>Y</w:t>
      </w:r>
      <w:commentRangeStart w:id="22"/>
      <w:r w:rsidR="000B0B97">
        <w:rPr>
          <w:i/>
          <w:vertAlign w:val="subscript"/>
        </w:rPr>
        <w:t>U</w:t>
      </w:r>
      <w:commentRangeEnd w:id="22"/>
      <w:r w:rsidR="000B0B97">
        <w:rPr>
          <w:rStyle w:val="CommentReference"/>
        </w:rPr>
        <w:commentReference w:id="22"/>
      </w:r>
      <w:r w:rsidR="00A53CE4">
        <w:rPr>
          <w:i/>
          <w:vertAlign w:val="subscript"/>
        </w:rPr>
        <w:t>,</w:t>
      </w:r>
      <w:r w:rsidRPr="009D147B">
        <w:t xml:space="preserve"> will be estimated for the previous year using final SWHS estimates of the number of halibut kept and average net weight (headed and gutted) estimated from creel sampling. Estimates will be done by subarea </w:t>
      </w:r>
      <w:r w:rsidR="00577A70" w:rsidRPr="009D147B">
        <w:t>(Table 1)</w:t>
      </w:r>
      <w:r w:rsidRPr="009D147B">
        <w:t xml:space="preserve"> and summed to obtain estimates for each IPHC </w:t>
      </w:r>
      <w:r w:rsidR="00577A70" w:rsidRPr="009D147B">
        <w:t xml:space="preserve">regulatory </w:t>
      </w:r>
      <w:r w:rsidRPr="009D147B">
        <w:t xml:space="preserve">area </w:t>
      </w:r>
      <w:r w:rsidR="00577A70" w:rsidRPr="009D147B">
        <w:t xml:space="preserve">2C and 3A </w:t>
      </w:r>
      <w:r w:rsidRPr="009D147B">
        <w:t>as follows:</w:t>
      </w:r>
    </w:p>
    <w:tbl>
      <w:tblPr>
        <w:tblW w:w="0" w:type="auto"/>
        <w:tblLook w:val="00A0" w:firstRow="1" w:lastRow="0" w:firstColumn="1" w:lastColumn="0" w:noHBand="0" w:noVBand="0"/>
      </w:tblPr>
      <w:tblGrid>
        <w:gridCol w:w="918"/>
        <w:gridCol w:w="7711"/>
        <w:gridCol w:w="731"/>
      </w:tblGrid>
      <w:tr w:rsidR="00A8418B" w:rsidRPr="00534FF2" w14:paraId="6C79C810" w14:textId="77777777" w:rsidTr="009D147B">
        <w:tc>
          <w:tcPr>
            <w:tcW w:w="8629" w:type="dxa"/>
            <w:gridSpan w:val="2"/>
            <w:vAlign w:val="center"/>
          </w:tcPr>
          <w:p w14:paraId="19964947" w14:textId="39A2F215" w:rsidR="00A8418B" w:rsidRPr="009D147B" w:rsidRDefault="000B0B97" w:rsidP="009B03F1">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U</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Ua</m:t>
                        </m:r>
                      </m:sub>
                    </m:sSub>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w</m:t>
                                </m:r>
                              </m:e>
                            </m:acc>
                          </m:e>
                        </m:acc>
                      </m:e>
                      <m:sub>
                        <m:r>
                          <w:rPr>
                            <w:rFonts w:ascii="Cambria Math" w:hAnsi="Cambria Math"/>
                          </w:rPr>
                          <m:t>Ua</m:t>
                        </m:r>
                      </m:sub>
                    </m:sSub>
                  </m:e>
                </m:nary>
                <m:r>
                  <w:rPr>
                    <w:rFonts w:ascii="Cambria Math" w:hAnsi="Cambria Math"/>
                  </w:rPr>
                  <m:t xml:space="preserve"> </m:t>
                </m:r>
              </m:oMath>
            </m:oMathPara>
          </w:p>
        </w:tc>
        <w:tc>
          <w:tcPr>
            <w:tcW w:w="731" w:type="dxa"/>
            <w:vAlign w:val="center"/>
          </w:tcPr>
          <w:p w14:paraId="3585E39D" w14:textId="77777777" w:rsidR="00A8418B" w:rsidRPr="009D147B" w:rsidRDefault="00A8418B" w:rsidP="009B03F1">
            <w:r w:rsidRPr="009D147B">
              <w:t>(1)</w:t>
            </w:r>
          </w:p>
        </w:tc>
      </w:tr>
      <w:tr w:rsidR="00A8418B" w:rsidRPr="00534FF2" w14:paraId="5AF23810" w14:textId="77777777" w:rsidTr="009D147B">
        <w:tc>
          <w:tcPr>
            <w:tcW w:w="918" w:type="dxa"/>
            <w:vAlign w:val="center"/>
          </w:tcPr>
          <w:p w14:paraId="16FCF956" w14:textId="77777777" w:rsidR="00A8418B" w:rsidRPr="009D147B" w:rsidRDefault="00A8418B" w:rsidP="009B03F1">
            <w:r w:rsidRPr="009D147B">
              <w:t>where</w:t>
            </w:r>
          </w:p>
        </w:tc>
        <w:tc>
          <w:tcPr>
            <w:tcW w:w="8442" w:type="dxa"/>
            <w:gridSpan w:val="2"/>
            <w:vAlign w:val="center"/>
          </w:tcPr>
          <w:p w14:paraId="01F624E6" w14:textId="77777777" w:rsidR="00A8418B" w:rsidRPr="009D147B" w:rsidRDefault="00A8418B" w:rsidP="009B03F1"/>
        </w:tc>
      </w:tr>
      <w:tr w:rsidR="00A8418B" w:rsidRPr="00534FF2" w14:paraId="02780C33" w14:textId="77777777" w:rsidTr="009D147B">
        <w:tc>
          <w:tcPr>
            <w:tcW w:w="918" w:type="dxa"/>
            <w:vAlign w:val="center"/>
          </w:tcPr>
          <w:p w14:paraId="195D939C" w14:textId="3DE77750" w:rsidR="00A8418B" w:rsidRPr="009D147B" w:rsidRDefault="000B0B97" w:rsidP="009B03F1">
            <m:oMathPara>
              <m:oMath>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Ua</m:t>
                    </m:r>
                  </m:sub>
                </m:sSub>
              </m:oMath>
            </m:oMathPara>
          </w:p>
        </w:tc>
        <w:tc>
          <w:tcPr>
            <w:tcW w:w="8442" w:type="dxa"/>
            <w:gridSpan w:val="2"/>
            <w:vAlign w:val="center"/>
          </w:tcPr>
          <w:p w14:paraId="35F49154" w14:textId="0AD2BA4D" w:rsidR="00A8418B" w:rsidRPr="009D147B" w:rsidRDefault="00A8418B" w:rsidP="00631984">
            <w:r w:rsidRPr="009D147B">
              <w:t>= the estimate</w:t>
            </w:r>
            <w:r w:rsidR="00322968">
              <w:t>d</w:t>
            </w:r>
            <w:r w:rsidRPr="009D147B">
              <w:t xml:space="preserve"> </w:t>
            </w:r>
            <w:commentRangeStart w:id="23"/>
            <w:r w:rsidR="0031637F">
              <w:t>total</w:t>
            </w:r>
            <w:commentRangeEnd w:id="23"/>
            <w:r w:rsidR="0031637F">
              <w:rPr>
                <w:rStyle w:val="CommentReference"/>
              </w:rPr>
              <w:commentReference w:id="23"/>
            </w:r>
            <w:r w:rsidR="0031637F">
              <w:t xml:space="preserve"> </w:t>
            </w:r>
            <w:r w:rsidRPr="009D147B">
              <w:t xml:space="preserve">number of halibut harvested by </w:t>
            </w:r>
            <w:r w:rsidR="00422ADF">
              <w:t>the unguided sector</w:t>
            </w:r>
            <w:r w:rsidRPr="009D147B">
              <w:t xml:space="preserve"> in subarea a,</w:t>
            </w:r>
          </w:p>
        </w:tc>
      </w:tr>
      <w:tr w:rsidR="00A8418B" w:rsidRPr="00534FF2" w14:paraId="3C323EF3" w14:textId="77777777" w:rsidTr="009D147B">
        <w:trPr>
          <w:trHeight w:val="495"/>
        </w:trPr>
        <w:tc>
          <w:tcPr>
            <w:tcW w:w="918" w:type="dxa"/>
            <w:vAlign w:val="center"/>
          </w:tcPr>
          <w:p w14:paraId="5278BB58" w14:textId="696E1E24" w:rsidR="00A8418B" w:rsidRPr="009D147B" w:rsidRDefault="000B0B97" w:rsidP="009B03F1">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w</m:t>
                            </m:r>
                          </m:e>
                        </m:acc>
                      </m:e>
                    </m:acc>
                  </m:e>
                  <m:sub>
                    <m:r>
                      <w:rPr>
                        <w:rFonts w:ascii="Cambria Math" w:hAnsi="Cambria Math"/>
                      </w:rPr>
                      <m:t>Ua</m:t>
                    </m:r>
                  </m:sub>
                </m:sSub>
              </m:oMath>
            </m:oMathPara>
          </w:p>
        </w:tc>
        <w:tc>
          <w:tcPr>
            <w:tcW w:w="8442" w:type="dxa"/>
            <w:gridSpan w:val="2"/>
            <w:vAlign w:val="center"/>
          </w:tcPr>
          <w:p w14:paraId="7CB80F5C" w14:textId="4A7A0908" w:rsidR="000B0B97" w:rsidRPr="009D147B" w:rsidRDefault="00A8418B" w:rsidP="00631984">
            <w:r w:rsidRPr="009D147B">
              <w:t xml:space="preserve">= the estimated mean weight of halibut harvested by </w:t>
            </w:r>
            <w:r w:rsidR="00422ADF">
              <w:t>the unguided sector</w:t>
            </w:r>
            <w:r w:rsidR="00422ADF" w:rsidRPr="009D147B">
              <w:t xml:space="preserve"> </w:t>
            </w:r>
            <w:r w:rsidRPr="009D147B">
              <w:t>in subarea a.</w:t>
            </w:r>
          </w:p>
        </w:tc>
      </w:tr>
      <w:tr w:rsidR="000B0B97" w:rsidRPr="00534FF2" w14:paraId="10181D78" w14:textId="77777777" w:rsidTr="009D147B">
        <w:trPr>
          <w:trHeight w:val="495"/>
        </w:trPr>
        <w:tc>
          <w:tcPr>
            <w:tcW w:w="918" w:type="dxa"/>
            <w:vAlign w:val="center"/>
          </w:tcPr>
          <w:p w14:paraId="5F56F45E" w14:textId="7BD0225F" w:rsidR="000B0B97" w:rsidRPr="000B0B97" w:rsidRDefault="000B0B97" w:rsidP="009B03F1">
            <w:pPr>
              <w:rPr>
                <w:i/>
                <w:iCs/>
              </w:rPr>
            </w:pPr>
            <w:r>
              <w:t xml:space="preserve">  </w:t>
            </w:r>
          </w:p>
        </w:tc>
        <w:tc>
          <w:tcPr>
            <w:tcW w:w="8442" w:type="dxa"/>
            <w:gridSpan w:val="2"/>
            <w:vAlign w:val="center"/>
          </w:tcPr>
          <w:p w14:paraId="25E9A97E" w14:textId="77777777" w:rsidR="000B0B97" w:rsidRPr="009D147B" w:rsidRDefault="000B0B97" w:rsidP="00631984"/>
        </w:tc>
      </w:tr>
    </w:tbl>
    <w:p w14:paraId="4A4F8309" w14:textId="493428CB" w:rsidR="00B27D52" w:rsidRDefault="00577A70" w:rsidP="009B03F1">
      <w:r w:rsidRPr="005015C7">
        <w:lastRenderedPageBreak/>
        <w:t xml:space="preserve">The boundary between IPHC areas 3A and 2C bisects the Glacier Bay subarea. </w:t>
      </w:r>
      <w:r w:rsidR="00A04F70" w:rsidRPr="005015C7">
        <w:t>Unguided</w:t>
      </w:r>
      <w:r w:rsidR="00A8418B" w:rsidRPr="005015C7">
        <w:t xml:space="preserve"> harvest estimates for the Glacier Bay </w:t>
      </w:r>
      <w:r w:rsidRPr="005015C7">
        <w:t>sub</w:t>
      </w:r>
      <w:r w:rsidR="00A8418B" w:rsidRPr="005015C7">
        <w:t>area will be assumed to apply entirely to Area 2C</w:t>
      </w:r>
      <w:r w:rsidRPr="005015C7">
        <w:t xml:space="preserve"> because very little </w:t>
      </w:r>
      <w:r w:rsidR="00A04F70" w:rsidRPr="005015C7">
        <w:t>unguided</w:t>
      </w:r>
      <w:r w:rsidRPr="005015C7">
        <w:t xml:space="preserve"> harvest </w:t>
      </w:r>
      <w:r w:rsidR="00817877">
        <w:t xml:space="preserve">is </w:t>
      </w:r>
      <w:r w:rsidRPr="005015C7">
        <w:t>taken in IPHC Area 3A and landed in the Glacier Bay subarea.</w:t>
      </w:r>
      <w:r w:rsidR="00A8418B" w:rsidRPr="005015C7">
        <w:t xml:space="preserve"> </w:t>
      </w:r>
    </w:p>
    <w:p w14:paraId="3B330343" w14:textId="5341CCAB" w:rsidR="00A8418B" w:rsidRPr="00B27D52" w:rsidRDefault="00A8418B" w:rsidP="009B03F1">
      <w:r w:rsidRPr="00FC68D1">
        <w:t>The variance of mean weight</w:t>
      </w:r>
      <w:r w:rsidR="008824EB">
        <w:t xml:space="preserve"> </w:t>
      </w:r>
      <w:r w:rsidRPr="00FC68D1">
        <w:t xml:space="preserve">for </w:t>
      </w:r>
      <w:r w:rsidR="00A53CE4">
        <w:t>the unguided sector</w:t>
      </w:r>
      <w:r w:rsidR="00A12E9B" w:rsidRPr="00FC68D1">
        <w:t xml:space="preserve"> </w:t>
      </w:r>
      <m:oMath>
        <m:r>
          <w:rPr>
            <w:rFonts w:ascii="Cambria Math" w:hAnsi="Cambria Math"/>
          </w:rPr>
          <m:t>var(</m:t>
        </m:r>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U</m:t>
            </m:r>
            <w:commentRangeStart w:id="24"/>
            <w:commentRangeEnd w:id="24"/>
            <m:r>
              <m:rPr>
                <m:sty m:val="p"/>
              </m:rPr>
              <w:rPr>
                <w:rStyle w:val="CommentReference"/>
              </w:rPr>
              <w:commentReference w:id="24"/>
            </m:r>
          </m:sub>
        </m:sSub>
        <m:r>
          <w:rPr>
            <w:rFonts w:ascii="Cambria Math" w:hAnsi="Cambria Math"/>
          </w:rPr>
          <m:t>)</m:t>
        </m:r>
      </m:oMath>
      <w:r w:rsidRPr="00FC68D1">
        <w:t xml:space="preserve"> </w:t>
      </w:r>
      <w:r w:rsidR="00A12E9B" w:rsidRPr="00FC68D1">
        <w:t xml:space="preserve">within each IPHC area </w:t>
      </w:r>
      <w:r w:rsidRPr="00FC68D1">
        <w:t xml:space="preserve">will be </w:t>
      </w:r>
      <w:commentRangeStart w:id="25"/>
      <w:r w:rsidR="000B0B97">
        <w:t>estimated</w:t>
      </w:r>
      <w:commentRangeEnd w:id="25"/>
      <w:r w:rsidR="000B0B97">
        <w:rPr>
          <w:rStyle w:val="CommentReference"/>
        </w:rPr>
        <w:commentReference w:id="25"/>
      </w:r>
      <w:r w:rsidRPr="00FC68D1">
        <w:t xml:space="preserve"> by Markov Chain Monte Carlo methods using the program </w:t>
      </w:r>
      <w:proofErr w:type="spellStart"/>
      <w:r w:rsidR="009A72AC" w:rsidRPr="00FC68D1">
        <w:t>Open</w:t>
      </w:r>
      <w:r w:rsidRPr="00FC68D1">
        <w:t>Bugs</w:t>
      </w:r>
      <w:proofErr w:type="spellEnd"/>
      <w:r w:rsidR="00360EA7" w:rsidRPr="00FC68D1">
        <w:rPr>
          <w:rStyle w:val="FootnoteReference"/>
        </w:rPr>
        <w:footnoteReference w:id="1"/>
      </w:r>
      <w:r w:rsidRPr="00FC68D1">
        <w:t>. Normal sampling error will be assumed for average weights and harvest estimates</w:t>
      </w:r>
      <w:r w:rsidR="009A72AC" w:rsidRPr="00FC68D1">
        <w:t xml:space="preserve">. </w:t>
      </w:r>
      <w:r w:rsidR="00360EA7" w:rsidRPr="00FC68D1">
        <w:t xml:space="preserve">The variances of yield estimates for </w:t>
      </w:r>
      <w:r w:rsidR="00FC68D1" w:rsidRPr="00FC68D1">
        <w:t>the unguided sector in each</w:t>
      </w:r>
      <w:r w:rsidR="00360EA7" w:rsidRPr="00FC68D1">
        <w:t xml:space="preserve"> IPHC area are also </w:t>
      </w:r>
      <w:r w:rsidR="000B0B97">
        <w:t>estimated</w:t>
      </w:r>
      <w:r w:rsidR="00360EA7" w:rsidRPr="00FC68D1">
        <w:t xml:space="preserve"> </w:t>
      </w:r>
      <w:r w:rsidR="00FC68D1" w:rsidRPr="00FC68D1">
        <w:t xml:space="preserve">by Markov Chain Monte Carlo </w:t>
      </w:r>
      <w:r w:rsidR="00FC68D1" w:rsidRPr="00B27D52">
        <w:t xml:space="preserve">methods using the program </w:t>
      </w:r>
      <w:proofErr w:type="spellStart"/>
      <w:r w:rsidR="00FC68D1" w:rsidRPr="00B27D52">
        <w:t>OpenBugs</w:t>
      </w:r>
      <w:proofErr w:type="spellEnd"/>
      <w:r w:rsidR="00FC68D1" w:rsidRPr="00B27D52">
        <w:t xml:space="preserve"> </w:t>
      </w:r>
      <w:r w:rsidRPr="00B27D52">
        <w:t>(</w:t>
      </w:r>
      <w:r w:rsidR="00B0487C" w:rsidRPr="00B27D52">
        <w:t xml:space="preserve">example code in </w:t>
      </w:r>
      <w:r w:rsidRPr="00B27D52">
        <w:t xml:space="preserve">Appendix </w:t>
      </w:r>
      <w:r w:rsidR="00B0487C" w:rsidRPr="00B27D52">
        <w:t>A</w:t>
      </w:r>
      <w:r w:rsidRPr="00B27D52">
        <w:t>1).</w:t>
      </w:r>
      <w:r w:rsidR="009A72AC" w:rsidRPr="00B27D52">
        <w:t xml:space="preserve"> </w:t>
      </w:r>
    </w:p>
    <w:p w14:paraId="5B8BB14D" w14:textId="29922AFC" w:rsidR="00D46D24" w:rsidRPr="00B27D52" w:rsidRDefault="00A8418B" w:rsidP="009B03F1">
      <w:r w:rsidRPr="00B27D52">
        <w:t xml:space="preserve">These procedures are expected to result in yield estimates for </w:t>
      </w:r>
      <w:r w:rsidR="00B27D52" w:rsidRPr="00B27D52">
        <w:t>the unguided</w:t>
      </w:r>
      <w:r w:rsidRPr="00B27D52">
        <w:t xml:space="preserve"> </w:t>
      </w:r>
      <w:r w:rsidR="00631984" w:rsidRPr="00B27D52">
        <w:t>sector</w:t>
      </w:r>
      <w:r w:rsidRPr="00B27D52">
        <w:t xml:space="preserve"> </w:t>
      </w:r>
      <w:r w:rsidR="00B27D52" w:rsidRPr="00B27D52">
        <w:t>in each</w:t>
      </w:r>
      <w:r w:rsidRPr="00B27D52">
        <w:t xml:space="preserve"> regulatory area with a relative precision of at least ±15</w:t>
      </w:r>
      <w:r w:rsidRPr="00963C90">
        <w:t>% (α = 0.05),</w:t>
      </w:r>
      <w:r w:rsidRPr="00B27D52">
        <w:t xml:space="preserve"> based on the relative precision of yield estimates in recent years. The precision of yield estimates is a function of the precision of SWHS harvest estimates and port sampling estimates of average weight. </w:t>
      </w:r>
    </w:p>
    <w:p w14:paraId="191DB503" w14:textId="77777777" w:rsidR="00D33E9D" w:rsidRPr="008A0526" w:rsidRDefault="00D46D24" w:rsidP="009B03F1">
      <w:commentRangeStart w:id="26"/>
      <w:r w:rsidRPr="008A0526">
        <w:t xml:space="preserve">Estimates of </w:t>
      </w:r>
      <w:r w:rsidR="00597D70" w:rsidRPr="008A0526">
        <w:t>mean</w:t>
      </w:r>
      <w:r w:rsidRPr="008A0526">
        <w:t xml:space="preserve"> weights </w:t>
      </w:r>
      <w:commentRangeEnd w:id="26"/>
      <w:r w:rsidR="000B0B97">
        <w:rPr>
          <w:rStyle w:val="CommentReference"/>
        </w:rPr>
        <w:commentReference w:id="26"/>
      </w:r>
      <w:r w:rsidRPr="008A0526">
        <w:t xml:space="preserve">are derived from creel sampling of the harvest in Southeast and Southcentral regions. </w:t>
      </w:r>
      <w:r w:rsidR="00D33E9D" w:rsidRPr="008A0526">
        <w:t>True r</w:t>
      </w:r>
      <w:r w:rsidRPr="008A0526">
        <w:t>andom sampling of harvested halibut is not possible</w:t>
      </w:r>
      <w:r w:rsidR="00D33E9D" w:rsidRPr="008A0526">
        <w:t xml:space="preserve"> because sampling coverage is incomplete spatially and temporally, and because boats with harvested halibut arrive in port over a prolonged period and often simultaneously. Instead, creel sampling programs attempt to select vessels for sampling in proportion to their share of the harvest. Once a vessel is selected for sampling, all halibut from that vessel are measured. </w:t>
      </w:r>
    </w:p>
    <w:p w14:paraId="23B5E5FF" w14:textId="6B3834F5" w:rsidR="00A8418B" w:rsidRDefault="00A8418B" w:rsidP="009B03F1">
      <w:r w:rsidRPr="008A0526">
        <w:t xml:space="preserve">Before 2011, the </w:t>
      </w:r>
      <w:r w:rsidR="00597D70" w:rsidRPr="008A0526">
        <w:t>variances of</w:t>
      </w:r>
      <w:r w:rsidRPr="008A0526">
        <w:t xml:space="preserve"> mean weight</w:t>
      </w:r>
      <w:r w:rsidR="00597D70" w:rsidRPr="008A0526">
        <w:t>s</w:t>
      </w:r>
      <w:r w:rsidRPr="008A0526">
        <w:t xml:space="preserve"> were estimated using formulae for simple random sampling, even though size data were collected from the fishery using a cluster sampling design. </w:t>
      </w:r>
      <w:r w:rsidR="0016093A" w:rsidRPr="008A0526">
        <w:t xml:space="preserve">These estimates were believed to underestimate the variance of mean weight, and therefore the variance of yield. </w:t>
      </w:r>
      <w:r w:rsidR="00597D70" w:rsidRPr="008A0526">
        <w:t xml:space="preserve">Since </w:t>
      </w:r>
      <w:r w:rsidR="0016093A" w:rsidRPr="008A0526">
        <w:t>2011</w:t>
      </w:r>
      <w:r w:rsidR="00597D70" w:rsidRPr="008A0526">
        <w:t xml:space="preserve"> the </w:t>
      </w:r>
      <w:r w:rsidR="0016093A" w:rsidRPr="008A0526">
        <w:t>standard errors</w:t>
      </w:r>
      <w:r w:rsidR="00597D70" w:rsidRPr="008A0526">
        <w:t xml:space="preserve"> of mean weights </w:t>
      </w:r>
      <w:r w:rsidR="00A12E9B" w:rsidRPr="008A0526">
        <w:t xml:space="preserve">for each port and sector </w:t>
      </w:r>
      <w:r w:rsidR="00597D70" w:rsidRPr="008A0526">
        <w:t xml:space="preserve">have been estimated </w:t>
      </w:r>
      <w:r w:rsidR="00E2018B" w:rsidRPr="008A0526">
        <w:t xml:space="preserve">in the Southcentral Region </w:t>
      </w:r>
      <w:r w:rsidR="00597D70" w:rsidRPr="008A0526">
        <w:t>using a</w:t>
      </w:r>
      <w:r w:rsidRPr="008A0526">
        <w:t xml:space="preserve"> two-stage bootstrap</w:t>
      </w:r>
      <w:r w:rsidR="00E2018B" w:rsidRPr="008A0526">
        <w:t xml:space="preserve"> procedure</w:t>
      </w:r>
      <w:r w:rsidR="00A12E9B" w:rsidRPr="008A0526">
        <w:t>, where the first stage selects days to sample, and the second stage selects vessels</w:t>
      </w:r>
      <w:r w:rsidRPr="008A0526">
        <w:t xml:space="preserve">. </w:t>
      </w:r>
      <w:r w:rsidR="0016093A" w:rsidRPr="008A0526">
        <w:t xml:space="preserve">Recent changes to the Southeast Region creel sampling program allow for estimation of standard errors of mean weight using closed form estimators appropriate for </w:t>
      </w:r>
      <w:r w:rsidR="000410A4">
        <w:t xml:space="preserve">four-stage </w:t>
      </w:r>
      <w:r w:rsidR="0016093A" w:rsidRPr="008A0526">
        <w:t xml:space="preserve">cluster </w:t>
      </w:r>
      <w:r w:rsidR="0016093A" w:rsidRPr="00B85060">
        <w:t xml:space="preserve">sampling (Jaenicke et al. </w:t>
      </w:r>
      <w:r w:rsidR="001C0E3A" w:rsidRPr="00B85060">
        <w:t>2019</w:t>
      </w:r>
      <w:r w:rsidR="0016093A" w:rsidRPr="00B85060">
        <w:t>).</w:t>
      </w:r>
      <w:r w:rsidR="0016093A" w:rsidRPr="000410A4">
        <w:t xml:space="preserve"> </w:t>
      </w:r>
    </w:p>
    <w:p w14:paraId="665495CF" w14:textId="1ABA0FA5" w:rsidR="004D0FEB" w:rsidRPr="000410A4" w:rsidRDefault="004D0FEB" w:rsidP="009B03F1">
      <w:r>
        <w:t>C</w:t>
      </w:r>
      <w:r w:rsidRPr="005015C7">
        <w:t>harter yield may be calculated using SWHS data</w:t>
      </w:r>
      <w:r>
        <w:t xml:space="preserve"> </w:t>
      </w:r>
      <w:r w:rsidRPr="005015C7">
        <w:t>for comparison to estimates based on logbook harvest</w:t>
      </w:r>
      <w:r>
        <w:t xml:space="preserve"> (outlined in objective 2)</w:t>
      </w:r>
      <w:r w:rsidRPr="005015C7">
        <w:t>.</w:t>
      </w:r>
    </w:p>
    <w:p w14:paraId="14451A11" w14:textId="3EF85316" w:rsidR="00A8418B" w:rsidRPr="00B27D52" w:rsidRDefault="00C33BD9" w:rsidP="00A8418B">
      <w:pPr>
        <w:pStyle w:val="Heading3"/>
        <w:rPr>
          <w:color w:val="000000" w:themeColor="text1"/>
          <w:szCs w:val="22"/>
        </w:rPr>
      </w:pPr>
      <w:bookmarkStart w:id="27" w:name="_Toc398217611"/>
      <w:r>
        <w:rPr>
          <w:color w:val="000000" w:themeColor="text1"/>
        </w:rPr>
        <w:t xml:space="preserve">Primary </w:t>
      </w:r>
      <w:r w:rsidR="00A8418B" w:rsidRPr="00B27D52">
        <w:rPr>
          <w:color w:val="000000" w:themeColor="text1"/>
        </w:rPr>
        <w:t>Objective 2: Estimate charter halibut yield in Areas 2C and 3A using logbook harvest data for the most</w:t>
      </w:r>
      <w:r w:rsidR="00A8418B" w:rsidRPr="00B27D52">
        <w:rPr>
          <w:color w:val="000000" w:themeColor="text1"/>
          <w:szCs w:val="22"/>
        </w:rPr>
        <w:t xml:space="preserve"> recent </w:t>
      </w:r>
      <w:r w:rsidR="00A571EE" w:rsidRPr="00B27D52">
        <w:rPr>
          <w:color w:val="000000" w:themeColor="text1"/>
          <w:szCs w:val="22"/>
        </w:rPr>
        <w:t xml:space="preserve">year with </w:t>
      </w:r>
      <w:r w:rsidR="003D038B" w:rsidRPr="00B27D52">
        <w:rPr>
          <w:color w:val="000000" w:themeColor="text1"/>
          <w:szCs w:val="22"/>
        </w:rPr>
        <w:t xml:space="preserve">complete </w:t>
      </w:r>
      <w:r w:rsidR="00A571EE" w:rsidRPr="00B27D52">
        <w:rPr>
          <w:color w:val="000000" w:themeColor="text1"/>
          <w:szCs w:val="22"/>
        </w:rPr>
        <w:t>data</w:t>
      </w:r>
      <w:r w:rsidR="00A8418B" w:rsidRPr="00B27D52">
        <w:rPr>
          <w:color w:val="000000" w:themeColor="text1"/>
          <w:szCs w:val="22"/>
        </w:rPr>
        <w:t>.</w:t>
      </w:r>
      <w:bookmarkEnd w:id="27"/>
    </w:p>
    <w:p w14:paraId="08E4752E" w14:textId="602D662E" w:rsidR="00E2018B" w:rsidRPr="00B27D52" w:rsidRDefault="00E2018B" w:rsidP="009B03F1">
      <w:pPr>
        <w:rPr>
          <w:color w:val="000000" w:themeColor="text1"/>
        </w:rPr>
      </w:pPr>
      <w:r w:rsidRPr="00B27D52">
        <w:rPr>
          <w:color w:val="000000" w:themeColor="text1"/>
        </w:rPr>
        <w:t xml:space="preserve">Until 2014, ADF&amp;G provided </w:t>
      </w:r>
      <w:r w:rsidR="003D038B" w:rsidRPr="00B27D52">
        <w:rPr>
          <w:color w:val="000000" w:themeColor="text1"/>
        </w:rPr>
        <w:t>federal halibut management agencies</w:t>
      </w:r>
      <w:r w:rsidRPr="00B27D52">
        <w:rPr>
          <w:color w:val="000000" w:themeColor="text1"/>
        </w:rPr>
        <w:t xml:space="preserve"> with</w:t>
      </w:r>
      <w:r w:rsidR="00A8418B" w:rsidRPr="00B27D52">
        <w:rPr>
          <w:color w:val="000000" w:themeColor="text1"/>
        </w:rPr>
        <w:t xml:space="preserve"> estimates of sport fishery yield </w:t>
      </w:r>
      <w:r w:rsidR="003D038B" w:rsidRPr="00B27D52">
        <w:rPr>
          <w:color w:val="000000" w:themeColor="text1"/>
        </w:rPr>
        <w:t>that used SWHS estimates of numbers of fish harvested</w:t>
      </w:r>
      <w:r w:rsidR="00A8418B" w:rsidRPr="00B27D52">
        <w:rPr>
          <w:color w:val="000000" w:themeColor="text1"/>
        </w:rPr>
        <w:t xml:space="preserve">. Meyer and Powers (2009) evaluated 2006-2008 logbook effort and harvest data through comparisons to an end-of-season survey at the angler-day level, comparisons to SWHS data for single-angler households at the annual level, comparisons to SWHS estimates at the IPHC area and subarea levels, and comparisons to onsite creel survey interview data at the vessel-trip level. These comparisons generally indicated that logbook data was useful for analyses of potential management actions such as changes in bag limits or annual limits. Effort reported in the logbook was </w:t>
      </w:r>
      <w:proofErr w:type="gramStart"/>
      <w:r w:rsidR="00A8418B" w:rsidRPr="00B27D52">
        <w:rPr>
          <w:color w:val="000000" w:themeColor="text1"/>
        </w:rPr>
        <w:t>similar to</w:t>
      </w:r>
      <w:proofErr w:type="gramEnd"/>
      <w:r w:rsidR="00A8418B" w:rsidRPr="00B27D52">
        <w:rPr>
          <w:color w:val="000000" w:themeColor="text1"/>
        </w:rPr>
        <w:t xml:space="preserve"> effort estimates from the SWHS, but reported harvest was generally higher than the SWHS estimates. Close agreement of </w:t>
      </w:r>
      <w:r w:rsidR="00A8418B" w:rsidRPr="00B27D52">
        <w:rPr>
          <w:color w:val="000000" w:themeColor="text1"/>
        </w:rPr>
        <w:lastRenderedPageBreak/>
        <w:t xml:space="preserve">logbook data with onsite interview data and data from single-angler households suggests that there may be incomplete reporting of harvest by multi-angler households in the SWHS, though this has not been verified. The report was presented to the </w:t>
      </w:r>
      <w:r w:rsidRPr="00B27D52">
        <w:rPr>
          <w:color w:val="000000" w:themeColor="text1"/>
        </w:rPr>
        <w:t>Council</w:t>
      </w:r>
      <w:r w:rsidR="00A8418B" w:rsidRPr="00B27D52">
        <w:rPr>
          <w:color w:val="000000" w:themeColor="text1"/>
        </w:rPr>
        <w:t xml:space="preserve"> and its Scientific and Statistical Committee (SSC) in October 2009. The SSC review was favorable and indicated that use of logbook data offered clear advantages over use of SWHS estimates. </w:t>
      </w:r>
    </w:p>
    <w:p w14:paraId="3F700854" w14:textId="7856A4E9" w:rsidR="00A8418B" w:rsidRPr="00B27D52" w:rsidRDefault="003D038B" w:rsidP="009B03F1">
      <w:pPr>
        <w:rPr>
          <w:color w:val="000000" w:themeColor="text1"/>
        </w:rPr>
      </w:pPr>
      <w:r w:rsidRPr="00B27D52">
        <w:rPr>
          <w:color w:val="000000" w:themeColor="text1"/>
        </w:rPr>
        <w:t>Based on the perceived benefits of using logbooks, t</w:t>
      </w:r>
      <w:r w:rsidR="00E2018B" w:rsidRPr="00B27D52">
        <w:rPr>
          <w:color w:val="000000" w:themeColor="text1"/>
        </w:rPr>
        <w:t xml:space="preserve">he Council </w:t>
      </w:r>
      <w:r w:rsidR="00A8418B" w:rsidRPr="00B27D52">
        <w:rPr>
          <w:color w:val="000000" w:themeColor="text1"/>
        </w:rPr>
        <w:t xml:space="preserve">approved a motion in April 2011 to use charter logbook data to monitor and manage the charter fleet under the </w:t>
      </w:r>
      <w:r w:rsidR="00E2018B" w:rsidRPr="00B27D52">
        <w:rPr>
          <w:color w:val="000000" w:themeColor="text1"/>
        </w:rPr>
        <w:t>CSP</w:t>
      </w:r>
      <w:r w:rsidRPr="00B27D52">
        <w:rPr>
          <w:color w:val="000000" w:themeColor="text1"/>
        </w:rPr>
        <w:t>.</w:t>
      </w:r>
      <w:r w:rsidR="00E2018B" w:rsidRPr="00B27D52">
        <w:rPr>
          <w:color w:val="000000" w:themeColor="text1"/>
        </w:rPr>
        <w:t xml:space="preserve"> </w:t>
      </w:r>
      <w:r w:rsidR="00B27D52" w:rsidRPr="00B27D52">
        <w:rPr>
          <w:color w:val="000000" w:themeColor="text1"/>
        </w:rPr>
        <w:t xml:space="preserve">Since </w:t>
      </w:r>
      <w:r w:rsidR="00E2018B" w:rsidRPr="00B27D52">
        <w:rPr>
          <w:color w:val="000000" w:themeColor="text1"/>
        </w:rPr>
        <w:t xml:space="preserve">implementation of the CSP in 2014, </w:t>
      </w:r>
      <w:r w:rsidR="00A8418B" w:rsidRPr="00B27D52">
        <w:rPr>
          <w:color w:val="000000" w:themeColor="text1"/>
        </w:rPr>
        <w:t xml:space="preserve">ADF&amp;G </w:t>
      </w:r>
      <w:r w:rsidR="00B27D52" w:rsidRPr="00B27D52">
        <w:rPr>
          <w:color w:val="000000" w:themeColor="text1"/>
        </w:rPr>
        <w:t>has</w:t>
      </w:r>
      <w:r w:rsidR="00A8418B" w:rsidRPr="00B27D52">
        <w:rPr>
          <w:color w:val="000000" w:themeColor="text1"/>
        </w:rPr>
        <w:t xml:space="preserve"> estimate</w:t>
      </w:r>
      <w:r w:rsidR="00B27D52" w:rsidRPr="00B27D52">
        <w:rPr>
          <w:color w:val="000000" w:themeColor="text1"/>
        </w:rPr>
        <w:t>d</w:t>
      </w:r>
      <w:r w:rsidR="00A8418B" w:rsidRPr="00B27D52">
        <w:rPr>
          <w:color w:val="000000" w:themeColor="text1"/>
        </w:rPr>
        <w:t xml:space="preserve"> charter yield </w:t>
      </w:r>
      <w:r w:rsidRPr="00B27D52">
        <w:rPr>
          <w:color w:val="000000" w:themeColor="text1"/>
        </w:rPr>
        <w:t>using</w:t>
      </w:r>
      <w:r w:rsidR="00A8418B" w:rsidRPr="00B27D52">
        <w:rPr>
          <w:color w:val="000000" w:themeColor="text1"/>
        </w:rPr>
        <w:t xml:space="preserve"> reported logbook harvest</w:t>
      </w:r>
      <w:r w:rsidRPr="00B27D52">
        <w:rPr>
          <w:color w:val="000000" w:themeColor="text1"/>
        </w:rPr>
        <w:t xml:space="preserve"> combined with estimates of average weight from creel sampling</w:t>
      </w:r>
      <w:r w:rsidR="00A8418B" w:rsidRPr="00B27D52">
        <w:rPr>
          <w:color w:val="000000" w:themeColor="text1"/>
        </w:rPr>
        <w:t>.</w:t>
      </w:r>
    </w:p>
    <w:p w14:paraId="47FC5535" w14:textId="77777777" w:rsidR="00A8418B" w:rsidRPr="00422ADF" w:rsidRDefault="00A8418B" w:rsidP="009B03F1">
      <w:pPr>
        <w:rPr>
          <w:color w:val="000000" w:themeColor="text1"/>
        </w:rPr>
      </w:pPr>
      <w:r w:rsidRPr="00422ADF">
        <w:rPr>
          <w:color w:val="000000" w:themeColor="text1"/>
        </w:rPr>
        <w:t>Charter yield Y</w:t>
      </w:r>
      <w:r w:rsidRPr="00422ADF">
        <w:rPr>
          <w:color w:val="000000" w:themeColor="text1"/>
          <w:vertAlign w:val="subscript"/>
        </w:rPr>
        <w:t>C</w:t>
      </w:r>
      <w:r w:rsidRPr="00422ADF">
        <w:rPr>
          <w:color w:val="000000" w:themeColor="text1"/>
        </w:rPr>
        <w:t xml:space="preserve"> will be estimated </w:t>
      </w:r>
      <w:r w:rsidR="004501BF" w:rsidRPr="00422ADF">
        <w:rPr>
          <w:color w:val="000000" w:themeColor="text1"/>
        </w:rPr>
        <w:t xml:space="preserve">for each IPHC area </w:t>
      </w:r>
      <w:r w:rsidRPr="00422ADF">
        <w:rPr>
          <w:color w:val="000000" w:themeColor="text1"/>
        </w:rPr>
        <w:t>using logbook data from each subarea as:</w:t>
      </w:r>
    </w:p>
    <w:tbl>
      <w:tblPr>
        <w:tblW w:w="9372" w:type="dxa"/>
        <w:tblLook w:val="00A0" w:firstRow="1" w:lastRow="0" w:firstColumn="1" w:lastColumn="0" w:noHBand="0" w:noVBand="0"/>
      </w:tblPr>
      <w:tblGrid>
        <w:gridCol w:w="1143"/>
        <w:gridCol w:w="7505"/>
        <w:gridCol w:w="724"/>
      </w:tblGrid>
      <w:tr w:rsidR="00A8418B" w:rsidRPr="00422ADF" w14:paraId="6F9DE4DC" w14:textId="77777777" w:rsidTr="00322968">
        <w:trPr>
          <w:trHeight w:val="445"/>
        </w:trPr>
        <w:tc>
          <w:tcPr>
            <w:tcW w:w="8641" w:type="dxa"/>
            <w:gridSpan w:val="2"/>
            <w:vAlign w:val="center"/>
          </w:tcPr>
          <w:p w14:paraId="365DB22A" w14:textId="77777777" w:rsidR="00A8418B" w:rsidRPr="00422ADF" w:rsidRDefault="000B0B97" w:rsidP="004501BF">
            <w:pPr>
              <w:rPr>
                <w:color w:val="000000" w:themeColor="text1"/>
              </w:rPr>
            </w:pPr>
            <m:oMathPara>
              <m:oMathParaPr>
                <m:jc m:val="left"/>
              </m:oMathParaP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C</m:t>
                    </m:r>
                  </m:sub>
                </m:sSub>
                <m:r>
                  <w:rPr>
                    <w:rFonts w:asci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a</m:t>
                    </m:r>
                  </m:sub>
                  <m:sup/>
                  <m:e>
                    <m:sSub>
                      <m:sSubPr>
                        <m:ctrlPr>
                          <w:rPr>
                            <w:rFonts w:ascii="Cambria Math" w:hAnsi="Cambria Math"/>
                            <w:color w:val="000000" w:themeColor="text1"/>
                          </w:rPr>
                        </m:ctrlPr>
                      </m:sSubPr>
                      <m:e>
                        <m:r>
                          <m:rPr>
                            <m:sty m:val="p"/>
                          </m:rPr>
                          <w:rPr>
                            <w:rFonts w:ascii="Cambria Math"/>
                            <w:color w:val="000000" w:themeColor="text1"/>
                          </w:rPr>
                          <m:t>H</m:t>
                        </m:r>
                      </m:e>
                      <m:sub>
                        <m:r>
                          <m:rPr>
                            <m:sty m:val="p"/>
                          </m:rPr>
                          <w:rPr>
                            <w:rFonts w:ascii="Cambria Math"/>
                            <w:color w:val="000000" w:themeColor="text1"/>
                          </w:rPr>
                          <m:t>Ca</m:t>
                        </m:r>
                      </m:sub>
                    </m:sSub>
                    <m:r>
                      <w:rPr>
                        <w:rFonts w:ascii="Cambria Math"/>
                        <w:color w:val="000000" w:themeColor="text1"/>
                      </w:rPr>
                      <m:t xml:space="preserve"> </m:t>
                    </m:r>
                    <m:sSub>
                      <m:sSubPr>
                        <m:ctrlPr>
                          <w:rPr>
                            <w:rFonts w:ascii="Cambria Math" w:hAnsi="Cambria Math"/>
                            <w:i/>
                            <w:color w:val="000000" w:themeColor="text1"/>
                          </w:rPr>
                        </m:ctrlPr>
                      </m:sSubPr>
                      <m:e>
                        <m:acc>
                          <m:accPr>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w</m:t>
                                </m:r>
                              </m:e>
                            </m:acc>
                          </m:e>
                        </m:acc>
                      </m:e>
                      <m:sub>
                        <m:r>
                          <w:rPr>
                            <w:rFonts w:ascii="Cambria Math" w:hAnsi="Cambria Math"/>
                            <w:color w:val="000000" w:themeColor="text1"/>
                          </w:rPr>
                          <m:t>Ca</m:t>
                        </m:r>
                      </m:sub>
                    </m:sSub>
                  </m:e>
                </m:nary>
              </m:oMath>
            </m:oMathPara>
          </w:p>
        </w:tc>
        <w:tc>
          <w:tcPr>
            <w:tcW w:w="731" w:type="dxa"/>
            <w:vAlign w:val="center"/>
          </w:tcPr>
          <w:p w14:paraId="4388BBEA" w14:textId="6E89E6F6" w:rsidR="00A8418B" w:rsidRPr="00422ADF" w:rsidRDefault="00A8418B" w:rsidP="009B03F1">
            <w:pPr>
              <w:rPr>
                <w:color w:val="000000" w:themeColor="text1"/>
              </w:rPr>
            </w:pPr>
            <w:r w:rsidRPr="00422ADF">
              <w:rPr>
                <w:color w:val="000000" w:themeColor="text1"/>
              </w:rPr>
              <w:t>(</w:t>
            </w:r>
            <w:r w:rsidR="008C25DA">
              <w:rPr>
                <w:color w:val="000000" w:themeColor="text1"/>
              </w:rPr>
              <w:t>2</w:t>
            </w:r>
            <w:r w:rsidRPr="00422ADF">
              <w:rPr>
                <w:color w:val="000000" w:themeColor="text1"/>
              </w:rPr>
              <w:t>)</w:t>
            </w:r>
          </w:p>
        </w:tc>
      </w:tr>
      <w:tr w:rsidR="00A8418B" w:rsidRPr="00534FF2" w14:paraId="7523F283" w14:textId="77777777" w:rsidTr="00322968">
        <w:trPr>
          <w:trHeight w:val="229"/>
        </w:trPr>
        <w:tc>
          <w:tcPr>
            <w:tcW w:w="918" w:type="dxa"/>
            <w:vAlign w:val="center"/>
          </w:tcPr>
          <w:p w14:paraId="1761B87F" w14:textId="77777777" w:rsidR="00A8418B" w:rsidRPr="00422ADF" w:rsidRDefault="00A8418B" w:rsidP="009B03F1">
            <w:pPr>
              <w:rPr>
                <w:color w:val="000000" w:themeColor="text1"/>
              </w:rPr>
            </w:pPr>
            <w:r w:rsidRPr="00422ADF">
              <w:rPr>
                <w:color w:val="000000" w:themeColor="text1"/>
              </w:rPr>
              <w:t>where</w:t>
            </w:r>
          </w:p>
        </w:tc>
        <w:tc>
          <w:tcPr>
            <w:tcW w:w="8454" w:type="dxa"/>
            <w:gridSpan w:val="2"/>
            <w:vAlign w:val="center"/>
          </w:tcPr>
          <w:p w14:paraId="1AEF9B42" w14:textId="77777777" w:rsidR="00A8418B" w:rsidRPr="00422ADF" w:rsidRDefault="00A8418B" w:rsidP="009B03F1">
            <w:pPr>
              <w:rPr>
                <w:color w:val="000000" w:themeColor="text1"/>
              </w:rPr>
            </w:pPr>
          </w:p>
        </w:tc>
      </w:tr>
      <w:commentRangeStart w:id="28"/>
      <w:tr w:rsidR="00A8418B" w:rsidRPr="00534FF2" w14:paraId="2088AC76" w14:textId="77777777" w:rsidTr="00322968">
        <w:trPr>
          <w:trHeight w:val="396"/>
        </w:trPr>
        <w:tc>
          <w:tcPr>
            <w:tcW w:w="918" w:type="dxa"/>
            <w:vAlign w:val="center"/>
          </w:tcPr>
          <w:p w14:paraId="7F1B8CFD" w14:textId="77777777" w:rsidR="00A8418B" w:rsidRPr="00422ADF" w:rsidRDefault="000B0B97" w:rsidP="004501BF">
            <w:pPr>
              <w:rPr>
                <w:color w:val="000000" w:themeColor="text1"/>
              </w:rPr>
            </w:pPr>
            <m:oMathPara>
              <m:oMath>
                <m:sSub>
                  <m:sSubPr>
                    <m:ctrlPr>
                      <w:rPr>
                        <w:rFonts w:ascii="Cambria Math" w:hAnsi="Cambria Math"/>
                        <w:color w:val="000000" w:themeColor="text1"/>
                      </w:rPr>
                    </m:ctrlPr>
                  </m:sSubPr>
                  <m:e>
                    <m:r>
                      <m:rPr>
                        <m:sty m:val="p"/>
                      </m:rPr>
                      <w:rPr>
                        <w:rFonts w:ascii="Cambria Math"/>
                        <w:color w:val="000000" w:themeColor="text1"/>
                      </w:rPr>
                      <m:t>H</m:t>
                    </m:r>
                  </m:e>
                  <m:sub>
                    <m:r>
                      <m:rPr>
                        <m:sty m:val="p"/>
                      </m:rPr>
                      <w:rPr>
                        <w:rFonts w:ascii="Cambria Math"/>
                        <w:color w:val="000000" w:themeColor="text1"/>
                      </w:rPr>
                      <m:t>Ca</m:t>
                    </m:r>
                  </m:sub>
                </m:sSub>
                <w:commentRangeEnd w:id="28"/>
                <m:r>
                  <m:rPr>
                    <m:sty m:val="p"/>
                  </m:rPr>
                  <w:rPr>
                    <w:rStyle w:val="CommentReference"/>
                  </w:rPr>
                  <w:commentReference w:id="28"/>
                </m:r>
              </m:oMath>
            </m:oMathPara>
          </w:p>
        </w:tc>
        <w:tc>
          <w:tcPr>
            <w:tcW w:w="8454" w:type="dxa"/>
            <w:gridSpan w:val="2"/>
            <w:vAlign w:val="center"/>
          </w:tcPr>
          <w:p w14:paraId="5EFCBA6C" w14:textId="5730775E" w:rsidR="00A8418B" w:rsidRPr="00422ADF" w:rsidRDefault="00A8418B" w:rsidP="008A3DA3">
            <w:pPr>
              <w:ind w:left="216" w:hanging="216"/>
              <w:rPr>
                <w:color w:val="000000" w:themeColor="text1"/>
              </w:rPr>
            </w:pPr>
            <w:r w:rsidRPr="00422ADF">
              <w:rPr>
                <w:color w:val="000000" w:themeColor="text1"/>
              </w:rPr>
              <w:t>= total harvest of halibut reported for clients, crew</w:t>
            </w:r>
            <w:r w:rsidR="00DE1E37">
              <w:rPr>
                <w:rStyle w:val="FootnoteReference"/>
              </w:rPr>
              <w:footnoteReference w:id="2"/>
            </w:r>
            <w:r w:rsidRPr="00422ADF">
              <w:rPr>
                <w:color w:val="000000" w:themeColor="text1"/>
              </w:rPr>
              <w:t xml:space="preserve">, and “comps” in subarea </w:t>
            </w:r>
            <w:r w:rsidRPr="00422ADF">
              <w:rPr>
                <w:i/>
                <w:color w:val="000000" w:themeColor="text1"/>
              </w:rPr>
              <w:t xml:space="preserve">a </w:t>
            </w:r>
            <w:r w:rsidRPr="00422ADF">
              <w:rPr>
                <w:color w:val="000000" w:themeColor="text1"/>
              </w:rPr>
              <w:t>(logbook data),</w:t>
            </w:r>
          </w:p>
        </w:tc>
      </w:tr>
      <w:tr w:rsidR="00A8418B" w:rsidRPr="00534FF2" w14:paraId="63D0CA03" w14:textId="77777777" w:rsidTr="00322968">
        <w:trPr>
          <w:trHeight w:val="262"/>
        </w:trPr>
        <w:tc>
          <w:tcPr>
            <w:tcW w:w="918" w:type="dxa"/>
            <w:vAlign w:val="center"/>
          </w:tcPr>
          <w:p w14:paraId="364CDB92" w14:textId="77777777" w:rsidR="00A8418B" w:rsidRPr="00422ADF" w:rsidRDefault="000B0B97" w:rsidP="004501BF">
            <w:pPr>
              <w:rPr>
                <w:color w:val="000000" w:themeColor="text1"/>
              </w:rPr>
            </w:pPr>
            <m:oMathPara>
              <m:oMath>
                <m:sSub>
                  <m:sSubPr>
                    <m:ctrlPr>
                      <w:rPr>
                        <w:rFonts w:ascii="Cambria Math" w:hAnsi="Cambria Math"/>
                        <w:i/>
                        <w:color w:val="000000" w:themeColor="text1"/>
                      </w:rPr>
                    </m:ctrlPr>
                  </m:sSubPr>
                  <m:e>
                    <m:acc>
                      <m:accPr>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w</m:t>
                            </m:r>
                          </m:e>
                        </m:acc>
                      </m:e>
                    </m:acc>
                  </m:e>
                  <m:sub>
                    <m:r>
                      <w:rPr>
                        <w:rFonts w:ascii="Cambria Math" w:hAnsi="Cambria Math"/>
                        <w:color w:val="000000" w:themeColor="text1"/>
                      </w:rPr>
                      <m:t>Ca</m:t>
                    </m:r>
                  </m:sub>
                </m:sSub>
              </m:oMath>
            </m:oMathPara>
          </w:p>
        </w:tc>
        <w:tc>
          <w:tcPr>
            <w:tcW w:w="8454" w:type="dxa"/>
            <w:gridSpan w:val="2"/>
            <w:vAlign w:val="center"/>
          </w:tcPr>
          <w:p w14:paraId="3D904C6D" w14:textId="77777777" w:rsidR="00A8418B" w:rsidRPr="00422ADF" w:rsidRDefault="00A8418B" w:rsidP="009B03F1">
            <w:pPr>
              <w:rPr>
                <w:color w:val="000000" w:themeColor="text1"/>
              </w:rPr>
            </w:pPr>
            <w:r w:rsidRPr="00422ADF">
              <w:rPr>
                <w:color w:val="000000" w:themeColor="text1"/>
              </w:rPr>
              <w:t xml:space="preserve">= the estimated mean weight of charter halibut harvest in subarea </w:t>
            </w:r>
            <w:r w:rsidRPr="00422ADF">
              <w:rPr>
                <w:i/>
                <w:color w:val="000000" w:themeColor="text1"/>
              </w:rPr>
              <w:t>a</w:t>
            </w:r>
            <w:r w:rsidRPr="00422ADF">
              <w:rPr>
                <w:color w:val="000000" w:themeColor="text1"/>
              </w:rPr>
              <w:t>.</w:t>
            </w:r>
          </w:p>
        </w:tc>
      </w:tr>
    </w:tbl>
    <w:p w14:paraId="2EFC6560" w14:textId="0393D4DD" w:rsidR="008C25DA" w:rsidRDefault="008C25DA" w:rsidP="002A77E0">
      <w:r w:rsidRPr="008C25DA">
        <w:t>Charter halibut harvest will include any reported crew harvest even though crew harvest of halibut</w:t>
      </w:r>
      <w:r w:rsidR="00322968">
        <w:t xml:space="preserve"> </w:t>
      </w:r>
      <w:r w:rsidRPr="008C25DA">
        <w:t xml:space="preserve">is not allowed in Areas 2C or 3A under the CSP. Whether this crew harvest is </w:t>
      </w:r>
      <w:r w:rsidR="00322968" w:rsidRPr="008C25DA">
        <w:t>misreported</w:t>
      </w:r>
      <w:r w:rsidRPr="008C25DA">
        <w:t xml:space="preserve"> client harvest or illegal crew harvest, the charter sector will be held accountable. </w:t>
      </w:r>
    </w:p>
    <w:p w14:paraId="0B33259C" w14:textId="6A252B56" w:rsidR="004D0FEB" w:rsidRDefault="004D0FEB" w:rsidP="002A77E0">
      <w:r w:rsidRPr="005015C7">
        <w:t>The boundary between IPHC areas 3A and 2C bisects the Glacier Bay subarea</w:t>
      </w:r>
      <w:r w:rsidR="008C25DA">
        <w:t>. C</w:t>
      </w:r>
      <w:r w:rsidRPr="005015C7">
        <w:t xml:space="preserve">harter harvest has been growing in the Area 3A portion of the Glacier Bay subarea. Charter logbook data will be used to apportion the Glacier Bay subarea to waters in Area 3A (G3A) and Area 2C (G2C). </w:t>
      </w:r>
      <w:r w:rsidR="008C25DA">
        <w:t>For example, harvest in subarea G3A will be estimated as</w:t>
      </w:r>
    </w:p>
    <w:tbl>
      <w:tblPr>
        <w:tblW w:w="0" w:type="auto"/>
        <w:tblLook w:val="00A0" w:firstRow="1" w:lastRow="0" w:firstColumn="1" w:lastColumn="0" w:noHBand="0" w:noVBand="0"/>
      </w:tblPr>
      <w:tblGrid>
        <w:gridCol w:w="1714"/>
        <w:gridCol w:w="6934"/>
        <w:gridCol w:w="712"/>
      </w:tblGrid>
      <w:tr w:rsidR="008C25DA" w:rsidRPr="008C25DA" w14:paraId="7914E159" w14:textId="77777777" w:rsidTr="00EC7012">
        <w:tc>
          <w:tcPr>
            <w:tcW w:w="8843" w:type="dxa"/>
            <w:gridSpan w:val="2"/>
            <w:vAlign w:val="center"/>
          </w:tcPr>
          <w:p w14:paraId="3E5699B7" w14:textId="77777777" w:rsidR="008C25DA" w:rsidRPr="008C25DA" w:rsidRDefault="000B0B97" w:rsidP="008C25DA">
            <w:pPr>
              <w:rPr>
                <w:szCs w:val="22"/>
              </w:rPr>
            </w:pPr>
            <m:oMathPara>
              <m:oMathParaPr>
                <m:jc m:val="left"/>
              </m:oMathParaPr>
              <m:oMath>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G3A</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3A</m:t>
                    </m:r>
                  </m:sub>
                </m:sSub>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GlacBay</m:t>
                    </m:r>
                  </m:sub>
                </m:sSub>
              </m:oMath>
            </m:oMathPara>
          </w:p>
        </w:tc>
        <w:tc>
          <w:tcPr>
            <w:tcW w:w="733" w:type="dxa"/>
            <w:vAlign w:val="center"/>
          </w:tcPr>
          <w:p w14:paraId="1B53CE0F" w14:textId="15A5F746" w:rsidR="008C25DA" w:rsidRPr="008C25DA" w:rsidRDefault="008C25DA" w:rsidP="008C25DA">
            <w:pPr>
              <w:rPr>
                <w:szCs w:val="22"/>
              </w:rPr>
            </w:pPr>
            <w:r w:rsidRPr="008C25DA">
              <w:rPr>
                <w:szCs w:val="22"/>
              </w:rPr>
              <w:t>(</w:t>
            </w:r>
            <w:r>
              <w:rPr>
                <w:szCs w:val="22"/>
              </w:rPr>
              <w:t>3</w:t>
            </w:r>
            <w:r w:rsidRPr="008C25DA">
              <w:rPr>
                <w:szCs w:val="22"/>
              </w:rPr>
              <w:t>)</w:t>
            </w:r>
          </w:p>
        </w:tc>
      </w:tr>
      <w:tr w:rsidR="008C25DA" w:rsidRPr="008C25DA" w14:paraId="5B137254" w14:textId="77777777" w:rsidTr="00EC7012">
        <w:tc>
          <w:tcPr>
            <w:tcW w:w="1083" w:type="dxa"/>
            <w:vAlign w:val="center"/>
          </w:tcPr>
          <w:p w14:paraId="3116139C" w14:textId="77777777" w:rsidR="008C25DA" w:rsidRPr="008C25DA" w:rsidRDefault="008C25DA" w:rsidP="008C25DA">
            <w:pPr>
              <w:rPr>
                <w:szCs w:val="22"/>
              </w:rPr>
            </w:pPr>
            <w:r w:rsidRPr="008C25DA">
              <w:rPr>
                <w:szCs w:val="22"/>
              </w:rPr>
              <w:t>where</w:t>
            </w:r>
          </w:p>
        </w:tc>
        <w:tc>
          <w:tcPr>
            <w:tcW w:w="8493" w:type="dxa"/>
            <w:gridSpan w:val="2"/>
            <w:vAlign w:val="center"/>
          </w:tcPr>
          <w:p w14:paraId="36FB2050" w14:textId="77777777" w:rsidR="008C25DA" w:rsidRPr="008C25DA" w:rsidRDefault="008C25DA" w:rsidP="008C25DA">
            <w:pPr>
              <w:rPr>
                <w:szCs w:val="22"/>
              </w:rPr>
            </w:pPr>
          </w:p>
        </w:tc>
      </w:tr>
      <w:tr w:rsidR="008C25DA" w:rsidRPr="008C25DA" w14:paraId="5DA8E9BE" w14:textId="77777777" w:rsidTr="00EC7012">
        <w:tc>
          <w:tcPr>
            <w:tcW w:w="1083" w:type="dxa"/>
          </w:tcPr>
          <w:p w14:paraId="1415F57B" w14:textId="77777777" w:rsidR="008C25DA" w:rsidRPr="008C25DA" w:rsidRDefault="000B0B97" w:rsidP="008C25DA">
            <w:pPr>
              <w:rPr>
                <w:szCs w:val="22"/>
              </w:rPr>
            </w:pPr>
            <m:oMathPara>
              <m:oMath>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G3A</m:t>
                    </m:r>
                  </m:sub>
                </m:sSub>
              </m:oMath>
            </m:oMathPara>
          </w:p>
        </w:tc>
        <w:tc>
          <w:tcPr>
            <w:tcW w:w="8493" w:type="dxa"/>
            <w:gridSpan w:val="2"/>
            <w:vAlign w:val="center"/>
          </w:tcPr>
          <w:p w14:paraId="297737EB" w14:textId="0AC03231" w:rsidR="008C25DA" w:rsidRPr="008C25DA" w:rsidRDefault="008C25DA" w:rsidP="008C25DA">
            <w:pPr>
              <w:rPr>
                <w:szCs w:val="22"/>
              </w:rPr>
            </w:pPr>
            <w:r w:rsidRPr="008C25DA">
              <w:rPr>
                <w:szCs w:val="22"/>
              </w:rPr>
              <w:t>= the estimated number of halibut harvested by charter anglers in the IPHC Area 3A portion of the Glacier Bay subarea,</w:t>
            </w:r>
          </w:p>
        </w:tc>
      </w:tr>
      <w:tr w:rsidR="008C25DA" w:rsidRPr="008C25DA" w14:paraId="67668B61" w14:textId="77777777" w:rsidTr="00EC7012">
        <w:tc>
          <w:tcPr>
            <w:tcW w:w="1083" w:type="dxa"/>
          </w:tcPr>
          <w:p w14:paraId="341C00C8" w14:textId="77777777" w:rsidR="008C25DA" w:rsidRPr="008C25DA" w:rsidRDefault="000B0B97" w:rsidP="008C25DA">
            <w:pPr>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3A</m:t>
                    </m:r>
                  </m:sub>
                </m:sSub>
              </m:oMath>
            </m:oMathPara>
          </w:p>
        </w:tc>
        <w:tc>
          <w:tcPr>
            <w:tcW w:w="8493" w:type="dxa"/>
            <w:gridSpan w:val="2"/>
            <w:vAlign w:val="center"/>
          </w:tcPr>
          <w:p w14:paraId="3156BB92" w14:textId="77777777" w:rsidR="008C25DA" w:rsidRPr="008C25DA" w:rsidRDefault="008C25DA" w:rsidP="008C25DA">
            <w:pPr>
              <w:rPr>
                <w:szCs w:val="22"/>
              </w:rPr>
            </w:pPr>
            <w:r w:rsidRPr="008C25DA">
              <w:rPr>
                <w:szCs w:val="22"/>
              </w:rPr>
              <w:t xml:space="preserve">= the proportion of charter harvest reported in logbooks landed at sites in the Glacier Bay subarea that was caught in IPHC area 3A, </w:t>
            </w:r>
          </w:p>
        </w:tc>
      </w:tr>
      <w:commentRangeStart w:id="29"/>
      <w:tr w:rsidR="008C25DA" w:rsidRPr="008C25DA" w14:paraId="6205D278" w14:textId="77777777" w:rsidTr="00EC7012">
        <w:trPr>
          <w:trHeight w:val="495"/>
        </w:trPr>
        <w:tc>
          <w:tcPr>
            <w:tcW w:w="1083" w:type="dxa"/>
          </w:tcPr>
          <w:p w14:paraId="63FE030B" w14:textId="77777777" w:rsidR="008C25DA" w:rsidRPr="008C25DA" w:rsidRDefault="000B0B97" w:rsidP="008C25DA">
            <w:pPr>
              <w:rPr>
                <w:szCs w:val="22"/>
              </w:rPr>
            </w:pPr>
            <m:oMathPara>
              <m:oMath>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GlacBay</m:t>
                    </m:r>
                  </m:sub>
                </m:sSub>
                <w:commentRangeEnd w:id="29"/>
                <m:r>
                  <m:rPr>
                    <m:sty m:val="p"/>
                  </m:rPr>
                  <w:rPr>
                    <w:rStyle w:val="CommentReference"/>
                  </w:rPr>
                  <w:commentReference w:id="29"/>
                </m:r>
              </m:oMath>
            </m:oMathPara>
          </w:p>
        </w:tc>
        <w:tc>
          <w:tcPr>
            <w:tcW w:w="8493" w:type="dxa"/>
            <w:gridSpan w:val="2"/>
            <w:vAlign w:val="center"/>
          </w:tcPr>
          <w:p w14:paraId="22C7B209" w14:textId="6C7EBBAA" w:rsidR="008C25DA" w:rsidRPr="008C25DA" w:rsidRDefault="008C25DA" w:rsidP="008C25DA">
            <w:pPr>
              <w:rPr>
                <w:szCs w:val="22"/>
              </w:rPr>
            </w:pPr>
            <w:r w:rsidRPr="008C25DA">
              <w:rPr>
                <w:szCs w:val="22"/>
              </w:rPr>
              <w:t xml:space="preserve">= the </w:t>
            </w:r>
            <w:r>
              <w:rPr>
                <w:szCs w:val="22"/>
              </w:rPr>
              <w:t>reported</w:t>
            </w:r>
            <w:r w:rsidRPr="008C25DA">
              <w:rPr>
                <w:szCs w:val="22"/>
              </w:rPr>
              <w:t xml:space="preserve"> number of halibut harvested </w:t>
            </w:r>
            <w:r>
              <w:rPr>
                <w:szCs w:val="22"/>
              </w:rPr>
              <w:t xml:space="preserve">in logbooks </w:t>
            </w:r>
            <w:r w:rsidRPr="008C25DA">
              <w:rPr>
                <w:szCs w:val="22"/>
              </w:rPr>
              <w:t>by charter anglers in the Glacier Bay subarea.</w:t>
            </w:r>
          </w:p>
        </w:tc>
      </w:tr>
    </w:tbl>
    <w:p w14:paraId="5BE2BBD1" w14:textId="2F5551ED" w:rsidR="00A8418B" w:rsidRPr="008C25DA" w:rsidRDefault="00A8418B" w:rsidP="002A77E0">
      <w:pPr>
        <w:rPr>
          <w:color w:val="000000" w:themeColor="text1"/>
        </w:rPr>
      </w:pPr>
      <w:r w:rsidRPr="008C25DA">
        <w:rPr>
          <w:color w:val="000000" w:themeColor="text1"/>
        </w:rPr>
        <w:t xml:space="preserve">The variance </w:t>
      </w:r>
      <w:r w:rsidR="008C25DA" w:rsidRPr="008C25DA">
        <w:rPr>
          <w:color w:val="000000" w:themeColor="text1"/>
        </w:rPr>
        <w:t xml:space="preserve">of yield in the charter sector </w:t>
      </w:r>
      <w:r w:rsidRPr="008C25DA">
        <w:rPr>
          <w:color w:val="000000" w:themeColor="text1"/>
        </w:rPr>
        <w:t>will be estimated as</w:t>
      </w:r>
    </w:p>
    <w:tbl>
      <w:tblPr>
        <w:tblW w:w="0" w:type="auto"/>
        <w:tblLook w:val="00A0" w:firstRow="1" w:lastRow="0" w:firstColumn="1" w:lastColumn="0" w:noHBand="0" w:noVBand="0"/>
      </w:tblPr>
      <w:tblGrid>
        <w:gridCol w:w="8631"/>
        <w:gridCol w:w="729"/>
      </w:tblGrid>
      <w:tr w:rsidR="00A8418B" w:rsidRPr="008C25DA" w14:paraId="47B47920" w14:textId="77777777" w:rsidTr="00A8418B">
        <w:trPr>
          <w:trHeight w:val="648"/>
        </w:trPr>
        <w:tc>
          <w:tcPr>
            <w:tcW w:w="8838" w:type="dxa"/>
            <w:vAlign w:val="center"/>
          </w:tcPr>
          <w:p w14:paraId="244C1BE4" w14:textId="77777777" w:rsidR="00A8418B" w:rsidRPr="008C25DA" w:rsidRDefault="000B0B97" w:rsidP="009B03F1">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var</m:t>
                    </m:r>
                    <m:r>
                      <w:rPr>
                        <w:rFonts w:asci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C</m:t>
                    </m:r>
                  </m:sub>
                </m:sSub>
                <m:r>
                  <w:rPr>
                    <w:rFonts w:asci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a</m:t>
                    </m:r>
                  </m:sub>
                  <m:sup/>
                  <m:e>
                    <w:commentRangeStart w:id="30"/>
                    <m:sSubSup>
                      <m:sSubSupPr>
                        <m:ctrlPr>
                          <w:rPr>
                            <w:rFonts w:ascii="Cambria Math" w:hAnsi="Cambria Math"/>
                            <w:color w:val="000000" w:themeColor="text1"/>
                          </w:rPr>
                        </m:ctrlPr>
                      </m:sSubSupPr>
                      <m:e>
                        <m:r>
                          <m:rPr>
                            <m:sty m:val="p"/>
                          </m:rPr>
                          <w:rPr>
                            <w:rFonts w:ascii="Cambria Math"/>
                            <w:color w:val="000000" w:themeColor="text1"/>
                          </w:rPr>
                          <m:t>H</m:t>
                        </m:r>
                      </m:e>
                      <m:sub>
                        <m:r>
                          <m:rPr>
                            <m:sty m:val="p"/>
                          </m:rPr>
                          <w:rPr>
                            <w:rFonts w:ascii="Cambria Math"/>
                            <w:color w:val="000000" w:themeColor="text1"/>
                          </w:rPr>
                          <m:t>Ca</m:t>
                        </m:r>
                      </m:sub>
                      <m:sup>
                        <m:r>
                          <m:rPr>
                            <m:sty m:val="p"/>
                          </m:rPr>
                          <w:rPr>
                            <w:rFonts w:ascii="Cambria Math"/>
                            <w:color w:val="000000" w:themeColor="text1"/>
                          </w:rPr>
                          <m:t>2</m:t>
                        </m:r>
                      </m:sup>
                    </m:sSubSup>
                    <w:commentRangeEnd w:id="30"/>
                    <m:r>
                      <m:rPr>
                        <m:sty m:val="p"/>
                      </m:rPr>
                      <w:rPr>
                        <w:rStyle w:val="CommentReference"/>
                      </w:rPr>
                      <w:commentReference w:id="30"/>
                    </m:r>
                    <m:r>
                      <m:rPr>
                        <m:sty m:val="p"/>
                      </m:rPr>
                      <w:rPr>
                        <w:rFonts w:ascii="Cambria Math"/>
                        <w:color w:val="000000" w:themeColor="text1"/>
                      </w:rPr>
                      <m:t xml:space="preserve"> </m:t>
                    </m:r>
                    <m:r>
                      <w:rPr>
                        <w:rFonts w:ascii="Cambria Math"/>
                        <w:color w:val="000000" w:themeColor="text1"/>
                      </w:rPr>
                      <m:t>var</m:t>
                    </m:r>
                    <m:r>
                      <m:rPr>
                        <m:sty m:val="p"/>
                      </m:rPr>
                      <w:rPr>
                        <w:rFonts w:asci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w</m:t>
                                </m:r>
                              </m:e>
                            </m:acc>
                          </m:e>
                        </m:acc>
                      </m:e>
                      <m:sub>
                        <m:r>
                          <w:rPr>
                            <w:rFonts w:ascii="Cambria Math" w:hAnsi="Cambria Math"/>
                            <w:color w:val="000000" w:themeColor="text1"/>
                          </w:rPr>
                          <m:t>Ca</m:t>
                        </m:r>
                      </m:sub>
                    </m:sSub>
                    <m:r>
                      <m:rPr>
                        <m:sty m:val="p"/>
                      </m:rPr>
                      <w:rPr>
                        <w:rFonts w:ascii="Cambria Math"/>
                        <w:color w:val="000000" w:themeColor="text1"/>
                      </w:rPr>
                      <m:t>)</m:t>
                    </m:r>
                  </m:e>
                </m:nary>
                <w:commentRangeStart w:id="31"/>
                <w:commentRangeEnd w:id="31"/>
                <m:r>
                  <m:rPr>
                    <m:sty m:val="p"/>
                  </m:rPr>
                  <w:rPr>
                    <w:rStyle w:val="CommentReference"/>
                  </w:rPr>
                  <w:commentReference w:id="31"/>
                </m:r>
                <m:r>
                  <w:rPr>
                    <w:rFonts w:ascii="Cambria Math"/>
                    <w:color w:val="000000" w:themeColor="text1"/>
                  </w:rPr>
                  <m:t>.</m:t>
                </m:r>
              </m:oMath>
            </m:oMathPara>
          </w:p>
        </w:tc>
        <w:tc>
          <w:tcPr>
            <w:tcW w:w="738" w:type="dxa"/>
            <w:vAlign w:val="center"/>
          </w:tcPr>
          <w:p w14:paraId="16D6C0F0" w14:textId="36E3ECBC" w:rsidR="00A8418B" w:rsidRPr="008C25DA" w:rsidRDefault="00A8418B" w:rsidP="009B03F1">
            <w:pPr>
              <w:rPr>
                <w:color w:val="000000" w:themeColor="text1"/>
              </w:rPr>
            </w:pPr>
            <w:r w:rsidRPr="008C25DA">
              <w:rPr>
                <w:color w:val="000000" w:themeColor="text1"/>
              </w:rPr>
              <w:t>(</w:t>
            </w:r>
            <w:r w:rsidR="008C25DA" w:rsidRPr="008C25DA">
              <w:rPr>
                <w:color w:val="000000" w:themeColor="text1"/>
              </w:rPr>
              <w:t>4</w:t>
            </w:r>
            <w:r w:rsidRPr="008C25DA">
              <w:rPr>
                <w:color w:val="000000" w:themeColor="text1"/>
              </w:rPr>
              <w:t>)</w:t>
            </w:r>
          </w:p>
        </w:tc>
      </w:tr>
    </w:tbl>
    <w:p w14:paraId="58C4C59E" w14:textId="77777777" w:rsidR="00A53CE4" w:rsidRDefault="00A8418B" w:rsidP="00A53CE4">
      <w:r w:rsidRPr="008C25DA">
        <w:rPr>
          <w:color w:val="000000" w:themeColor="text1"/>
        </w:rPr>
        <w:t>These procedures are expected to provide estimates of charter yield with a relative precision of at least ±10%</w:t>
      </w:r>
      <w:r w:rsidR="00A13AB3" w:rsidRPr="008C25DA">
        <w:rPr>
          <w:color w:val="000000" w:themeColor="text1"/>
        </w:rPr>
        <w:t xml:space="preserve"> (</w:t>
      </w:r>
      <w:r w:rsidR="00A13AB3" w:rsidRPr="008C25DA">
        <w:rPr>
          <w:rFonts w:ascii="Calibri" w:hAnsi="Calibri"/>
          <w:color w:val="000000" w:themeColor="text1"/>
        </w:rPr>
        <w:t>α</w:t>
      </w:r>
      <w:r w:rsidR="00A13AB3" w:rsidRPr="008C25DA">
        <w:rPr>
          <w:color w:val="000000" w:themeColor="text1"/>
        </w:rPr>
        <w:t xml:space="preserve"> = 0.05)</w:t>
      </w:r>
      <w:r w:rsidRPr="008C25DA">
        <w:rPr>
          <w:color w:val="000000" w:themeColor="text1"/>
        </w:rPr>
        <w:t>, based on logbook-based yield estimates from recent years.</w:t>
      </w:r>
      <w:r w:rsidR="00A53CE4" w:rsidRPr="00A53CE4">
        <w:t xml:space="preserve"> </w:t>
      </w:r>
    </w:p>
    <w:p w14:paraId="6E512818" w14:textId="1BE26EE3" w:rsidR="00A53CE4" w:rsidRPr="00FC68D1" w:rsidRDefault="00A53CE4" w:rsidP="00A53CE4">
      <w:r w:rsidRPr="00FC68D1">
        <w:t>Overall mean weight of the sport harvest (charter and unguided combined) will be estimated as</w:t>
      </w:r>
    </w:p>
    <w:tbl>
      <w:tblPr>
        <w:tblW w:w="0" w:type="auto"/>
        <w:tblLook w:val="00A0" w:firstRow="1" w:lastRow="0" w:firstColumn="1" w:lastColumn="0" w:noHBand="0" w:noVBand="0"/>
      </w:tblPr>
      <w:tblGrid>
        <w:gridCol w:w="8630"/>
        <w:gridCol w:w="730"/>
      </w:tblGrid>
      <w:tr w:rsidR="00A53CE4" w:rsidRPr="00FC68D1" w14:paraId="3116ABEB" w14:textId="77777777" w:rsidTr="00EC7012">
        <w:trPr>
          <w:trHeight w:val="675"/>
        </w:trPr>
        <w:tc>
          <w:tcPr>
            <w:tcW w:w="8838" w:type="dxa"/>
            <w:vAlign w:val="center"/>
          </w:tcPr>
          <w:p w14:paraId="3A7C251E" w14:textId="77777777" w:rsidR="00A53CE4" w:rsidRPr="00FC68D1" w:rsidRDefault="000B0B97" w:rsidP="00EC7012">
            <m:oMathPara>
              <m:oMathParaPr>
                <m:jc m:val="left"/>
              </m:oMathParaPr>
              <m:oMath>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r>
                  <w:rPr>
                    <w:rFonts w:ascii="Cambria Math" w:hAnsi="Cambria Math"/>
                  </w:rPr>
                  <m:t xml:space="preserve">=  </m:t>
                </m:r>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H</m:t>
                    </m:r>
                  </m:e>
                </m:acc>
                <m:r>
                  <w:rPr>
                    <w:rFonts w:ascii="Cambria Math" w:hAnsi="Cambria Math"/>
                  </w:rPr>
                  <m:t xml:space="preserve">  =  </m:t>
                </m:r>
                <w:commentRangeStart w:id="32"/>
                <m:f>
                  <m:fPr>
                    <m:type m:val="lin"/>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g</m:t>
                            </m:r>
                          </m:sub>
                        </m:sSub>
                      </m:e>
                    </m:nary>
                  </m:den>
                </m:f>
                <w:commentRangeEnd w:id="32"/>
                <m:r>
                  <m:rPr>
                    <m:sty m:val="p"/>
                  </m:rPr>
                  <w:rPr>
                    <w:rStyle w:val="CommentReference"/>
                  </w:rPr>
                  <w:commentReference w:id="32"/>
                </m:r>
              </m:oMath>
            </m:oMathPara>
          </w:p>
        </w:tc>
        <w:tc>
          <w:tcPr>
            <w:tcW w:w="738" w:type="dxa"/>
            <w:vAlign w:val="center"/>
          </w:tcPr>
          <w:p w14:paraId="47A8C83D" w14:textId="349E4D94" w:rsidR="00965B86" w:rsidRPr="00FC68D1" w:rsidRDefault="00A53CE4" w:rsidP="00EC7012">
            <w:r w:rsidRPr="00FC68D1">
              <w:t>(</w:t>
            </w:r>
            <w:r w:rsidR="008C25DA">
              <w:t>5)</w:t>
            </w:r>
          </w:p>
        </w:tc>
      </w:tr>
    </w:tbl>
    <w:p w14:paraId="4A72E9D9" w14:textId="77777777" w:rsidR="00965B86" w:rsidRDefault="00965B86" w:rsidP="00A8418B">
      <w:pPr>
        <w:pStyle w:val="Heading3"/>
        <w:rPr>
          <w:color w:val="000000" w:themeColor="text1"/>
        </w:rPr>
      </w:pPr>
      <w:bookmarkStart w:id="33" w:name="_Toc398217612"/>
    </w:p>
    <w:p w14:paraId="3C212404" w14:textId="77777777" w:rsidR="00965B86" w:rsidRPr="00965B86" w:rsidRDefault="00965B86" w:rsidP="00965B86">
      <w:pPr>
        <w:rPr>
          <w:szCs w:val="22"/>
        </w:rPr>
      </w:pPr>
      <w:r w:rsidRPr="00965B86">
        <w:rPr>
          <w:szCs w:val="22"/>
        </w:rPr>
        <w:t>with estimated variance approximated using the Delta method (</w:t>
      </w:r>
      <w:proofErr w:type="spellStart"/>
      <w:r w:rsidRPr="00965B86">
        <w:rPr>
          <w:szCs w:val="22"/>
        </w:rPr>
        <w:t>Seber</w:t>
      </w:r>
      <w:proofErr w:type="spellEnd"/>
      <w:r w:rsidRPr="00965B86">
        <w:rPr>
          <w:szCs w:val="22"/>
        </w:rPr>
        <w:t xml:space="preserve"> 1982, pages 7-8):</w:t>
      </w:r>
    </w:p>
    <w:tbl>
      <w:tblPr>
        <w:tblW w:w="0" w:type="auto"/>
        <w:tblLook w:val="00A0" w:firstRow="1" w:lastRow="0" w:firstColumn="1" w:lastColumn="0" w:noHBand="0" w:noVBand="0"/>
      </w:tblPr>
      <w:tblGrid>
        <w:gridCol w:w="8632"/>
        <w:gridCol w:w="728"/>
      </w:tblGrid>
      <w:tr w:rsidR="00965B86" w:rsidRPr="00965B86" w14:paraId="579E4E77" w14:textId="77777777" w:rsidTr="00087E63">
        <w:trPr>
          <w:trHeight w:val="900"/>
        </w:trPr>
        <w:tc>
          <w:tcPr>
            <w:tcW w:w="8838" w:type="dxa"/>
            <w:vAlign w:val="center"/>
          </w:tcPr>
          <w:p w14:paraId="5E6F8DA9" w14:textId="224BD71A" w:rsidR="00965B86" w:rsidRPr="00965B86" w:rsidRDefault="00965B86" w:rsidP="00965B86">
            <w:pPr>
              <w:rPr>
                <w:szCs w:val="22"/>
              </w:rPr>
            </w:pPr>
            <w:commentRangeStart w:id="34"/>
            <m:oMathPara>
              <m:oMath>
                <m:r>
                  <w:rPr>
                    <w:rFonts w:ascii="Cambria Math" w:hAnsi="Cambria Math"/>
                    <w:szCs w:val="22"/>
                  </w:rPr>
                  <m:t>var(</m:t>
                </m:r>
                <m:acc>
                  <m:accPr>
                    <m:ctrlPr>
                      <w:rPr>
                        <w:rFonts w:ascii="Cambria Math" w:hAnsi="Cambria Math"/>
                        <w:i/>
                        <w:szCs w:val="22"/>
                      </w:rPr>
                    </m:ctrlPr>
                  </m:accPr>
                  <m:e>
                    <m:acc>
                      <m:accPr>
                        <m:chr m:val="̅"/>
                        <m:ctrlPr>
                          <w:rPr>
                            <w:rFonts w:ascii="Cambria Math" w:hAnsi="Cambria Math"/>
                            <w:i/>
                            <w:szCs w:val="22"/>
                          </w:rPr>
                        </m:ctrlPr>
                      </m:accPr>
                      <m:e>
                        <m:r>
                          <w:rPr>
                            <w:rFonts w:ascii="Cambria Math" w:hAnsi="Cambria Math"/>
                            <w:szCs w:val="22"/>
                          </w:rPr>
                          <m:t>w</m:t>
                        </m:r>
                      </m:e>
                    </m:acc>
                  </m:e>
                </m:acc>
                <m:r>
                  <w:rPr>
                    <w:rFonts w:ascii="Cambria Math" w:hAnsi="Cambria Math"/>
                    <w:szCs w:val="22"/>
                  </w:rPr>
                  <m:t>)≈</m:t>
                </m:r>
                <m:f>
                  <m:fPr>
                    <m:ctrlPr>
                      <w:rPr>
                        <w:rFonts w:ascii="Cambria Math" w:hAnsi="Cambria Math"/>
                        <w:i/>
                        <w:szCs w:val="22"/>
                      </w:rPr>
                    </m:ctrlPr>
                  </m:fPr>
                  <m:num>
                    <m:r>
                      <w:rPr>
                        <w:rFonts w:ascii="Cambria Math" w:hAnsi="Cambria Math"/>
                        <w:szCs w:val="22"/>
                      </w:rPr>
                      <m:t>1</m:t>
                    </m:r>
                  </m:num>
                  <m:den>
                    <m:sSup>
                      <m:sSupPr>
                        <m:ctrlPr>
                          <w:rPr>
                            <w:rFonts w:ascii="Cambria Math" w:hAnsi="Cambria Math"/>
                            <w:i/>
                            <w:szCs w:val="22"/>
                          </w:rPr>
                        </m:ctrlPr>
                      </m:sSupPr>
                      <m:e>
                        <m:acc>
                          <m:accPr>
                            <m:ctrlPr>
                              <w:rPr>
                                <w:rFonts w:ascii="Cambria Math" w:hAnsi="Cambria Math"/>
                                <w:i/>
                                <w:szCs w:val="22"/>
                              </w:rPr>
                            </m:ctrlPr>
                          </m:accPr>
                          <m:e>
                            <m:r>
                              <w:rPr>
                                <w:rFonts w:ascii="Cambria Math" w:hAnsi="Cambria Math"/>
                                <w:szCs w:val="22"/>
                              </w:rPr>
                              <m:t>H</m:t>
                            </m:r>
                          </m:e>
                        </m:acc>
                      </m:e>
                      <m:sup>
                        <m:r>
                          <w:rPr>
                            <w:rFonts w:ascii="Cambria Math" w:hAnsi="Cambria Math"/>
                            <w:szCs w:val="22"/>
                          </w:rPr>
                          <m:t>2</m:t>
                        </m:r>
                      </m:sup>
                    </m:sSup>
                  </m:den>
                </m:f>
                <m:d>
                  <m:dPr>
                    <m:begChr m:val="["/>
                    <m:endChr m:val="]"/>
                    <m:ctrlPr>
                      <w:rPr>
                        <w:rFonts w:ascii="Cambria Math" w:hAnsi="Cambria Math"/>
                        <w:i/>
                        <w:szCs w:val="22"/>
                      </w:rPr>
                    </m:ctrlPr>
                  </m:dPr>
                  <m:e>
                    <m:f>
                      <m:fPr>
                        <m:ctrlPr>
                          <w:rPr>
                            <w:rFonts w:ascii="Cambria Math" w:hAnsi="Cambria Math"/>
                            <w:i/>
                            <w:szCs w:val="22"/>
                          </w:rPr>
                        </m:ctrlPr>
                      </m:fPr>
                      <m:num>
                        <m:r>
                          <w:rPr>
                            <w:rFonts w:ascii="Cambria Math" w:hAnsi="Cambria Math"/>
                            <w:szCs w:val="22"/>
                          </w:rPr>
                          <m:t>var(</m:t>
                        </m:r>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C</m:t>
                            </m:r>
                          </m:sub>
                        </m:sSub>
                        <m:r>
                          <w:rPr>
                            <w:rFonts w:ascii="Cambria Math" w:hAnsi="Cambria Math"/>
                            <w:szCs w:val="22"/>
                          </w:rPr>
                          <m:t>)</m:t>
                        </m:r>
                        <w:commentRangeStart w:id="35"/>
                        <w:commentRangeEnd w:id="35"/>
                        <m:r>
                          <m:rPr>
                            <m:sty m:val="p"/>
                          </m:rPr>
                          <w:rPr>
                            <w:rStyle w:val="CommentReference"/>
                          </w:rPr>
                          <w:commentReference w:id="35"/>
                        </m:r>
                        <m:sSup>
                          <m:sSupPr>
                            <m:ctrlPr>
                              <w:rPr>
                                <w:rFonts w:ascii="Cambria Math" w:hAnsi="Cambria Math"/>
                                <w:i/>
                                <w:szCs w:val="22"/>
                              </w:rPr>
                            </m:ctrlPr>
                          </m:sSupPr>
                          <m:e>
                            <m:d>
                              <m:dPr>
                                <m:begChr m:val="["/>
                                <m:endChr m:val="]"/>
                                <m:ctrlPr>
                                  <w:rPr>
                                    <w:rFonts w:ascii="Cambria Math" w:hAnsi="Cambria Math"/>
                                    <w:i/>
                                    <w:szCs w:val="22"/>
                                  </w:rPr>
                                </m:ctrlPr>
                              </m:dPr>
                              <m:e>
                                <m:sSub>
                                  <m:sSubPr>
                                    <m:ctrlPr>
                                      <w:rPr>
                                        <w:rFonts w:ascii="Cambria Math" w:hAnsi="Cambria Math"/>
                                        <w:i/>
                                        <w:szCs w:val="22"/>
                                      </w:rPr>
                                    </m:ctrlPr>
                                  </m:sSubPr>
                                  <m:e>
                                    <m:acc>
                                      <m:accPr>
                                        <m:ctrlPr>
                                          <w:rPr>
                                            <w:rFonts w:ascii="Cambria Math" w:hAnsi="Cambria Math"/>
                                            <w:i/>
                                            <w:szCs w:val="22"/>
                                          </w:rPr>
                                        </m:ctrlPr>
                                      </m:accPr>
                                      <m:e>
                                        <m:acc>
                                          <m:accPr>
                                            <m:chr m:val="̅"/>
                                            <m:ctrlPr>
                                              <w:rPr>
                                                <w:rFonts w:ascii="Cambria Math" w:hAnsi="Cambria Math"/>
                                                <w:i/>
                                                <w:szCs w:val="22"/>
                                              </w:rPr>
                                            </m:ctrlPr>
                                          </m:accPr>
                                          <m:e>
                                            <m:r>
                                              <w:rPr>
                                                <w:rFonts w:ascii="Cambria Math" w:hAnsi="Cambria Math"/>
                                                <w:szCs w:val="22"/>
                                              </w:rPr>
                                              <m:t>w</m:t>
                                            </m:r>
                                          </m:e>
                                        </m:acc>
                                      </m:e>
                                    </m:acc>
                                  </m:e>
                                  <m:sub>
                                    <m:r>
                                      <w:rPr>
                                        <w:rFonts w:ascii="Cambria Math" w:hAnsi="Cambria Math"/>
                                        <w:szCs w:val="22"/>
                                      </w:rPr>
                                      <m:t>C</m:t>
                                    </m:r>
                                  </m:sub>
                                </m:sSub>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U</m:t>
                                    </m:r>
                                  </m:sub>
                                </m:sSub>
                                <m:r>
                                  <w:rPr>
                                    <w:rFonts w:ascii="Cambria Math" w:hAnsi="Cambria Math"/>
                                    <w:szCs w:val="22"/>
                                  </w:rPr>
                                  <m:t>-</m:t>
                                </m:r>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Y</m:t>
                                        </m:r>
                                      </m:e>
                                    </m:acc>
                                  </m:e>
                                  <m:sub>
                                    <m:r>
                                      <w:rPr>
                                        <w:rFonts w:ascii="Cambria Math" w:hAnsi="Cambria Math"/>
                                        <w:szCs w:val="22"/>
                                      </w:rPr>
                                      <m:t>U</m:t>
                                    </m:r>
                                  </m:sub>
                                </m:sSub>
                              </m:e>
                            </m:d>
                          </m:e>
                          <m:sup>
                            <m:r>
                              <w:rPr>
                                <w:rFonts w:ascii="Cambria Math" w:hAnsi="Cambria Math"/>
                                <w:szCs w:val="22"/>
                              </w:rPr>
                              <m:t>2</m:t>
                            </m:r>
                          </m:sup>
                        </m:sSup>
                      </m:num>
                      <m:den>
                        <m:sSup>
                          <m:sSupPr>
                            <m:ctrlPr>
                              <w:rPr>
                                <w:rFonts w:ascii="Cambria Math" w:hAnsi="Cambria Math"/>
                                <w:i/>
                                <w:szCs w:val="22"/>
                              </w:rPr>
                            </m:ctrlPr>
                          </m:sSupPr>
                          <m:e>
                            <m:acc>
                              <m:accPr>
                                <m:ctrlPr>
                                  <w:rPr>
                                    <w:rFonts w:ascii="Cambria Math" w:hAnsi="Cambria Math"/>
                                    <w:i/>
                                    <w:szCs w:val="22"/>
                                  </w:rPr>
                                </m:ctrlPr>
                              </m:accPr>
                              <m:e>
                                <m:r>
                                  <w:rPr>
                                    <w:rFonts w:ascii="Cambria Math" w:hAnsi="Cambria Math"/>
                                    <w:szCs w:val="22"/>
                                  </w:rPr>
                                  <m:t>H</m:t>
                                </m:r>
                              </m:e>
                            </m:acc>
                          </m:e>
                          <m:sup>
                            <m:r>
                              <w:rPr>
                                <w:rFonts w:ascii="Cambria Math" w:hAnsi="Cambria Math"/>
                                <w:szCs w:val="22"/>
                              </w:rPr>
                              <m:t>2</m:t>
                            </m:r>
                          </m:sup>
                        </m:sSup>
                      </m:den>
                    </m:f>
                    <m:r>
                      <w:rPr>
                        <w:rFonts w:ascii="Cambria Math" w:hAnsi="Cambria Math"/>
                        <w:szCs w:val="22"/>
                      </w:rPr>
                      <m:t>+</m:t>
                    </m:r>
                    <m:f>
                      <m:fPr>
                        <m:ctrlPr>
                          <w:rPr>
                            <w:rFonts w:ascii="Cambria Math" w:hAnsi="Cambria Math"/>
                            <w:i/>
                            <w:szCs w:val="22"/>
                          </w:rPr>
                        </m:ctrlPr>
                      </m:fPr>
                      <m:num>
                        <m:r>
                          <w:rPr>
                            <w:rFonts w:ascii="Cambria Math" w:hAnsi="Cambria Math"/>
                            <w:szCs w:val="22"/>
                          </w:rPr>
                          <m:t>var(</m:t>
                        </m:r>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U</m:t>
                            </m:r>
                          </m:sub>
                        </m:sSub>
                        <m:r>
                          <w:rPr>
                            <w:rFonts w:ascii="Cambria Math" w:hAnsi="Cambria Math"/>
                            <w:szCs w:val="22"/>
                          </w:rPr>
                          <m:t>)</m:t>
                        </m:r>
                        <m:sSup>
                          <m:sSupPr>
                            <m:ctrlPr>
                              <w:rPr>
                                <w:rFonts w:ascii="Cambria Math" w:hAnsi="Cambria Math"/>
                                <w:i/>
                                <w:szCs w:val="22"/>
                              </w:rPr>
                            </m:ctrlPr>
                          </m:sSupPr>
                          <m:e>
                            <m:d>
                              <m:dPr>
                                <m:begChr m:val="["/>
                                <m:endChr m:val="]"/>
                                <m:ctrlPr>
                                  <w:rPr>
                                    <w:rFonts w:ascii="Cambria Math" w:hAnsi="Cambria Math"/>
                                    <w:i/>
                                    <w:szCs w:val="22"/>
                                  </w:rPr>
                                </m:ctrlPr>
                              </m:dPr>
                              <m:e>
                                <m:sSub>
                                  <m:sSubPr>
                                    <m:ctrlPr>
                                      <w:rPr>
                                        <w:rFonts w:ascii="Cambria Math" w:hAnsi="Cambria Math"/>
                                        <w:i/>
                                        <w:szCs w:val="22"/>
                                      </w:rPr>
                                    </m:ctrlPr>
                                  </m:sSubPr>
                                  <m:e>
                                    <m:acc>
                                      <m:accPr>
                                        <m:ctrlPr>
                                          <w:rPr>
                                            <w:rFonts w:ascii="Cambria Math" w:hAnsi="Cambria Math"/>
                                            <w:i/>
                                            <w:szCs w:val="22"/>
                                          </w:rPr>
                                        </m:ctrlPr>
                                      </m:accPr>
                                      <m:e>
                                        <m:acc>
                                          <m:accPr>
                                            <m:chr m:val="̅"/>
                                            <m:ctrlPr>
                                              <w:rPr>
                                                <w:rFonts w:ascii="Cambria Math" w:hAnsi="Cambria Math"/>
                                                <w:i/>
                                                <w:szCs w:val="22"/>
                                              </w:rPr>
                                            </m:ctrlPr>
                                          </m:accPr>
                                          <m:e>
                                            <m:r>
                                              <w:rPr>
                                                <w:rFonts w:ascii="Cambria Math" w:hAnsi="Cambria Math"/>
                                                <w:szCs w:val="22"/>
                                              </w:rPr>
                                              <m:t>w</m:t>
                                            </m:r>
                                          </m:e>
                                        </m:acc>
                                      </m:e>
                                    </m:acc>
                                  </m:e>
                                  <m:sub>
                                    <m:r>
                                      <w:rPr>
                                        <w:rFonts w:ascii="Cambria Math" w:hAnsi="Cambria Math"/>
                                        <w:szCs w:val="22"/>
                                      </w:rPr>
                                      <m:t>U</m:t>
                                    </m:r>
                                  </m:sub>
                                </m:sSub>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C</m:t>
                                    </m:r>
                                  </m:sub>
                                </m:sSub>
                                <m:r>
                                  <w:rPr>
                                    <w:rFonts w:ascii="Cambria Math" w:hAnsi="Cambria Math"/>
                                    <w:szCs w:val="22"/>
                                  </w:rPr>
                                  <m:t>-</m:t>
                                </m:r>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Y</m:t>
                                        </m:r>
                                      </m:e>
                                    </m:acc>
                                  </m:e>
                                  <m:sub>
                                    <m:r>
                                      <w:rPr>
                                        <w:rFonts w:ascii="Cambria Math" w:hAnsi="Cambria Math"/>
                                        <w:szCs w:val="22"/>
                                      </w:rPr>
                                      <m:t>C</m:t>
                                    </m:r>
                                  </m:sub>
                                </m:sSub>
                              </m:e>
                            </m:d>
                          </m:e>
                          <m:sup>
                            <m:r>
                              <w:rPr>
                                <w:rFonts w:ascii="Cambria Math" w:hAnsi="Cambria Math"/>
                                <w:szCs w:val="22"/>
                              </w:rPr>
                              <m:t>2</m:t>
                            </m:r>
                          </m:sup>
                        </m:sSup>
                      </m:num>
                      <m:den>
                        <m:sSup>
                          <m:sSupPr>
                            <m:ctrlPr>
                              <w:rPr>
                                <w:rFonts w:ascii="Cambria Math" w:hAnsi="Cambria Math"/>
                                <w:i/>
                                <w:szCs w:val="22"/>
                              </w:rPr>
                            </m:ctrlPr>
                          </m:sSupPr>
                          <m:e>
                            <m:acc>
                              <m:accPr>
                                <m:ctrlPr>
                                  <w:rPr>
                                    <w:rFonts w:ascii="Cambria Math" w:hAnsi="Cambria Math"/>
                                    <w:i/>
                                    <w:szCs w:val="22"/>
                                  </w:rPr>
                                </m:ctrlPr>
                              </m:accPr>
                              <m:e>
                                <m:r>
                                  <w:rPr>
                                    <w:rFonts w:ascii="Cambria Math" w:hAnsi="Cambria Math"/>
                                    <w:szCs w:val="22"/>
                                  </w:rPr>
                                  <m:t>H</m:t>
                                </m:r>
                              </m:e>
                            </m:acc>
                          </m:e>
                          <m:sup>
                            <m:r>
                              <w:rPr>
                                <w:rFonts w:ascii="Cambria Math" w:hAnsi="Cambria Math"/>
                                <w:szCs w:val="22"/>
                              </w:rPr>
                              <m:t>2</m:t>
                            </m:r>
                          </m:sup>
                        </m:sSup>
                      </m:den>
                    </m:f>
                    <m:r>
                      <w:rPr>
                        <w:rFonts w:ascii="Cambria Math" w:hAnsi="Cambria Math"/>
                        <w:szCs w:val="22"/>
                      </w:rPr>
                      <m:t>+var(</m:t>
                    </m:r>
                    <m:sSub>
                      <m:sSubPr>
                        <m:ctrlPr>
                          <w:rPr>
                            <w:rFonts w:ascii="Cambria Math" w:hAnsi="Cambria Math"/>
                            <w:i/>
                            <w:szCs w:val="22"/>
                          </w:rPr>
                        </m:ctrlPr>
                      </m:sSubPr>
                      <m:e>
                        <m:acc>
                          <m:accPr>
                            <m:ctrlPr>
                              <w:rPr>
                                <w:rFonts w:ascii="Cambria Math" w:hAnsi="Cambria Math"/>
                                <w:i/>
                                <w:szCs w:val="22"/>
                              </w:rPr>
                            </m:ctrlPr>
                          </m:accPr>
                          <m:e>
                            <m:acc>
                              <m:accPr>
                                <m:chr m:val="̅"/>
                                <m:ctrlPr>
                                  <w:rPr>
                                    <w:rFonts w:ascii="Cambria Math" w:hAnsi="Cambria Math"/>
                                    <w:i/>
                                    <w:szCs w:val="22"/>
                                  </w:rPr>
                                </m:ctrlPr>
                              </m:accPr>
                              <m:e>
                                <m:r>
                                  <w:rPr>
                                    <w:rFonts w:ascii="Cambria Math" w:hAnsi="Cambria Math"/>
                                    <w:szCs w:val="22"/>
                                  </w:rPr>
                                  <m:t>w</m:t>
                                </m:r>
                              </m:e>
                            </m:acc>
                          </m:e>
                        </m:acc>
                      </m:e>
                      <m:sub>
                        <m:r>
                          <w:rPr>
                            <w:rFonts w:ascii="Cambria Math" w:hAnsi="Cambria Math"/>
                            <w:szCs w:val="22"/>
                          </w:rPr>
                          <m:t>C</m:t>
                        </m:r>
                      </m:sub>
                    </m:sSub>
                    <m:r>
                      <w:rPr>
                        <w:rFonts w:ascii="Cambria Math" w:hAnsi="Cambria Math"/>
                        <w:szCs w:val="22"/>
                      </w:rPr>
                      <m:t>)</m:t>
                    </m:r>
                    <m:sSubSup>
                      <m:sSubSupPr>
                        <m:ctrlPr>
                          <w:rPr>
                            <w:rFonts w:ascii="Cambria Math" w:hAnsi="Cambria Math"/>
                            <w:i/>
                            <w:szCs w:val="22"/>
                          </w:rPr>
                        </m:ctrlPr>
                      </m:sSubSup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C</m:t>
                        </m:r>
                      </m:sub>
                      <m:sup>
                        <m:r>
                          <w:rPr>
                            <w:rFonts w:ascii="Cambria Math" w:hAnsi="Cambria Math"/>
                            <w:szCs w:val="22"/>
                          </w:rPr>
                          <m:t>2</m:t>
                        </m:r>
                      </m:sup>
                    </m:sSubSup>
                    <m:r>
                      <w:rPr>
                        <w:rFonts w:ascii="Cambria Math" w:hAnsi="Cambria Math"/>
                        <w:szCs w:val="22"/>
                      </w:rPr>
                      <m:t>+var(</m:t>
                    </m:r>
                    <m:sSub>
                      <m:sSubPr>
                        <m:ctrlPr>
                          <w:rPr>
                            <w:rFonts w:ascii="Cambria Math" w:hAnsi="Cambria Math"/>
                            <w:i/>
                            <w:szCs w:val="22"/>
                          </w:rPr>
                        </m:ctrlPr>
                      </m:sSubPr>
                      <m:e>
                        <m:acc>
                          <m:accPr>
                            <m:ctrlPr>
                              <w:rPr>
                                <w:rFonts w:ascii="Cambria Math" w:hAnsi="Cambria Math"/>
                                <w:i/>
                                <w:szCs w:val="22"/>
                              </w:rPr>
                            </m:ctrlPr>
                          </m:accPr>
                          <m:e>
                            <m:acc>
                              <m:accPr>
                                <m:chr m:val="̅"/>
                                <m:ctrlPr>
                                  <w:rPr>
                                    <w:rFonts w:ascii="Cambria Math" w:hAnsi="Cambria Math"/>
                                    <w:i/>
                                    <w:szCs w:val="22"/>
                                  </w:rPr>
                                </m:ctrlPr>
                              </m:accPr>
                              <m:e>
                                <m:r>
                                  <w:rPr>
                                    <w:rFonts w:ascii="Cambria Math" w:hAnsi="Cambria Math"/>
                                    <w:szCs w:val="22"/>
                                  </w:rPr>
                                  <m:t>w</m:t>
                                </m:r>
                              </m:e>
                            </m:acc>
                          </m:e>
                        </m:acc>
                      </m:e>
                      <m:sub>
                        <m:r>
                          <w:rPr>
                            <w:rFonts w:ascii="Cambria Math" w:hAnsi="Cambria Math"/>
                            <w:szCs w:val="22"/>
                          </w:rPr>
                          <m:t>U</m:t>
                        </m:r>
                      </m:sub>
                    </m:sSub>
                    <m:r>
                      <w:rPr>
                        <w:rFonts w:ascii="Cambria Math" w:hAnsi="Cambria Math"/>
                        <w:szCs w:val="22"/>
                      </w:rPr>
                      <m:t>)</m:t>
                    </m:r>
                    <m:sSubSup>
                      <m:sSubSupPr>
                        <m:ctrlPr>
                          <w:rPr>
                            <w:rFonts w:ascii="Cambria Math" w:hAnsi="Cambria Math"/>
                            <w:i/>
                            <w:szCs w:val="22"/>
                          </w:rPr>
                        </m:ctrlPr>
                      </m:sSubSup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U</m:t>
                        </m:r>
                      </m:sub>
                      <m:sup>
                        <m:r>
                          <w:rPr>
                            <w:rFonts w:ascii="Cambria Math" w:hAnsi="Cambria Math"/>
                            <w:szCs w:val="22"/>
                          </w:rPr>
                          <m:t>2</m:t>
                        </m:r>
                      </m:sup>
                    </m:sSubSup>
                  </m:e>
                </m:d>
                <m:r>
                  <w:rPr>
                    <w:rFonts w:ascii="Cambria Math" w:hAnsi="Cambria Math"/>
                    <w:szCs w:val="22"/>
                  </w:rPr>
                  <m:t>,</m:t>
                </m:r>
                <w:commentRangeEnd w:id="34"/>
                <m:r>
                  <m:rPr>
                    <m:sty m:val="p"/>
                  </m:rPr>
                  <w:rPr>
                    <w:rStyle w:val="CommentReference"/>
                  </w:rPr>
                  <w:commentReference w:id="34"/>
                </m:r>
              </m:oMath>
            </m:oMathPara>
          </w:p>
        </w:tc>
        <w:tc>
          <w:tcPr>
            <w:tcW w:w="738" w:type="dxa"/>
            <w:vAlign w:val="center"/>
          </w:tcPr>
          <w:p w14:paraId="789A6EEC" w14:textId="77777777" w:rsidR="00965B86" w:rsidRPr="00965B86" w:rsidRDefault="00965B86" w:rsidP="00965B86">
            <w:pPr>
              <w:rPr>
                <w:szCs w:val="22"/>
              </w:rPr>
            </w:pPr>
            <w:r w:rsidRPr="00965B86">
              <w:rPr>
                <w:szCs w:val="22"/>
              </w:rPr>
              <w:t>(6)</w:t>
            </w:r>
          </w:p>
        </w:tc>
      </w:tr>
    </w:tbl>
    <w:p w14:paraId="6F351973" w14:textId="5D2611B0" w:rsidR="00965B86" w:rsidRPr="00965B86" w:rsidRDefault="00965B86" w:rsidP="00965B86">
      <w:pPr>
        <w:rPr>
          <w:szCs w:val="22"/>
        </w:rPr>
      </w:pPr>
      <w:r w:rsidRPr="00965B86">
        <w:rPr>
          <w:szCs w:val="22"/>
        </w:rPr>
        <w:t xml:space="preserve">where subscripts </w:t>
      </w:r>
      <w:r w:rsidRPr="00965B86">
        <w:rPr>
          <w:i/>
          <w:szCs w:val="22"/>
        </w:rPr>
        <w:t>C</w:t>
      </w:r>
      <w:r w:rsidRPr="00965B86">
        <w:rPr>
          <w:szCs w:val="22"/>
        </w:rPr>
        <w:t xml:space="preserve"> and </w:t>
      </w:r>
      <w:r>
        <w:rPr>
          <w:i/>
          <w:szCs w:val="22"/>
        </w:rPr>
        <w:t>U</w:t>
      </w:r>
      <w:r w:rsidRPr="00965B86">
        <w:rPr>
          <w:szCs w:val="22"/>
        </w:rPr>
        <w:t xml:space="preserve"> index the charter and </w:t>
      </w:r>
      <w:r>
        <w:rPr>
          <w:szCs w:val="22"/>
        </w:rPr>
        <w:t>unguided</w:t>
      </w:r>
      <w:r w:rsidRPr="00965B86">
        <w:rPr>
          <w:szCs w:val="22"/>
        </w:rPr>
        <w:t xml:space="preserve"> sectors, respectively. </w:t>
      </w:r>
    </w:p>
    <w:p w14:paraId="55A8E81D" w14:textId="77777777" w:rsidR="00965B86" w:rsidRPr="00965B86" w:rsidRDefault="00965B86" w:rsidP="00A8418B">
      <w:pPr>
        <w:pStyle w:val="Heading3"/>
        <w:rPr>
          <w:b w:val="0"/>
          <w:bCs/>
          <w:color w:val="000000" w:themeColor="text1"/>
        </w:rPr>
      </w:pPr>
    </w:p>
    <w:p w14:paraId="5F27A33F" w14:textId="3581F536" w:rsidR="00A8418B" w:rsidRPr="00D873E2" w:rsidRDefault="008824EB" w:rsidP="00A8418B">
      <w:pPr>
        <w:pStyle w:val="Heading3"/>
        <w:rPr>
          <w:color w:val="000000" w:themeColor="text1"/>
        </w:rPr>
      </w:pPr>
      <w:r>
        <w:rPr>
          <w:color w:val="000000" w:themeColor="text1"/>
        </w:rPr>
        <w:t>Secondary Objective 1</w:t>
      </w:r>
      <w:r w:rsidR="00A8418B" w:rsidRPr="00D873E2">
        <w:rPr>
          <w:color w:val="000000" w:themeColor="text1"/>
        </w:rPr>
        <w:t xml:space="preserve">: Produce preliminary estimates, or projections, of charter and </w:t>
      </w:r>
      <w:r w:rsidR="00A04F70" w:rsidRPr="00D873E2">
        <w:rPr>
          <w:color w:val="000000" w:themeColor="text1"/>
        </w:rPr>
        <w:t>unguided</w:t>
      </w:r>
      <w:r w:rsidR="00A8418B" w:rsidRPr="00D873E2">
        <w:rPr>
          <w:color w:val="000000" w:themeColor="text1"/>
        </w:rPr>
        <w:t xml:space="preserve"> </w:t>
      </w:r>
      <w:r w:rsidR="00EE333D" w:rsidRPr="00D873E2">
        <w:rPr>
          <w:color w:val="000000" w:themeColor="text1"/>
        </w:rPr>
        <w:t xml:space="preserve">halibut </w:t>
      </w:r>
      <w:r w:rsidR="00B56656" w:rsidRPr="00D873E2">
        <w:rPr>
          <w:color w:val="000000" w:themeColor="text1"/>
        </w:rPr>
        <w:t xml:space="preserve">harvest, release, and </w:t>
      </w:r>
      <w:r w:rsidR="00EE333D" w:rsidRPr="00D873E2">
        <w:rPr>
          <w:color w:val="000000" w:themeColor="text1"/>
        </w:rPr>
        <w:t>yield</w:t>
      </w:r>
      <w:r w:rsidR="00A8418B" w:rsidRPr="00D873E2">
        <w:rPr>
          <w:color w:val="000000" w:themeColor="text1"/>
        </w:rPr>
        <w:t xml:space="preserve"> in Areas 2C and 3A for the current year.</w:t>
      </w:r>
      <w:bookmarkEnd w:id="33"/>
    </w:p>
    <w:p w14:paraId="0EAE9835" w14:textId="656E29DD" w:rsidR="00A8418B" w:rsidRPr="00ED23EC" w:rsidRDefault="00A8418B" w:rsidP="009B03F1">
      <w:pPr>
        <w:rPr>
          <w:color w:val="000000" w:themeColor="text1"/>
        </w:rPr>
      </w:pPr>
      <w:r w:rsidRPr="00D873E2">
        <w:rPr>
          <w:color w:val="000000" w:themeColor="text1"/>
        </w:rPr>
        <w:t xml:space="preserve">Projections of halibut </w:t>
      </w:r>
      <w:r w:rsidR="009817A6" w:rsidRPr="00D873E2">
        <w:rPr>
          <w:color w:val="000000" w:themeColor="text1"/>
        </w:rPr>
        <w:t xml:space="preserve">yield </w:t>
      </w:r>
      <w:r w:rsidRPr="00D873E2">
        <w:rPr>
          <w:color w:val="000000" w:themeColor="text1"/>
        </w:rPr>
        <w:t xml:space="preserve">during the current year must be calculated in October for use in the IPHC stock assessment model and to develop IPHC staff recommendations for catch limits. </w:t>
      </w:r>
      <w:r w:rsidR="00EE333D" w:rsidRPr="00D873E2">
        <w:rPr>
          <w:color w:val="000000" w:themeColor="text1"/>
        </w:rPr>
        <w:t>In addition, these preliminary estimates are incorporated into projections of discard mortality (</w:t>
      </w:r>
      <w:r w:rsidR="001D333E">
        <w:rPr>
          <w:color w:val="000000" w:themeColor="text1"/>
        </w:rPr>
        <w:t xml:space="preserve">Secondary </w:t>
      </w:r>
      <w:r w:rsidR="00EE333D" w:rsidRPr="00D873E2">
        <w:rPr>
          <w:color w:val="000000" w:themeColor="text1"/>
        </w:rPr>
        <w:t xml:space="preserve">Objective </w:t>
      </w:r>
      <w:r w:rsidR="001D333E">
        <w:rPr>
          <w:color w:val="000000" w:themeColor="text1"/>
        </w:rPr>
        <w:t>3</w:t>
      </w:r>
      <w:r w:rsidR="00EE333D" w:rsidRPr="00D873E2">
        <w:rPr>
          <w:color w:val="000000" w:themeColor="text1"/>
        </w:rPr>
        <w:t xml:space="preserve">) and forecasts of charter </w:t>
      </w:r>
      <w:r w:rsidR="009817A6" w:rsidRPr="00D873E2">
        <w:rPr>
          <w:color w:val="000000" w:themeColor="text1"/>
        </w:rPr>
        <w:t>yield</w:t>
      </w:r>
      <w:r w:rsidR="00EE333D" w:rsidRPr="00D873E2">
        <w:rPr>
          <w:color w:val="000000" w:themeColor="text1"/>
        </w:rPr>
        <w:t xml:space="preserve"> for the coming year that are used to evaluate alternative charter management </w:t>
      </w:r>
      <w:r w:rsidR="00EE333D" w:rsidRPr="00963C90">
        <w:rPr>
          <w:color w:val="000000" w:themeColor="text1"/>
        </w:rPr>
        <w:t>measures (</w:t>
      </w:r>
      <w:r w:rsidR="001D333E" w:rsidRPr="00963C90">
        <w:rPr>
          <w:color w:val="000000" w:themeColor="text1"/>
        </w:rPr>
        <w:t>Webster and Powers 2018</w:t>
      </w:r>
      <w:r w:rsidR="00EE333D" w:rsidRPr="00963C90">
        <w:rPr>
          <w:color w:val="000000" w:themeColor="text1"/>
        </w:rPr>
        <w:t xml:space="preserve">). </w:t>
      </w:r>
      <w:r w:rsidRPr="00963C90">
        <w:rPr>
          <w:color w:val="000000" w:themeColor="text1"/>
        </w:rPr>
        <w:t>Estimates</w:t>
      </w:r>
      <w:r w:rsidRPr="00ED23EC">
        <w:rPr>
          <w:color w:val="000000" w:themeColor="text1"/>
        </w:rPr>
        <w:t xml:space="preserve"> must be calculated by </w:t>
      </w:r>
      <w:r w:rsidR="00631984" w:rsidRPr="00ED23EC">
        <w:rPr>
          <w:color w:val="000000" w:themeColor="text1"/>
        </w:rPr>
        <w:t>sector</w:t>
      </w:r>
      <w:r w:rsidRPr="00ED23EC">
        <w:rPr>
          <w:color w:val="000000" w:themeColor="text1"/>
        </w:rPr>
        <w:t xml:space="preserve"> because harvest in the charter and </w:t>
      </w:r>
      <w:r w:rsidR="00A04F70" w:rsidRPr="00ED23EC">
        <w:rPr>
          <w:color w:val="000000" w:themeColor="text1"/>
        </w:rPr>
        <w:t>unguided</w:t>
      </w:r>
      <w:r w:rsidRPr="00ED23EC">
        <w:rPr>
          <w:color w:val="000000" w:themeColor="text1"/>
        </w:rPr>
        <w:t xml:space="preserve"> sectors is handled differently in terms of catch limits. Although estimates of mean weight are available by October of each year, </w:t>
      </w:r>
      <w:r w:rsidR="009817A6" w:rsidRPr="00ED23EC">
        <w:rPr>
          <w:color w:val="000000" w:themeColor="text1"/>
        </w:rPr>
        <w:t xml:space="preserve">charter </w:t>
      </w:r>
      <w:r w:rsidR="00207639" w:rsidRPr="00ED23EC">
        <w:rPr>
          <w:color w:val="000000" w:themeColor="text1"/>
        </w:rPr>
        <w:t xml:space="preserve">logbook data are incomplete and </w:t>
      </w:r>
      <w:r w:rsidRPr="00ED23EC">
        <w:rPr>
          <w:color w:val="000000" w:themeColor="text1"/>
        </w:rPr>
        <w:t xml:space="preserve">there is no estimate of the current year’s </w:t>
      </w:r>
      <w:r w:rsidR="00A04F70" w:rsidRPr="00ED23EC">
        <w:rPr>
          <w:color w:val="000000" w:themeColor="text1"/>
        </w:rPr>
        <w:t>unguided</w:t>
      </w:r>
      <w:r w:rsidR="00207639" w:rsidRPr="00ED23EC">
        <w:rPr>
          <w:color w:val="000000" w:themeColor="text1"/>
        </w:rPr>
        <w:t xml:space="preserve"> </w:t>
      </w:r>
      <w:r w:rsidRPr="00ED23EC">
        <w:rPr>
          <w:color w:val="000000" w:themeColor="text1"/>
        </w:rPr>
        <w:t xml:space="preserve">harvest (in numbers of fish) available from </w:t>
      </w:r>
      <w:r w:rsidR="00207639" w:rsidRPr="00ED23EC">
        <w:rPr>
          <w:color w:val="000000" w:themeColor="text1"/>
        </w:rPr>
        <w:t>the</w:t>
      </w:r>
      <w:r w:rsidRPr="00ED23EC">
        <w:rPr>
          <w:color w:val="000000" w:themeColor="text1"/>
        </w:rPr>
        <w:t xml:space="preserve"> SWHS</w:t>
      </w:r>
      <w:r w:rsidR="00207639" w:rsidRPr="00ED23EC">
        <w:rPr>
          <w:color w:val="000000" w:themeColor="text1"/>
        </w:rPr>
        <w:t>. In addition, there is no index from creel sampling that c</w:t>
      </w:r>
      <w:r w:rsidR="00B75C8E" w:rsidRPr="00ED23EC">
        <w:rPr>
          <w:color w:val="000000" w:themeColor="text1"/>
        </w:rPr>
        <w:t>an</w:t>
      </w:r>
      <w:r w:rsidR="00207639" w:rsidRPr="00ED23EC">
        <w:rPr>
          <w:color w:val="000000" w:themeColor="text1"/>
        </w:rPr>
        <w:t xml:space="preserve"> be used to estimate charter or </w:t>
      </w:r>
      <w:r w:rsidR="00A04F70" w:rsidRPr="00ED23EC">
        <w:rPr>
          <w:color w:val="000000" w:themeColor="text1"/>
        </w:rPr>
        <w:t>unguided</w:t>
      </w:r>
      <w:r w:rsidR="00207639" w:rsidRPr="00ED23EC">
        <w:rPr>
          <w:color w:val="000000" w:themeColor="text1"/>
        </w:rPr>
        <w:t xml:space="preserve"> harvest </w:t>
      </w:r>
      <w:r w:rsidR="00ED23EC" w:rsidRPr="00ED23EC">
        <w:rPr>
          <w:color w:val="000000" w:themeColor="text1"/>
        </w:rPr>
        <w:t>in season</w:t>
      </w:r>
      <w:r w:rsidR="00207639" w:rsidRPr="00ED23EC">
        <w:rPr>
          <w:color w:val="000000" w:themeColor="text1"/>
        </w:rPr>
        <w:t>.</w:t>
      </w:r>
    </w:p>
    <w:p w14:paraId="5B11E771" w14:textId="77777777" w:rsidR="00A8418B" w:rsidRPr="00EE48C5" w:rsidRDefault="00A8418B" w:rsidP="009B03F1">
      <w:pPr>
        <w:rPr>
          <w:u w:val="single"/>
        </w:rPr>
      </w:pPr>
      <w:r w:rsidRPr="00EE48C5">
        <w:rPr>
          <w:u w:val="single"/>
        </w:rPr>
        <w:t>Charter Harvest:</w:t>
      </w:r>
    </w:p>
    <w:p w14:paraId="76AB110F" w14:textId="417B7919" w:rsidR="00E707E8" w:rsidRPr="00ED23EC" w:rsidRDefault="00B75C8E" w:rsidP="00E707E8">
      <w:r w:rsidRPr="00ED23EC">
        <w:t xml:space="preserve">Methods of projecting charter harvest for the current year have evolved as new types of data have come available. </w:t>
      </w:r>
      <w:r w:rsidR="00207639" w:rsidRPr="00ED23EC">
        <w:t>Beginning in 2014, the ADF&amp;G logbook is the preferred data for counting charter harvest</w:t>
      </w:r>
      <w:r w:rsidR="0044526F" w:rsidRPr="00ED23EC">
        <w:t xml:space="preserve">, and there is no longer a need to project SWHS estimates of charter harvest. </w:t>
      </w:r>
      <w:r w:rsidR="00E707E8" w:rsidRPr="00ED23EC">
        <w:t>T</w:t>
      </w:r>
      <w:r w:rsidR="0044526F" w:rsidRPr="00ED23EC">
        <w:t xml:space="preserve">he proportion of harvest taken </w:t>
      </w:r>
      <w:r w:rsidR="00FA3A28" w:rsidRPr="00ED23EC">
        <w:t>through July is relatively consistent among years</w:t>
      </w:r>
      <w:r w:rsidR="00E707E8" w:rsidRPr="00ED23EC">
        <w:t>, but there appear to be weak trends in some subareas. Trends in the proportion of harvest through July would add system</w:t>
      </w:r>
      <w:r w:rsidR="004501BF" w:rsidRPr="00ED23EC">
        <w:t>a</w:t>
      </w:r>
      <w:r w:rsidR="00E707E8" w:rsidRPr="00ED23EC">
        <w:t xml:space="preserve">tic error to predictions based on linear models such as regression. A simple and flexible approach is to simply expand the harvest through July to an annual total based on a forecast of the proportion of harvest through July. </w:t>
      </w:r>
    </w:p>
    <w:p w14:paraId="1BBA7040" w14:textId="77777777" w:rsidR="00E707E8" w:rsidRPr="00ED23EC" w:rsidRDefault="00E707E8" w:rsidP="00E707E8">
      <w:r w:rsidRPr="00ED23EC">
        <w:t xml:space="preserve">Charter harvest for the current year will be projected </w:t>
      </w:r>
      <w:r w:rsidR="00646B12" w:rsidRPr="00ED23EC">
        <w:t xml:space="preserve">for each subarea </w:t>
      </w:r>
      <w:r w:rsidRPr="00ED23EC">
        <w:t>using:</w:t>
      </w:r>
    </w:p>
    <w:tbl>
      <w:tblPr>
        <w:tblW w:w="0" w:type="auto"/>
        <w:tblLook w:val="00A0" w:firstRow="1" w:lastRow="0" w:firstColumn="1" w:lastColumn="0" w:noHBand="0" w:noVBand="0"/>
      </w:tblPr>
      <w:tblGrid>
        <w:gridCol w:w="915"/>
        <w:gridCol w:w="7712"/>
        <w:gridCol w:w="733"/>
      </w:tblGrid>
      <w:tr w:rsidR="00E707E8" w:rsidRPr="00ED23EC" w14:paraId="73EE467C" w14:textId="77777777" w:rsidTr="00646B12">
        <w:trPr>
          <w:trHeight w:val="432"/>
        </w:trPr>
        <w:tc>
          <w:tcPr>
            <w:tcW w:w="8838" w:type="dxa"/>
            <w:gridSpan w:val="2"/>
            <w:vAlign w:val="bottom"/>
          </w:tcPr>
          <w:p w14:paraId="5A710E35" w14:textId="46D2D717" w:rsidR="00E707E8" w:rsidRPr="00ED23EC" w:rsidRDefault="000B0B97" w:rsidP="00646B12">
            <w:pPr>
              <w:jc w:val="cente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Ca</m:t>
                    </m:r>
                  </m:sub>
                </m:sSub>
                <m:r>
                  <w:rPr>
                    <w:rFonts w:ascii="Cambria Math"/>
                  </w:rPr>
                  <m:t>=</m:t>
                </m:r>
                <m:sSub>
                  <m:sSubPr>
                    <m:ctrlPr>
                      <w:rPr>
                        <w:rFonts w:ascii="Cambria Math" w:hAnsi="Cambria Math"/>
                      </w:rPr>
                    </m:ctrlPr>
                  </m:sSubPr>
                  <m:e>
                    <m:r>
                      <m:rPr>
                        <m:sty m:val="p"/>
                      </m:rPr>
                      <w:rPr>
                        <w:rFonts w:ascii="Cambria Math"/>
                      </w:rPr>
                      <m:t>H</m:t>
                    </m:r>
                  </m:e>
                  <m:sub>
                    <m:r>
                      <m:rPr>
                        <m:sty m:val="p"/>
                      </m:rPr>
                      <w:rPr>
                        <w:rFonts w:ascii="Cambria Math"/>
                      </w:rPr>
                      <m:t>Ja</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Ja</m:t>
                    </m:r>
                  </m:sub>
                </m:sSub>
              </m:oMath>
            </m:oMathPara>
          </w:p>
        </w:tc>
        <w:tc>
          <w:tcPr>
            <w:tcW w:w="738" w:type="dxa"/>
            <w:vAlign w:val="bottom"/>
          </w:tcPr>
          <w:p w14:paraId="3E3AE19E" w14:textId="30144EE3" w:rsidR="00E707E8" w:rsidRPr="00ED23EC" w:rsidRDefault="00E707E8" w:rsidP="00646B12">
            <w:pPr>
              <w:jc w:val="center"/>
            </w:pPr>
            <w:r w:rsidRPr="00ED23EC">
              <w:t>(</w:t>
            </w:r>
            <w:r w:rsidR="00087E63">
              <w:t>7</w:t>
            </w:r>
            <w:r w:rsidRPr="00ED23EC">
              <w:t>)</w:t>
            </w:r>
          </w:p>
        </w:tc>
      </w:tr>
      <w:tr w:rsidR="00E707E8" w:rsidRPr="00ED23EC" w14:paraId="3C5C9EE0" w14:textId="77777777" w:rsidTr="00E707E8">
        <w:tc>
          <w:tcPr>
            <w:tcW w:w="918" w:type="dxa"/>
            <w:vAlign w:val="center"/>
          </w:tcPr>
          <w:p w14:paraId="1712E5F4" w14:textId="77777777" w:rsidR="00E707E8" w:rsidRPr="00ED23EC" w:rsidRDefault="008A3DA3" w:rsidP="00E707E8">
            <w:r w:rsidRPr="00ED23EC">
              <w:t>w</w:t>
            </w:r>
            <w:r w:rsidR="00E707E8" w:rsidRPr="00ED23EC">
              <w:t>here</w:t>
            </w:r>
          </w:p>
        </w:tc>
        <w:tc>
          <w:tcPr>
            <w:tcW w:w="8658" w:type="dxa"/>
            <w:gridSpan w:val="2"/>
            <w:vAlign w:val="center"/>
          </w:tcPr>
          <w:p w14:paraId="4B0C927D" w14:textId="77777777" w:rsidR="00E707E8" w:rsidRPr="00ED23EC" w:rsidRDefault="00E707E8" w:rsidP="00E707E8"/>
        </w:tc>
      </w:tr>
      <w:tr w:rsidR="00E707E8" w:rsidRPr="00ED23EC" w14:paraId="11A8C6D7" w14:textId="77777777" w:rsidTr="00E707E8">
        <w:tc>
          <w:tcPr>
            <w:tcW w:w="918" w:type="dxa"/>
            <w:vAlign w:val="center"/>
          </w:tcPr>
          <w:p w14:paraId="4847CC91" w14:textId="77777777" w:rsidR="00E707E8" w:rsidRPr="00ED23EC" w:rsidRDefault="000B0B97" w:rsidP="00646B12">
            <m:oMathPara>
              <m:oMath>
                <m:sSub>
                  <m:sSubPr>
                    <m:ctrlPr>
                      <w:rPr>
                        <w:rFonts w:ascii="Cambria Math" w:hAnsi="Cambria Math"/>
                      </w:rPr>
                    </m:ctrlPr>
                  </m:sSubPr>
                  <m:e>
                    <m:r>
                      <m:rPr>
                        <m:sty m:val="p"/>
                      </m:rPr>
                      <w:rPr>
                        <w:rFonts w:ascii="Cambria Math"/>
                      </w:rPr>
                      <m:t>H</m:t>
                    </m:r>
                  </m:e>
                  <m:sub>
                    <m:r>
                      <m:rPr>
                        <m:sty m:val="p"/>
                      </m:rPr>
                      <w:rPr>
                        <w:rFonts w:ascii="Cambria Math"/>
                      </w:rPr>
                      <m:t>Ja</m:t>
                    </m:r>
                  </m:sub>
                </m:sSub>
              </m:oMath>
            </m:oMathPara>
          </w:p>
        </w:tc>
        <w:tc>
          <w:tcPr>
            <w:tcW w:w="8658" w:type="dxa"/>
            <w:gridSpan w:val="2"/>
            <w:vAlign w:val="center"/>
          </w:tcPr>
          <w:p w14:paraId="057FC4AD" w14:textId="7BA2A374" w:rsidR="00E707E8" w:rsidRPr="00ED23EC" w:rsidRDefault="00E707E8" w:rsidP="008A3DA3">
            <w:pPr>
              <w:ind w:left="216" w:hanging="216"/>
            </w:pPr>
            <w:r w:rsidRPr="00ED23EC">
              <w:t xml:space="preserve">= total harvest of halibut reported </w:t>
            </w:r>
            <w:r w:rsidR="00646B12" w:rsidRPr="00ED23EC">
              <w:t xml:space="preserve">in logbooks </w:t>
            </w:r>
            <w:r w:rsidRPr="00ED23EC">
              <w:t>for clients, crew, and “comps”</w:t>
            </w:r>
            <w:r w:rsidR="00646B12" w:rsidRPr="00ED23EC">
              <w:t xml:space="preserve"> through July 31 in </w:t>
            </w:r>
            <w:r w:rsidRPr="00ED23EC">
              <w:t xml:space="preserve">subarea </w:t>
            </w:r>
            <w:r w:rsidRPr="00ED23EC">
              <w:rPr>
                <w:i/>
              </w:rPr>
              <w:t>a</w:t>
            </w:r>
            <w:r w:rsidRPr="00ED23EC">
              <w:t>,</w:t>
            </w:r>
          </w:p>
        </w:tc>
      </w:tr>
      <w:tr w:rsidR="00E707E8" w:rsidRPr="00534FF2" w14:paraId="271AD4BA" w14:textId="77777777" w:rsidTr="00E707E8">
        <w:trPr>
          <w:trHeight w:val="450"/>
        </w:trPr>
        <w:tc>
          <w:tcPr>
            <w:tcW w:w="918" w:type="dxa"/>
            <w:vAlign w:val="center"/>
          </w:tcPr>
          <w:p w14:paraId="12E0DD1B" w14:textId="77777777" w:rsidR="00E707E8" w:rsidRPr="00ED23EC" w:rsidRDefault="000B0B97" w:rsidP="00646B12">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Ja</m:t>
                    </m:r>
                  </m:sub>
                </m:sSub>
              </m:oMath>
            </m:oMathPara>
          </w:p>
        </w:tc>
        <w:tc>
          <w:tcPr>
            <w:tcW w:w="8658" w:type="dxa"/>
            <w:gridSpan w:val="2"/>
            <w:vAlign w:val="center"/>
          </w:tcPr>
          <w:p w14:paraId="578F14B9" w14:textId="30449890" w:rsidR="00E707E8" w:rsidRPr="00ED23EC" w:rsidRDefault="00E707E8" w:rsidP="008A3DA3">
            <w:pPr>
              <w:ind w:left="216" w:hanging="216"/>
            </w:pPr>
            <w:r w:rsidRPr="00ED23EC">
              <w:t xml:space="preserve">= the </w:t>
            </w:r>
            <w:r w:rsidR="00857748" w:rsidRPr="00ED23EC">
              <w:t xml:space="preserve">exponential time series </w:t>
            </w:r>
            <w:r w:rsidR="00646B12" w:rsidRPr="00ED23EC">
              <w:t xml:space="preserve">forecast </w:t>
            </w:r>
            <w:r w:rsidR="00A12DDF" w:rsidRPr="00ED23EC">
              <w:t xml:space="preserve">of the </w:t>
            </w:r>
            <w:r w:rsidR="00646B12" w:rsidRPr="00ED23EC">
              <w:t>proportion of charter harvest taken through July 31 of the current year</w:t>
            </w:r>
            <w:r w:rsidRPr="00ED23EC">
              <w:t xml:space="preserve"> in subarea </w:t>
            </w:r>
            <w:r w:rsidRPr="00ED23EC">
              <w:rPr>
                <w:i/>
              </w:rPr>
              <w:t>a</w:t>
            </w:r>
            <w:r w:rsidRPr="00ED23EC">
              <w:t>.</w:t>
            </w:r>
          </w:p>
        </w:tc>
      </w:tr>
    </w:tbl>
    <w:p w14:paraId="4B5F9D0A" w14:textId="4D0B264C" w:rsidR="005E5B85" w:rsidRDefault="005E5B85" w:rsidP="002A77E0">
      <w:r w:rsidRPr="00282C2A">
        <w:t>Th</w:t>
      </w:r>
      <w:r w:rsidR="002A77E0" w:rsidRPr="00282C2A">
        <w:t>e reported harvest through July 31 (</w:t>
      </w:r>
      <w:proofErr w:type="spellStart"/>
      <w:r w:rsidR="002A77E0" w:rsidRPr="00282C2A">
        <w:t>H</w:t>
      </w:r>
      <w:r w:rsidR="002A77E0" w:rsidRPr="00282C2A">
        <w:rPr>
          <w:vertAlign w:val="subscript"/>
        </w:rPr>
        <w:t>Ja</w:t>
      </w:r>
      <w:proofErr w:type="spellEnd"/>
      <w:r w:rsidR="002A77E0" w:rsidRPr="00282C2A">
        <w:t xml:space="preserve">) will be calculated for projections in October. This number </w:t>
      </w:r>
      <w:r w:rsidRPr="00282C2A">
        <w:t>may be slightly low due to logbook pages</w:t>
      </w:r>
      <w:r w:rsidR="002A77E0" w:rsidRPr="00282C2A">
        <w:t xml:space="preserve"> not yet filed</w:t>
      </w:r>
      <w:r w:rsidRPr="00282C2A">
        <w:t>. From 2011 to 201</w:t>
      </w:r>
      <w:r w:rsidR="00282C2A" w:rsidRPr="00282C2A">
        <w:t>7</w:t>
      </w:r>
      <w:r w:rsidRPr="00282C2A">
        <w:t>, the reported harvest thru July 31, as calculated in October, was an average of 1.</w:t>
      </w:r>
      <w:r w:rsidR="00282C2A" w:rsidRPr="00282C2A">
        <w:t>1</w:t>
      </w:r>
      <w:r w:rsidRPr="00282C2A">
        <w:t xml:space="preserve">% lower in Area 2C and </w:t>
      </w:r>
      <w:r w:rsidR="00282C2A" w:rsidRPr="00282C2A">
        <w:t>1</w:t>
      </w:r>
      <w:r w:rsidRPr="00282C2A">
        <w:t>.</w:t>
      </w:r>
      <w:r w:rsidR="00282C2A" w:rsidRPr="00282C2A">
        <w:t>0</w:t>
      </w:r>
      <w:r w:rsidRPr="00282C2A">
        <w:t xml:space="preserve">% lower in Area 3A than the final values based on complete logbook data. </w:t>
      </w:r>
      <w:r w:rsidR="00A12DDF" w:rsidRPr="00282C2A">
        <w:t xml:space="preserve">This is a small error </w:t>
      </w:r>
      <w:r w:rsidR="00282C2A">
        <w:t xml:space="preserve">and </w:t>
      </w:r>
      <w:r w:rsidR="00A12DDF" w:rsidRPr="00282C2A">
        <w:t xml:space="preserve">would typically result in an underestimate </w:t>
      </w:r>
      <w:r w:rsidR="00282C2A" w:rsidRPr="00282C2A">
        <w:t xml:space="preserve">of harvest </w:t>
      </w:r>
      <w:r w:rsidR="00A12DDF" w:rsidRPr="00282C2A">
        <w:t xml:space="preserve">and would be magnified when harvest through July 31 is expanded. </w:t>
      </w:r>
      <w:r w:rsidRPr="00282C2A">
        <w:t xml:space="preserve">Therefore, </w:t>
      </w:r>
      <w:r w:rsidR="00282C2A" w:rsidRPr="00282C2A">
        <w:t>harvest is</w:t>
      </w:r>
      <w:r w:rsidRPr="00282C2A">
        <w:t xml:space="preserve"> inflated </w:t>
      </w:r>
      <w:r w:rsidR="00A12DDF" w:rsidRPr="00282C2A">
        <w:t>by the recent average</w:t>
      </w:r>
      <w:r w:rsidR="002A77E0" w:rsidRPr="00282C2A">
        <w:t xml:space="preserve"> </w:t>
      </w:r>
      <w:r w:rsidRPr="00282C2A">
        <w:t xml:space="preserve">to account for late logbooks </w:t>
      </w:r>
      <w:r w:rsidR="002A77E0" w:rsidRPr="00282C2A">
        <w:t>unless logbook</w:t>
      </w:r>
      <w:r w:rsidRPr="00282C2A">
        <w:t xml:space="preserve"> data entry staff are confident that late reporting will be </w:t>
      </w:r>
      <w:r w:rsidR="002A77E0" w:rsidRPr="00282C2A">
        <w:t>negligible</w:t>
      </w:r>
      <w:r w:rsidRPr="00282C2A">
        <w:t>.</w:t>
      </w:r>
    </w:p>
    <w:p w14:paraId="3FC900E2" w14:textId="10D360FB" w:rsidR="0031509F" w:rsidRPr="002F3210" w:rsidRDefault="0031509F" w:rsidP="002A77E0">
      <w:commentRangeStart w:id="37"/>
      <w:commentRangeStart w:id="38"/>
      <w:r w:rsidRPr="00CF3F31">
        <w:t xml:space="preserve">The harvest proportions for each subarea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Ja</m:t>
            </m:r>
          </m:sub>
        </m:sSub>
      </m:oMath>
      <w:r w:rsidRPr="00CF3F31">
        <w:t xml:space="preserve"> will be forecast using simple </w:t>
      </w:r>
      <w:r w:rsidR="002F3210">
        <w:t xml:space="preserve">and double </w:t>
      </w:r>
      <w:r w:rsidRPr="00CF3F31">
        <w:t>exponential smoother</w:t>
      </w:r>
      <w:r w:rsidR="002F3210">
        <w:t>s</w:t>
      </w:r>
      <w:r w:rsidRPr="00CF3F31">
        <w:t xml:space="preserve"> in SAS Proc ESM (SAS 2011). </w:t>
      </w:r>
      <w:commentRangeEnd w:id="37"/>
      <w:r w:rsidR="00180A25">
        <w:rPr>
          <w:rStyle w:val="CommentReference"/>
        </w:rPr>
        <w:commentReference w:id="37"/>
      </w:r>
      <w:commentRangeEnd w:id="38"/>
      <w:r w:rsidR="00B31C30">
        <w:rPr>
          <w:rStyle w:val="CommentReference"/>
        </w:rPr>
        <w:commentReference w:id="38"/>
      </w:r>
      <w:r w:rsidR="00942B10">
        <w:t>B</w:t>
      </w:r>
      <w:r w:rsidR="002F3210">
        <w:t xml:space="preserve">oth exponential smoothers </w:t>
      </w:r>
      <w:r w:rsidR="00942B10">
        <w:t>will be</w:t>
      </w:r>
      <w:r w:rsidR="002F3210">
        <w:t xml:space="preserve"> </w:t>
      </w:r>
      <w:proofErr w:type="gramStart"/>
      <w:r w:rsidR="00E56068">
        <w:t>examined</w:t>
      </w:r>
      <w:proofErr w:type="gramEnd"/>
      <w:r w:rsidR="002F3210">
        <w:t xml:space="preserve"> and the </w:t>
      </w:r>
      <w:r w:rsidR="00E56068">
        <w:t>a</w:t>
      </w:r>
      <w:r w:rsidR="00E56068" w:rsidRPr="009059F1">
        <w:t xml:space="preserve">ppropriate time series model </w:t>
      </w:r>
      <w:r w:rsidR="00942B10">
        <w:t>will be</w:t>
      </w:r>
      <w:r w:rsidR="00E56068" w:rsidRPr="009059F1">
        <w:t xml:space="preserve"> identified using the Box and Jenkins (1976) procedure for ARIMA models as described in Chapter 7 of the SAS/ETS User Guide (SAS 2011).</w:t>
      </w:r>
      <w:r w:rsidR="00E56068" w:rsidRPr="008423CF">
        <w:t xml:space="preserve"> Models will be selected for each subarea based on examination of residuals and the Akaike Information Criteria corrected for small sample sizes</w:t>
      </w:r>
      <w:r w:rsidR="002F3210">
        <w:t xml:space="preserve">. </w:t>
      </w:r>
      <w:r w:rsidRPr="00CF3F31">
        <w:t>SAS procedure output provides the forecasts and their standard</w:t>
      </w:r>
      <w:r w:rsidRPr="00CF3F31">
        <w:rPr>
          <w:color w:val="000000" w:themeColor="text1"/>
        </w:rPr>
        <w:t xml:space="preserve"> errors, which will be used to calculate </w:t>
      </w:r>
      <m:oMath>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p</m:t>
                    </m:r>
                  </m:e>
                </m:acc>
              </m:e>
              <m:sub>
                <m:r>
                  <w:rPr>
                    <w:rFonts w:ascii="Cambria Math" w:hAnsi="Cambria Math"/>
                    <w:color w:val="000000" w:themeColor="text1"/>
                  </w:rPr>
                  <m:t>Ja</m:t>
                </m:r>
              </m:sub>
            </m:sSub>
          </m:e>
        </m:d>
        <m:r>
          <w:rPr>
            <w:rFonts w:ascii="Cambria Math"/>
            <w:color w:val="000000" w:themeColor="text1"/>
          </w:rPr>
          <m:t>.</m:t>
        </m:r>
      </m:oMath>
      <w:r w:rsidRPr="00CF3F31">
        <w:rPr>
          <w:color w:val="000000" w:themeColor="text1"/>
        </w:rPr>
        <w:t xml:space="preserve"> </w:t>
      </w:r>
    </w:p>
    <w:p w14:paraId="2E186EB0" w14:textId="6DA3BB89" w:rsidR="00E707E8" w:rsidRPr="00CF3F31" w:rsidRDefault="00E707E8" w:rsidP="00E707E8">
      <w:pPr>
        <w:keepNext/>
      </w:pPr>
      <w:r w:rsidRPr="00CF3F31">
        <w:t xml:space="preserve">The variance </w:t>
      </w:r>
      <w:r w:rsidR="004501BF" w:rsidRPr="00CF3F31">
        <w:t xml:space="preserve">of projected harvest within each subarea </w:t>
      </w:r>
      <w:r w:rsidRPr="00CF3F31">
        <w:t xml:space="preserve">will be estimated </w:t>
      </w:r>
      <w:commentRangeStart w:id="39"/>
      <w:r w:rsidR="00B31C30">
        <w:t xml:space="preserve">using the delta method </w:t>
      </w:r>
      <w:commentRangeEnd w:id="39"/>
      <w:r w:rsidR="00B31C30">
        <w:rPr>
          <w:rStyle w:val="CommentReference"/>
        </w:rPr>
        <w:commentReference w:id="39"/>
      </w:r>
      <w:r w:rsidRPr="00CF3F31">
        <w:t>as</w:t>
      </w:r>
    </w:p>
    <w:tbl>
      <w:tblPr>
        <w:tblW w:w="0" w:type="auto"/>
        <w:tblLook w:val="00A0" w:firstRow="1" w:lastRow="0" w:firstColumn="1" w:lastColumn="0" w:noHBand="0" w:noVBand="0"/>
      </w:tblPr>
      <w:tblGrid>
        <w:gridCol w:w="8630"/>
        <w:gridCol w:w="730"/>
      </w:tblGrid>
      <w:tr w:rsidR="00E707E8" w:rsidRPr="00CF3F31" w14:paraId="38E7C104" w14:textId="77777777" w:rsidTr="0031509F">
        <w:trPr>
          <w:trHeight w:val="648"/>
        </w:trPr>
        <w:tc>
          <w:tcPr>
            <w:tcW w:w="8630" w:type="dxa"/>
            <w:vAlign w:val="center"/>
          </w:tcPr>
          <w:p w14:paraId="7A5B188C" w14:textId="77777777" w:rsidR="00E707E8" w:rsidRPr="00CF3F31" w:rsidRDefault="000B0B97" w:rsidP="004501BF">
            <m:oMathPara>
              <m:oMathParaPr>
                <m:jc m:val="left"/>
              </m:oMathParaPr>
              <m:oMath>
                <m:sSub>
                  <m:sSubPr>
                    <m:ctrlPr>
                      <w:rPr>
                        <w:rFonts w:ascii="Cambria Math" w:hAnsi="Cambria Math"/>
                        <w:i/>
                      </w:rPr>
                    </m:ctrlPr>
                  </m:sSubPr>
                  <m:e>
                    <m:r>
                      <w:rPr>
                        <w:rFonts w:ascii="Cambria Math" w:hAnsi="Cambria Math"/>
                      </w:rPr>
                      <m:t>var</m:t>
                    </m:r>
                    <m:r>
                      <w:rPr>
                        <w:rFonts w:ascii="Cambria Math"/>
                      </w:rPr>
                      <m:t>(</m:t>
                    </m:r>
                    <m:acc>
                      <m:accPr>
                        <m:ctrlPr>
                          <w:rPr>
                            <w:rFonts w:ascii="Cambria Math" w:hAnsi="Cambria Math"/>
                            <w:i/>
                          </w:rPr>
                        </m:ctrlPr>
                      </m:accPr>
                      <m:e>
                        <m:r>
                          <w:rPr>
                            <w:rFonts w:ascii="Cambria Math" w:hAnsi="Cambria Math"/>
                          </w:rPr>
                          <m:t>H</m:t>
                        </m:r>
                      </m:e>
                    </m:acc>
                  </m:e>
                  <m:sub>
                    <m:r>
                      <w:rPr>
                        <w:rFonts w:ascii="Cambria Math" w:hAnsi="Cambria Math"/>
                      </w:rPr>
                      <m:t>Ca</m:t>
                    </m:r>
                  </m:sub>
                </m:sSub>
                <m:r>
                  <w:rPr>
                    <w:rFonts w:ascii="Cambria Math"/>
                  </w:rPr>
                  <m:t>)=</m:t>
                </m:r>
                <m:sSubSup>
                  <m:sSubSupPr>
                    <m:ctrlPr>
                      <w:rPr>
                        <w:rFonts w:ascii="Cambria Math" w:hAnsi="Cambria Math"/>
                      </w:rPr>
                    </m:ctrlPr>
                  </m:sSubSupPr>
                  <m:e>
                    <m:r>
                      <m:rPr>
                        <m:sty m:val="p"/>
                      </m:rPr>
                      <w:rPr>
                        <w:rFonts w:ascii="Cambria Math"/>
                      </w:rPr>
                      <m:t>H</m:t>
                    </m:r>
                  </m:e>
                  <m:sub>
                    <m:r>
                      <m:rPr>
                        <m:sty m:val="p"/>
                      </m:rPr>
                      <w:rPr>
                        <w:rFonts w:ascii="Cambria Math"/>
                      </w:rPr>
                      <m:t>Ja</m:t>
                    </m:r>
                  </m:sub>
                  <m:sup>
                    <m:r>
                      <m:rPr>
                        <m:sty m:val="p"/>
                      </m:rPr>
                      <w:rPr>
                        <w:rFonts w:ascii="Cambria Math"/>
                      </w:rPr>
                      <m:t>2</m:t>
                    </m:r>
                  </m:sup>
                </m:sSubSup>
                <m:r>
                  <m:rPr>
                    <m:sty m:val="p"/>
                  </m:rPr>
                  <w:rPr>
                    <w:rFonts w:ascii="Cambria Math"/>
                  </w:rPr>
                  <m:t xml:space="preserve"> </m:t>
                </m:r>
                <m:r>
                  <w:rPr>
                    <w:rFonts w:ascii="Cambria Math" w:hAnsi="Cambria Math"/>
                  </w:rPr>
                  <m:t>var</m:t>
                </m:r>
                <m:d>
                  <m:dPr>
                    <m:ctrlPr>
                      <w:rPr>
                        <w:rFonts w:ascii="Cambria Math" w:hAnsi="Cambria Math"/>
                        <w:i/>
                      </w:rPr>
                    </m:ctrlPr>
                  </m:dPr>
                  <m:e>
                    <m:f>
                      <m:fPr>
                        <m:type m:val="lin"/>
                        <m:ctrlPr>
                          <w:rPr>
                            <w:rFonts w:ascii="Cambria Math" w:hAnsi="Cambria Math"/>
                            <w:i/>
                          </w:rPr>
                        </m:ctrlPr>
                      </m:fPr>
                      <m:num>
                        <m:r>
                          <w:rPr>
                            <w:rFonts w:ascii="Cambria Math"/>
                          </w:rPr>
                          <m:t>1</m:t>
                        </m:r>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Ja</m:t>
                            </m:r>
                          </m:sub>
                        </m:sSub>
                      </m:den>
                    </m:f>
                  </m:e>
                </m:d>
                <m:r>
                  <w:rPr>
                    <w:rFonts w:ascii="Cambria Math"/>
                  </w:rPr>
                  <m:t xml:space="preserve">= </m:t>
                </m:r>
                <m:sSubSup>
                  <m:sSubSupPr>
                    <m:ctrlPr>
                      <w:rPr>
                        <w:rFonts w:ascii="Cambria Math" w:hAnsi="Cambria Math"/>
                      </w:rPr>
                    </m:ctrlPr>
                  </m:sSubSupPr>
                  <m:e>
                    <m:r>
                      <m:rPr>
                        <m:sty m:val="p"/>
                      </m:rPr>
                      <w:rPr>
                        <w:rFonts w:ascii="Cambria Math"/>
                      </w:rPr>
                      <m:t>H</m:t>
                    </m:r>
                  </m:e>
                  <m:sub>
                    <m:r>
                      <m:rPr>
                        <m:sty m:val="p"/>
                      </m:rPr>
                      <w:rPr>
                        <w:rFonts w:ascii="Cambria Math"/>
                      </w:rPr>
                      <m:t>Ja</m:t>
                    </m:r>
                  </m:sub>
                  <m:sup>
                    <m:r>
                      <m:rPr>
                        <m:sty m:val="p"/>
                      </m:rPr>
                      <w:rPr>
                        <w:rFonts w:ascii="Cambria Math"/>
                      </w:rPr>
                      <m:t>2</m:t>
                    </m:r>
                  </m:sup>
                </m:sSubSup>
                <m:r>
                  <m:rPr>
                    <m:sty m:val="p"/>
                  </m:rPr>
                  <w:rPr>
                    <w:rFonts w:ascii="Cambria Math"/>
                  </w:rPr>
                  <m:t xml:space="preserve"> </m:t>
                </m:r>
                <m:f>
                  <m:fPr>
                    <m:ctrlPr>
                      <w:rPr>
                        <w:rFonts w:ascii="Cambria Math" w:hAnsi="Cambria Math"/>
                      </w:rPr>
                    </m:ctrlPr>
                  </m:fPr>
                  <m:num>
                    <m:r>
                      <m:rPr>
                        <m:sty m:val="p"/>
                      </m:rPr>
                      <w:rPr>
                        <w:rFonts w:ascii="Cambria Math"/>
                      </w:rPr>
                      <m:t>1</m:t>
                    </m:r>
                  </m:num>
                  <m:den>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Ja</m:t>
                        </m:r>
                      </m:sub>
                      <m:sup>
                        <m:r>
                          <w:rPr>
                            <w:rFonts w:ascii="Cambria Math"/>
                          </w:rPr>
                          <m:t>4</m:t>
                        </m:r>
                      </m:sup>
                    </m:sSubSup>
                  </m:den>
                </m:f>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Ja</m:t>
                        </m:r>
                      </m:sub>
                    </m:sSub>
                  </m:e>
                </m:d>
                <m:r>
                  <w:rPr>
                    <w:rFonts w:ascii="Cambria Math"/>
                  </w:rPr>
                  <m:t>.</m:t>
                </m:r>
              </m:oMath>
            </m:oMathPara>
          </w:p>
        </w:tc>
        <w:tc>
          <w:tcPr>
            <w:tcW w:w="730" w:type="dxa"/>
            <w:vAlign w:val="center"/>
          </w:tcPr>
          <w:p w14:paraId="13C99F0F" w14:textId="5F300ACB" w:rsidR="00E707E8" w:rsidRPr="00CF3F31" w:rsidRDefault="00E707E8" w:rsidP="00646B12">
            <w:r w:rsidRPr="00CF3F31">
              <w:t>(</w:t>
            </w:r>
            <w:r w:rsidR="00087E63">
              <w:t>8</w:t>
            </w:r>
            <w:r w:rsidRPr="00CF3F31">
              <w:t>)</w:t>
            </w:r>
          </w:p>
        </w:tc>
      </w:tr>
    </w:tbl>
    <w:p w14:paraId="731C6B93" w14:textId="1B84F002" w:rsidR="00BE4A41" w:rsidRDefault="0031509F" w:rsidP="00CF3F31">
      <w:r>
        <w:t>In 2017, the most recent year with final harvest estimates, the projection error ranged from -8.5%</w:t>
      </w:r>
      <w:r w:rsidR="005C6C22">
        <w:t xml:space="preserve"> -</w:t>
      </w:r>
      <w:r>
        <w:t xml:space="preserve"> 18.0% by halibut reporting area, with positive numbers indicating higher projected harvest than final harvest</w:t>
      </w:r>
      <w:r w:rsidR="005C6C22">
        <w:t xml:space="preserve"> (Table 2)</w:t>
      </w:r>
      <w:r>
        <w:t>. Regulatory area projection error was 1.5% in 2C and 0.7% in 3A.</w:t>
      </w:r>
    </w:p>
    <w:p w14:paraId="41A894C3" w14:textId="77777777" w:rsidR="00087E63" w:rsidRDefault="00087E63" w:rsidP="00087E63">
      <w:pPr>
        <w:keepNext/>
        <w:rPr>
          <w:color w:val="000000" w:themeColor="text1"/>
        </w:rPr>
      </w:pPr>
      <w:r w:rsidRPr="00CF3F31">
        <w:rPr>
          <w:color w:val="000000" w:themeColor="text1"/>
        </w:rPr>
        <w:t xml:space="preserve">Projected charter yield for each IPHC area will be estimated using Equation 2, replacing the final logbook harvest in each subarea </w:t>
      </w:r>
      <m:oMath>
        <m:sSub>
          <m:sSubPr>
            <m:ctrlPr>
              <w:rPr>
                <w:rFonts w:ascii="Cambria Math" w:hAnsi="Cambria Math"/>
                <w:color w:val="000000" w:themeColor="text1"/>
              </w:rPr>
            </m:ctrlPr>
          </m:sSubPr>
          <m:e>
            <m:r>
              <m:rPr>
                <m:sty m:val="p"/>
              </m:rPr>
              <w:rPr>
                <w:rFonts w:ascii="Cambria Math" w:hAnsi="Cambria Math"/>
                <w:color w:val="000000" w:themeColor="text1"/>
              </w:rPr>
              <m:t>H</m:t>
            </m:r>
          </m:e>
          <m:sub>
            <m:r>
              <m:rPr>
                <m:sty m:val="p"/>
              </m:rPr>
              <w:rPr>
                <w:rFonts w:ascii="Cambria Math" w:hAnsi="Cambria Math"/>
                <w:color w:val="000000" w:themeColor="text1"/>
              </w:rPr>
              <m:t>Ca</m:t>
            </m:r>
          </m:sub>
        </m:sSub>
      </m:oMath>
      <w:r w:rsidRPr="00CF3F31">
        <w:rPr>
          <w:color w:val="000000" w:themeColor="text1"/>
        </w:rPr>
        <w:t xml:space="preserve"> with projected values </w:t>
      </w: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H</m:t>
                </m:r>
              </m:e>
            </m:acc>
          </m:e>
          <m:sub>
            <m:r>
              <w:rPr>
                <w:rFonts w:ascii="Cambria Math" w:hAnsi="Cambria Math"/>
                <w:color w:val="000000" w:themeColor="text1"/>
              </w:rPr>
              <m:t>Ca</m:t>
            </m:r>
          </m:sub>
        </m:sSub>
      </m:oMath>
      <w:r w:rsidRPr="00CF3F31">
        <w:rPr>
          <w:color w:val="000000" w:themeColor="text1"/>
        </w:rPr>
        <w:t xml:space="preserve">. </w:t>
      </w:r>
    </w:p>
    <w:p w14:paraId="7B5FCE49" w14:textId="77777777" w:rsidR="00087E63" w:rsidRDefault="00087E63" w:rsidP="00087E63">
      <w:r w:rsidRPr="00FC68D1">
        <w:t xml:space="preserve">The variances of yield estimates for the </w:t>
      </w:r>
      <w:r>
        <w:t>charter</w:t>
      </w:r>
      <w:r w:rsidRPr="00FC68D1">
        <w:t xml:space="preserve"> sector in each IPHC area are obtained by Markov Chain Monte Carlo </w:t>
      </w:r>
      <w:r w:rsidRPr="00B27D52">
        <w:t xml:space="preserve">methods using the program </w:t>
      </w:r>
      <w:proofErr w:type="spellStart"/>
      <w:r w:rsidRPr="00B27D52">
        <w:t>OpenBugs</w:t>
      </w:r>
      <w:proofErr w:type="spellEnd"/>
      <w:r w:rsidRPr="00B27D52">
        <w:t xml:space="preserve"> (example code in Appendix A1). </w:t>
      </w:r>
      <w:r>
        <w:t>Estimated logbook harvest and standard errors are used in lieu of SWHS numbers (final unguided estimates) for preliminary charter estimates.</w:t>
      </w:r>
    </w:p>
    <w:p w14:paraId="6ADBE872" w14:textId="11713D1A" w:rsidR="002F3210" w:rsidRPr="002F3210" w:rsidRDefault="00087E63" w:rsidP="00087E63">
      <w:pPr>
        <w:spacing w:after="200" w:line="276" w:lineRule="auto"/>
        <w:jc w:val="left"/>
        <w:rPr>
          <w:highlight w:val="yellow"/>
        </w:rPr>
      </w:pPr>
      <w:r>
        <w:rPr>
          <w:highlight w:val="yellow"/>
        </w:rPr>
        <w:br w:type="page"/>
      </w:r>
    </w:p>
    <w:p w14:paraId="0B5A9291" w14:textId="09A43F74" w:rsidR="00BE4A41" w:rsidRPr="00BE4A41" w:rsidRDefault="00BE4A41" w:rsidP="00CF3F31">
      <w:pPr>
        <w:rPr>
          <w:sz w:val="20"/>
          <w:szCs w:val="20"/>
        </w:rPr>
      </w:pPr>
      <w:r w:rsidRPr="00BE4A41">
        <w:rPr>
          <w:sz w:val="20"/>
          <w:szCs w:val="20"/>
        </w:rPr>
        <w:lastRenderedPageBreak/>
        <w:t>Table 2. Example of projected charter harvest for 2017 using logbook data through July 31 to forecast harvest for the year and final harvest estimates using full logbook data.</w:t>
      </w:r>
    </w:p>
    <w:tbl>
      <w:tblPr>
        <w:tblW w:w="9450" w:type="dxa"/>
        <w:tblLook w:val="04A0" w:firstRow="1" w:lastRow="0" w:firstColumn="1" w:lastColumn="0" w:noHBand="0" w:noVBand="1"/>
      </w:tblPr>
      <w:tblGrid>
        <w:gridCol w:w="810"/>
        <w:gridCol w:w="900"/>
        <w:gridCol w:w="903"/>
        <w:gridCol w:w="1077"/>
        <w:gridCol w:w="900"/>
        <w:gridCol w:w="812"/>
        <w:gridCol w:w="808"/>
        <w:gridCol w:w="920"/>
        <w:gridCol w:w="880"/>
        <w:gridCol w:w="810"/>
        <w:gridCol w:w="967"/>
      </w:tblGrid>
      <w:tr w:rsidR="00E97325" w:rsidRPr="005C6C22" w14:paraId="0F0AD97E" w14:textId="77777777" w:rsidTr="00E97325">
        <w:trPr>
          <w:trHeight w:val="300"/>
        </w:trPr>
        <w:tc>
          <w:tcPr>
            <w:tcW w:w="810" w:type="dxa"/>
            <w:tcBorders>
              <w:top w:val="single" w:sz="4" w:space="0" w:color="auto"/>
              <w:left w:val="nil"/>
              <w:bottom w:val="single" w:sz="4" w:space="0" w:color="auto"/>
              <w:right w:val="nil"/>
            </w:tcBorders>
            <w:shd w:val="clear" w:color="auto" w:fill="auto"/>
            <w:noWrap/>
            <w:vAlign w:val="bottom"/>
            <w:hideMark/>
          </w:tcPr>
          <w:p w14:paraId="62D25861"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IPHC area</w:t>
            </w:r>
          </w:p>
        </w:tc>
        <w:tc>
          <w:tcPr>
            <w:tcW w:w="900" w:type="dxa"/>
            <w:tcBorders>
              <w:top w:val="single" w:sz="4" w:space="0" w:color="auto"/>
              <w:left w:val="nil"/>
              <w:bottom w:val="single" w:sz="4" w:space="0" w:color="auto"/>
              <w:right w:val="nil"/>
            </w:tcBorders>
            <w:shd w:val="clear" w:color="auto" w:fill="auto"/>
            <w:noWrap/>
            <w:vAlign w:val="bottom"/>
            <w:hideMark/>
          </w:tcPr>
          <w:p w14:paraId="3A956B0A" w14:textId="77777777"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Subarea</w:t>
            </w:r>
          </w:p>
        </w:tc>
        <w:tc>
          <w:tcPr>
            <w:tcW w:w="903" w:type="dxa"/>
            <w:tcBorders>
              <w:top w:val="single" w:sz="4" w:space="0" w:color="auto"/>
              <w:left w:val="nil"/>
              <w:bottom w:val="single" w:sz="4" w:space="0" w:color="auto"/>
              <w:right w:val="nil"/>
            </w:tcBorders>
            <w:shd w:val="clear" w:color="auto" w:fill="auto"/>
            <w:noWrap/>
            <w:vAlign w:val="bottom"/>
            <w:hideMark/>
          </w:tcPr>
          <w:p w14:paraId="0FD3BBB0" w14:textId="77777777" w:rsidR="005C6C22" w:rsidRPr="00E97325" w:rsidRDefault="00D363D3" w:rsidP="005C6C22">
            <w:pPr>
              <w:spacing w:after="0"/>
              <w:jc w:val="center"/>
              <w:rPr>
                <w:rFonts w:ascii="Calibri" w:hAnsi="Calibri" w:cs="Calibri"/>
                <w:color w:val="000000"/>
                <w:sz w:val="18"/>
                <w:szCs w:val="18"/>
              </w:rPr>
            </w:pPr>
            <w:r w:rsidRPr="00E97325">
              <w:rPr>
                <w:rFonts w:ascii="Calibri" w:hAnsi="Calibri" w:cs="Calibri"/>
                <w:color w:val="000000"/>
                <w:sz w:val="18"/>
                <w:szCs w:val="18"/>
              </w:rPr>
              <w:t>Harvest thru July</w:t>
            </w:r>
          </w:p>
          <w:p w14:paraId="11382465" w14:textId="102C9872" w:rsidR="00D363D3" w:rsidRPr="005C6C22" w:rsidRDefault="000B0B97" w:rsidP="005C6C22">
            <w:pPr>
              <w:spacing w:after="0"/>
              <w:jc w:val="center"/>
              <w:rPr>
                <w:rFonts w:ascii="Calibri" w:hAnsi="Calibri" w:cs="Calibri"/>
                <w:color w:val="000000"/>
                <w:sz w:val="18"/>
                <w:szCs w:val="18"/>
              </w:rPr>
            </w:pPr>
            <m:oMathPara>
              <m:oMath>
                <m:sSub>
                  <m:sSubPr>
                    <m:ctrlPr>
                      <w:rPr>
                        <w:rFonts w:ascii="Cambria Math" w:hAnsi="Cambria Math"/>
                        <w:sz w:val="18"/>
                        <w:szCs w:val="18"/>
                      </w:rPr>
                    </m:ctrlPr>
                  </m:sSubPr>
                  <m:e>
                    <m:r>
                      <m:rPr>
                        <m:sty m:val="p"/>
                      </m:rPr>
                      <w:rPr>
                        <w:rFonts w:ascii="Cambria Math"/>
                        <w:sz w:val="18"/>
                        <w:szCs w:val="18"/>
                      </w:rPr>
                      <m:t>H</m:t>
                    </m:r>
                  </m:e>
                  <m:sub>
                    <m:r>
                      <m:rPr>
                        <m:sty m:val="p"/>
                      </m:rPr>
                      <w:rPr>
                        <w:rFonts w:ascii="Cambria Math"/>
                        <w:sz w:val="18"/>
                        <w:szCs w:val="18"/>
                      </w:rPr>
                      <m:t>Ja</m:t>
                    </m:r>
                  </m:sub>
                </m:sSub>
              </m:oMath>
            </m:oMathPara>
          </w:p>
        </w:tc>
        <w:tc>
          <w:tcPr>
            <w:tcW w:w="1077" w:type="dxa"/>
            <w:tcBorders>
              <w:top w:val="single" w:sz="4" w:space="0" w:color="auto"/>
              <w:left w:val="nil"/>
              <w:bottom w:val="single" w:sz="4" w:space="0" w:color="auto"/>
              <w:right w:val="nil"/>
            </w:tcBorders>
            <w:shd w:val="clear" w:color="auto" w:fill="auto"/>
            <w:noWrap/>
            <w:vAlign w:val="bottom"/>
            <w:hideMark/>
          </w:tcPr>
          <w:p w14:paraId="31D8EE4A" w14:textId="19F6DB8C"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Adj</w:t>
            </w:r>
            <w:r w:rsidR="00D363D3" w:rsidRPr="00E97325">
              <w:rPr>
                <w:rFonts w:ascii="Calibri" w:hAnsi="Calibri" w:cs="Calibri"/>
                <w:color w:val="000000"/>
                <w:sz w:val="18"/>
                <w:szCs w:val="18"/>
              </w:rPr>
              <w:t xml:space="preserve">ustment </w:t>
            </w:r>
            <w:r w:rsidRPr="005C6C22">
              <w:rPr>
                <w:rFonts w:ascii="Calibri" w:hAnsi="Calibri" w:cs="Calibri"/>
                <w:color w:val="000000"/>
                <w:sz w:val="18"/>
                <w:szCs w:val="18"/>
              </w:rPr>
              <w:t>Factor</w:t>
            </w:r>
          </w:p>
        </w:tc>
        <w:tc>
          <w:tcPr>
            <w:tcW w:w="900" w:type="dxa"/>
            <w:tcBorders>
              <w:top w:val="single" w:sz="4" w:space="0" w:color="auto"/>
              <w:left w:val="nil"/>
              <w:bottom w:val="single" w:sz="4" w:space="0" w:color="auto"/>
              <w:right w:val="nil"/>
            </w:tcBorders>
            <w:shd w:val="clear" w:color="auto" w:fill="auto"/>
            <w:noWrap/>
            <w:vAlign w:val="bottom"/>
            <w:hideMark/>
          </w:tcPr>
          <w:p w14:paraId="6A3A5E2E" w14:textId="317150D1"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Adj</w:t>
            </w:r>
            <w:r w:rsidR="00D363D3" w:rsidRPr="00E97325">
              <w:rPr>
                <w:rFonts w:ascii="Calibri" w:hAnsi="Calibri" w:cs="Calibri"/>
                <w:color w:val="000000"/>
                <w:sz w:val="18"/>
                <w:szCs w:val="18"/>
              </w:rPr>
              <w:t>usted Harvest t</w:t>
            </w:r>
            <w:r w:rsidRPr="005C6C22">
              <w:rPr>
                <w:rFonts w:ascii="Calibri" w:hAnsi="Calibri" w:cs="Calibri"/>
                <w:color w:val="000000"/>
                <w:sz w:val="18"/>
                <w:szCs w:val="18"/>
              </w:rPr>
              <w:t>hru</w:t>
            </w:r>
            <w:r w:rsidR="00D363D3" w:rsidRPr="00E97325">
              <w:rPr>
                <w:rFonts w:ascii="Calibri" w:hAnsi="Calibri" w:cs="Calibri"/>
                <w:color w:val="000000"/>
                <w:sz w:val="18"/>
                <w:szCs w:val="18"/>
              </w:rPr>
              <w:t xml:space="preserve"> </w:t>
            </w:r>
            <w:r w:rsidRPr="005C6C22">
              <w:rPr>
                <w:rFonts w:ascii="Calibri" w:hAnsi="Calibri" w:cs="Calibri"/>
                <w:color w:val="000000"/>
                <w:sz w:val="18"/>
                <w:szCs w:val="18"/>
              </w:rPr>
              <w:t>Jul</w:t>
            </w:r>
            <w:r w:rsidR="00D363D3" w:rsidRPr="00E97325">
              <w:rPr>
                <w:rFonts w:ascii="Calibri" w:hAnsi="Calibri" w:cs="Calibri"/>
                <w:color w:val="000000"/>
                <w:sz w:val="18"/>
                <w:szCs w:val="18"/>
              </w:rPr>
              <w:t>y</w:t>
            </w:r>
          </w:p>
        </w:tc>
        <w:tc>
          <w:tcPr>
            <w:tcW w:w="812" w:type="dxa"/>
            <w:tcBorders>
              <w:top w:val="single" w:sz="4" w:space="0" w:color="auto"/>
              <w:left w:val="nil"/>
              <w:bottom w:val="single" w:sz="4" w:space="0" w:color="auto"/>
              <w:right w:val="nil"/>
            </w:tcBorders>
            <w:shd w:val="clear" w:color="auto" w:fill="auto"/>
            <w:noWrap/>
            <w:vAlign w:val="bottom"/>
            <w:hideMark/>
          </w:tcPr>
          <w:p w14:paraId="5C3BE79F" w14:textId="676C7BDD"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 xml:space="preserve">forecast </w:t>
            </w:r>
            <w:r w:rsidR="00D363D3" w:rsidRPr="00E97325">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p</m:t>
                      </m:r>
                    </m:e>
                  </m:acc>
                </m:e>
                <m:sub>
                  <m:r>
                    <w:rPr>
                      <w:rFonts w:ascii="Cambria Math" w:hAnsi="Cambria Math"/>
                      <w:sz w:val="18"/>
                      <w:szCs w:val="18"/>
                    </w:rPr>
                    <m:t>Ja</m:t>
                  </m:r>
                </m:sub>
              </m:sSub>
            </m:oMath>
          </w:p>
        </w:tc>
        <w:tc>
          <w:tcPr>
            <w:tcW w:w="808" w:type="dxa"/>
            <w:tcBorders>
              <w:top w:val="single" w:sz="4" w:space="0" w:color="auto"/>
              <w:left w:val="nil"/>
              <w:bottom w:val="single" w:sz="4" w:space="0" w:color="auto"/>
              <w:right w:val="nil"/>
            </w:tcBorders>
            <w:shd w:val="clear" w:color="auto" w:fill="auto"/>
            <w:noWrap/>
            <w:vAlign w:val="bottom"/>
            <w:hideMark/>
          </w:tcPr>
          <w:p w14:paraId="0131A199" w14:textId="6158FCB6"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SE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p</m:t>
                      </m:r>
                    </m:e>
                  </m:acc>
                </m:e>
                <m:sub>
                  <m:r>
                    <w:rPr>
                      <w:rFonts w:ascii="Cambria Math" w:hAnsi="Cambria Math"/>
                      <w:sz w:val="18"/>
                      <w:szCs w:val="18"/>
                    </w:rPr>
                    <m:t>Ja</m:t>
                  </m:r>
                </m:sub>
              </m:sSub>
            </m:oMath>
            <w:r w:rsidRPr="005C6C22">
              <w:rPr>
                <w:rFonts w:ascii="Calibri" w:hAnsi="Calibri" w:cs="Calibri"/>
                <w:color w:val="000000"/>
                <w:sz w:val="18"/>
                <w:szCs w:val="18"/>
              </w:rPr>
              <w:t>)</w:t>
            </w:r>
          </w:p>
        </w:tc>
        <w:tc>
          <w:tcPr>
            <w:tcW w:w="920" w:type="dxa"/>
            <w:tcBorders>
              <w:top w:val="single" w:sz="4" w:space="0" w:color="auto"/>
              <w:left w:val="nil"/>
              <w:bottom w:val="single" w:sz="4" w:space="0" w:color="auto"/>
              <w:right w:val="nil"/>
            </w:tcBorders>
            <w:shd w:val="clear" w:color="auto" w:fill="auto"/>
            <w:noWrap/>
            <w:vAlign w:val="bottom"/>
            <w:hideMark/>
          </w:tcPr>
          <w:p w14:paraId="68110E19" w14:textId="768A2392"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Proj</w:t>
            </w:r>
            <w:r w:rsidR="00D363D3" w:rsidRPr="00E97325">
              <w:rPr>
                <w:rFonts w:ascii="Calibri" w:hAnsi="Calibri" w:cs="Calibri"/>
                <w:color w:val="000000"/>
                <w:sz w:val="18"/>
                <w:szCs w:val="18"/>
              </w:rPr>
              <w:t>ected</w:t>
            </w:r>
            <w:r w:rsidRPr="005C6C22">
              <w:rPr>
                <w:rFonts w:ascii="Calibri" w:hAnsi="Calibri" w:cs="Calibri"/>
                <w:color w:val="000000"/>
                <w:sz w:val="18"/>
                <w:szCs w:val="18"/>
              </w:rPr>
              <w:t xml:space="preserve"> H</w:t>
            </w:r>
            <w:r w:rsidR="00D363D3" w:rsidRPr="00E97325">
              <w:rPr>
                <w:rFonts w:ascii="Calibri" w:hAnsi="Calibri" w:cs="Calibri"/>
                <w:color w:val="000000"/>
                <w:sz w:val="18"/>
                <w:szCs w:val="18"/>
              </w:rPr>
              <w:t xml:space="preserve">arvest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H</m:t>
                      </m:r>
                    </m:e>
                  </m:acc>
                </m:e>
                <m:sub>
                  <m:r>
                    <w:rPr>
                      <w:rFonts w:ascii="Cambria Math" w:hAnsi="Cambria Math"/>
                      <w:sz w:val="18"/>
                      <w:szCs w:val="18"/>
                    </w:rPr>
                    <m:t>Ca</m:t>
                  </m:r>
                </m:sub>
              </m:sSub>
            </m:oMath>
            <w:r w:rsidR="00D363D3" w:rsidRPr="00E97325">
              <w:rPr>
                <w:rFonts w:ascii="Calibri" w:hAnsi="Calibri" w:cs="Calibri"/>
                <w:color w:val="000000"/>
                <w:sz w:val="18"/>
                <w:szCs w:val="18"/>
              </w:rPr>
              <w:t xml:space="preserve"> </w:t>
            </w:r>
          </w:p>
        </w:tc>
        <w:tc>
          <w:tcPr>
            <w:tcW w:w="880" w:type="dxa"/>
            <w:tcBorders>
              <w:top w:val="single" w:sz="4" w:space="0" w:color="auto"/>
              <w:left w:val="nil"/>
              <w:bottom w:val="single" w:sz="4" w:space="0" w:color="auto"/>
              <w:right w:val="nil"/>
            </w:tcBorders>
            <w:shd w:val="clear" w:color="auto" w:fill="auto"/>
            <w:noWrap/>
            <w:vAlign w:val="bottom"/>
            <w:hideMark/>
          </w:tcPr>
          <w:p w14:paraId="7156B2AA" w14:textId="1CE5586A"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 xml:space="preserve">SE </w:t>
            </w:r>
            <w:r w:rsidR="00D363D3" w:rsidRPr="00E97325">
              <w:rPr>
                <w:rFonts w:ascii="Calibri" w:hAnsi="Calibri" w:cs="Calibri"/>
                <w:color w:val="000000"/>
                <w:sz w:val="18"/>
                <w:szCs w:val="18"/>
              </w:rPr>
              <w:t>(</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H</m:t>
                      </m:r>
                    </m:e>
                  </m:acc>
                </m:e>
                <m:sub>
                  <m:r>
                    <w:rPr>
                      <w:rFonts w:ascii="Cambria Math" w:hAnsi="Cambria Math"/>
                      <w:sz w:val="18"/>
                      <w:szCs w:val="18"/>
                    </w:rPr>
                    <m:t>Ca</m:t>
                  </m:r>
                </m:sub>
              </m:sSub>
              <m:r>
                <w:rPr>
                  <w:rFonts w:ascii="Cambria Math" w:hAnsi="Cambria Math"/>
                  <w:sz w:val="18"/>
                  <w:szCs w:val="18"/>
                </w:rPr>
                <m:t>)</m:t>
              </m:r>
            </m:oMath>
          </w:p>
        </w:tc>
        <w:tc>
          <w:tcPr>
            <w:tcW w:w="810" w:type="dxa"/>
            <w:tcBorders>
              <w:top w:val="single" w:sz="4" w:space="0" w:color="auto"/>
              <w:left w:val="nil"/>
              <w:bottom w:val="single" w:sz="4" w:space="0" w:color="auto"/>
              <w:right w:val="nil"/>
            </w:tcBorders>
            <w:shd w:val="clear" w:color="auto" w:fill="auto"/>
            <w:noWrap/>
            <w:vAlign w:val="bottom"/>
            <w:hideMark/>
          </w:tcPr>
          <w:p w14:paraId="26112A68" w14:textId="5ACD37E2"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Final H</w:t>
            </w:r>
            <w:r w:rsidR="00D363D3" w:rsidRPr="00E97325">
              <w:rPr>
                <w:rFonts w:ascii="Calibri" w:hAnsi="Calibri" w:cs="Calibri"/>
                <w:color w:val="000000"/>
                <w:sz w:val="18"/>
                <w:szCs w:val="18"/>
              </w:rPr>
              <w:t xml:space="preserve">arvest </w:t>
            </w:r>
            <m:oMath>
              <m:sSub>
                <m:sSubPr>
                  <m:ctrlPr>
                    <w:rPr>
                      <w:rFonts w:ascii="Cambria Math" w:hAnsi="Cambria Math"/>
                      <w:sz w:val="18"/>
                      <w:szCs w:val="18"/>
                    </w:rPr>
                  </m:ctrlPr>
                </m:sSubPr>
                <m:e>
                  <m:r>
                    <m:rPr>
                      <m:sty m:val="p"/>
                    </m:rPr>
                    <w:rPr>
                      <w:rFonts w:ascii="Cambria Math"/>
                      <w:sz w:val="18"/>
                      <w:szCs w:val="18"/>
                    </w:rPr>
                    <m:t>H</m:t>
                  </m:r>
                </m:e>
                <m:sub>
                  <m:r>
                    <m:rPr>
                      <m:sty m:val="p"/>
                    </m:rPr>
                    <w:rPr>
                      <w:rFonts w:ascii="Cambria Math"/>
                      <w:sz w:val="18"/>
                      <w:szCs w:val="18"/>
                    </w:rPr>
                    <m:t>ca</m:t>
                  </m:r>
                </m:sub>
              </m:sSub>
            </m:oMath>
          </w:p>
        </w:tc>
        <w:tc>
          <w:tcPr>
            <w:tcW w:w="630" w:type="dxa"/>
            <w:tcBorders>
              <w:top w:val="single" w:sz="4" w:space="0" w:color="auto"/>
              <w:left w:val="nil"/>
              <w:bottom w:val="single" w:sz="4" w:space="0" w:color="auto"/>
              <w:right w:val="nil"/>
            </w:tcBorders>
            <w:shd w:val="clear" w:color="auto" w:fill="auto"/>
            <w:noWrap/>
            <w:vAlign w:val="bottom"/>
            <w:hideMark/>
          </w:tcPr>
          <w:p w14:paraId="7B949AFD" w14:textId="7322B308" w:rsidR="005C6C22" w:rsidRPr="005C6C22" w:rsidRDefault="005C6C22" w:rsidP="005C6C22">
            <w:pPr>
              <w:spacing w:after="0"/>
              <w:jc w:val="center"/>
              <w:rPr>
                <w:rFonts w:ascii="Calibri" w:hAnsi="Calibri" w:cs="Calibri"/>
                <w:color w:val="000000"/>
                <w:sz w:val="18"/>
                <w:szCs w:val="18"/>
                <w:vertAlign w:val="superscript"/>
              </w:rPr>
            </w:pPr>
            <w:r w:rsidRPr="005C6C22">
              <w:rPr>
                <w:rFonts w:ascii="Calibri" w:hAnsi="Calibri" w:cs="Calibri"/>
                <w:color w:val="000000"/>
                <w:sz w:val="18"/>
                <w:szCs w:val="18"/>
              </w:rPr>
              <w:t>Proj</w:t>
            </w:r>
            <w:r w:rsidR="00D363D3" w:rsidRPr="00E97325">
              <w:rPr>
                <w:rFonts w:ascii="Calibri" w:hAnsi="Calibri" w:cs="Calibri"/>
                <w:color w:val="000000"/>
                <w:sz w:val="18"/>
                <w:szCs w:val="18"/>
              </w:rPr>
              <w:t xml:space="preserve">ection </w:t>
            </w:r>
            <w:proofErr w:type="spellStart"/>
            <w:r w:rsidRPr="005C6C22">
              <w:rPr>
                <w:rFonts w:ascii="Calibri" w:hAnsi="Calibri" w:cs="Calibri"/>
                <w:color w:val="000000"/>
                <w:sz w:val="18"/>
                <w:szCs w:val="18"/>
              </w:rPr>
              <w:t>Err</w:t>
            </w:r>
            <w:r w:rsidR="00D363D3" w:rsidRPr="00E97325">
              <w:rPr>
                <w:rFonts w:ascii="Calibri" w:hAnsi="Calibri" w:cs="Calibri"/>
                <w:color w:val="000000"/>
                <w:sz w:val="18"/>
                <w:szCs w:val="18"/>
              </w:rPr>
              <w:t>or</w:t>
            </w:r>
            <w:r w:rsidR="00D363D3" w:rsidRPr="00E97325">
              <w:rPr>
                <w:rFonts w:ascii="Calibri" w:hAnsi="Calibri" w:cs="Calibri"/>
                <w:color w:val="000000"/>
                <w:sz w:val="18"/>
                <w:szCs w:val="18"/>
                <w:vertAlign w:val="superscript"/>
              </w:rPr>
              <w:t>a</w:t>
            </w:r>
            <w:proofErr w:type="spellEnd"/>
          </w:p>
        </w:tc>
      </w:tr>
      <w:tr w:rsidR="00E97325" w:rsidRPr="005C6C22" w14:paraId="31CFD067" w14:textId="77777777" w:rsidTr="00E97325">
        <w:trPr>
          <w:trHeight w:val="300"/>
        </w:trPr>
        <w:tc>
          <w:tcPr>
            <w:tcW w:w="810" w:type="dxa"/>
            <w:tcBorders>
              <w:top w:val="nil"/>
              <w:left w:val="nil"/>
              <w:bottom w:val="nil"/>
              <w:right w:val="nil"/>
            </w:tcBorders>
            <w:shd w:val="clear" w:color="auto" w:fill="auto"/>
            <w:noWrap/>
            <w:vAlign w:val="bottom"/>
            <w:hideMark/>
          </w:tcPr>
          <w:p w14:paraId="2E467ABC"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Area 2C</w:t>
            </w:r>
          </w:p>
        </w:tc>
        <w:tc>
          <w:tcPr>
            <w:tcW w:w="900" w:type="dxa"/>
            <w:tcBorders>
              <w:top w:val="nil"/>
              <w:left w:val="nil"/>
              <w:bottom w:val="nil"/>
              <w:right w:val="nil"/>
            </w:tcBorders>
            <w:shd w:val="clear" w:color="auto" w:fill="auto"/>
            <w:noWrap/>
            <w:vAlign w:val="bottom"/>
            <w:hideMark/>
          </w:tcPr>
          <w:p w14:paraId="60DF4E78"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A -Ketch</w:t>
            </w:r>
          </w:p>
        </w:tc>
        <w:tc>
          <w:tcPr>
            <w:tcW w:w="903" w:type="dxa"/>
            <w:tcBorders>
              <w:top w:val="nil"/>
              <w:left w:val="nil"/>
              <w:bottom w:val="nil"/>
              <w:right w:val="nil"/>
            </w:tcBorders>
            <w:shd w:val="clear" w:color="auto" w:fill="auto"/>
            <w:noWrap/>
            <w:vAlign w:val="bottom"/>
            <w:hideMark/>
          </w:tcPr>
          <w:p w14:paraId="71D23911"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5,589</w:t>
            </w:r>
          </w:p>
        </w:tc>
        <w:tc>
          <w:tcPr>
            <w:tcW w:w="1077" w:type="dxa"/>
            <w:tcBorders>
              <w:top w:val="nil"/>
              <w:left w:val="nil"/>
              <w:bottom w:val="nil"/>
              <w:right w:val="nil"/>
            </w:tcBorders>
            <w:shd w:val="clear" w:color="auto" w:fill="auto"/>
            <w:noWrap/>
            <w:vAlign w:val="bottom"/>
            <w:hideMark/>
          </w:tcPr>
          <w:p w14:paraId="28E43B76"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1.012</w:t>
            </w:r>
          </w:p>
        </w:tc>
        <w:tc>
          <w:tcPr>
            <w:tcW w:w="900" w:type="dxa"/>
            <w:tcBorders>
              <w:top w:val="nil"/>
              <w:left w:val="nil"/>
              <w:bottom w:val="nil"/>
              <w:right w:val="nil"/>
            </w:tcBorders>
            <w:shd w:val="clear" w:color="auto" w:fill="auto"/>
            <w:noWrap/>
            <w:vAlign w:val="bottom"/>
            <w:hideMark/>
          </w:tcPr>
          <w:p w14:paraId="56C9E220"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5,658</w:t>
            </w:r>
          </w:p>
        </w:tc>
        <w:tc>
          <w:tcPr>
            <w:tcW w:w="812" w:type="dxa"/>
            <w:tcBorders>
              <w:top w:val="nil"/>
              <w:left w:val="nil"/>
              <w:bottom w:val="nil"/>
              <w:right w:val="nil"/>
            </w:tcBorders>
            <w:shd w:val="clear" w:color="auto" w:fill="auto"/>
            <w:noWrap/>
            <w:vAlign w:val="bottom"/>
            <w:hideMark/>
          </w:tcPr>
          <w:p w14:paraId="19F4D1A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0.623</w:t>
            </w:r>
          </w:p>
        </w:tc>
        <w:tc>
          <w:tcPr>
            <w:tcW w:w="808" w:type="dxa"/>
            <w:tcBorders>
              <w:top w:val="nil"/>
              <w:left w:val="nil"/>
              <w:bottom w:val="nil"/>
              <w:right w:val="nil"/>
            </w:tcBorders>
            <w:shd w:val="clear" w:color="auto" w:fill="auto"/>
            <w:noWrap/>
            <w:vAlign w:val="bottom"/>
            <w:hideMark/>
          </w:tcPr>
          <w:p w14:paraId="601C8A79"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0.030</w:t>
            </w:r>
          </w:p>
        </w:tc>
        <w:tc>
          <w:tcPr>
            <w:tcW w:w="920" w:type="dxa"/>
            <w:tcBorders>
              <w:top w:val="nil"/>
              <w:left w:val="nil"/>
              <w:bottom w:val="nil"/>
              <w:right w:val="nil"/>
            </w:tcBorders>
            <w:shd w:val="clear" w:color="auto" w:fill="auto"/>
            <w:noWrap/>
            <w:vAlign w:val="bottom"/>
            <w:hideMark/>
          </w:tcPr>
          <w:p w14:paraId="41F93FB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9,079</w:t>
            </w:r>
          </w:p>
        </w:tc>
        <w:tc>
          <w:tcPr>
            <w:tcW w:w="880" w:type="dxa"/>
            <w:tcBorders>
              <w:top w:val="nil"/>
              <w:left w:val="nil"/>
              <w:bottom w:val="nil"/>
              <w:right w:val="nil"/>
            </w:tcBorders>
            <w:shd w:val="clear" w:color="auto" w:fill="auto"/>
            <w:noWrap/>
            <w:vAlign w:val="bottom"/>
            <w:hideMark/>
          </w:tcPr>
          <w:p w14:paraId="120F123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441</w:t>
            </w:r>
          </w:p>
        </w:tc>
        <w:tc>
          <w:tcPr>
            <w:tcW w:w="810" w:type="dxa"/>
            <w:tcBorders>
              <w:top w:val="nil"/>
              <w:left w:val="nil"/>
              <w:bottom w:val="nil"/>
              <w:right w:val="nil"/>
            </w:tcBorders>
            <w:shd w:val="clear" w:color="auto" w:fill="auto"/>
            <w:noWrap/>
            <w:vAlign w:val="bottom"/>
            <w:hideMark/>
          </w:tcPr>
          <w:p w14:paraId="6739EE84" w14:textId="7E21F62E"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8</w:t>
            </w:r>
            <w:r w:rsidR="002F3210">
              <w:rPr>
                <w:rFonts w:ascii="Calibri" w:hAnsi="Calibri" w:cs="Calibri"/>
                <w:color w:val="000000"/>
                <w:sz w:val="18"/>
                <w:szCs w:val="18"/>
              </w:rPr>
              <w:t>,</w:t>
            </w:r>
            <w:r w:rsidRPr="005C6C22">
              <w:rPr>
                <w:rFonts w:ascii="Calibri" w:hAnsi="Calibri" w:cs="Calibri"/>
                <w:color w:val="000000"/>
                <w:sz w:val="18"/>
                <w:szCs w:val="18"/>
              </w:rPr>
              <w:t>590</w:t>
            </w:r>
          </w:p>
        </w:tc>
        <w:tc>
          <w:tcPr>
            <w:tcW w:w="630" w:type="dxa"/>
            <w:tcBorders>
              <w:top w:val="nil"/>
              <w:left w:val="nil"/>
              <w:bottom w:val="nil"/>
              <w:right w:val="nil"/>
            </w:tcBorders>
            <w:shd w:val="clear" w:color="auto" w:fill="auto"/>
            <w:noWrap/>
            <w:vAlign w:val="bottom"/>
            <w:hideMark/>
          </w:tcPr>
          <w:p w14:paraId="34801C7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5.7%</w:t>
            </w:r>
          </w:p>
        </w:tc>
      </w:tr>
      <w:tr w:rsidR="00E97325" w:rsidRPr="005C6C22" w14:paraId="4FF0BAC0" w14:textId="77777777" w:rsidTr="00E97325">
        <w:trPr>
          <w:trHeight w:val="300"/>
        </w:trPr>
        <w:tc>
          <w:tcPr>
            <w:tcW w:w="810" w:type="dxa"/>
            <w:tcBorders>
              <w:top w:val="nil"/>
              <w:left w:val="nil"/>
              <w:bottom w:val="nil"/>
              <w:right w:val="nil"/>
            </w:tcBorders>
            <w:shd w:val="clear" w:color="auto" w:fill="auto"/>
            <w:noWrap/>
            <w:vAlign w:val="bottom"/>
            <w:hideMark/>
          </w:tcPr>
          <w:p w14:paraId="0C7ABF7C"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5C10B723"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B - POW</w:t>
            </w:r>
          </w:p>
        </w:tc>
        <w:tc>
          <w:tcPr>
            <w:tcW w:w="903" w:type="dxa"/>
            <w:tcBorders>
              <w:top w:val="nil"/>
              <w:left w:val="nil"/>
              <w:bottom w:val="nil"/>
              <w:right w:val="nil"/>
            </w:tcBorders>
            <w:shd w:val="clear" w:color="auto" w:fill="auto"/>
            <w:noWrap/>
            <w:vAlign w:val="bottom"/>
            <w:hideMark/>
          </w:tcPr>
          <w:p w14:paraId="084E914F"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12,960</w:t>
            </w:r>
          </w:p>
        </w:tc>
        <w:tc>
          <w:tcPr>
            <w:tcW w:w="1077" w:type="dxa"/>
            <w:tcBorders>
              <w:top w:val="nil"/>
              <w:left w:val="nil"/>
              <w:bottom w:val="nil"/>
              <w:right w:val="nil"/>
            </w:tcBorders>
            <w:shd w:val="clear" w:color="auto" w:fill="auto"/>
            <w:noWrap/>
            <w:vAlign w:val="bottom"/>
            <w:hideMark/>
          </w:tcPr>
          <w:p w14:paraId="49294423"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1.009</w:t>
            </w:r>
          </w:p>
        </w:tc>
        <w:tc>
          <w:tcPr>
            <w:tcW w:w="900" w:type="dxa"/>
            <w:tcBorders>
              <w:top w:val="nil"/>
              <w:left w:val="nil"/>
              <w:bottom w:val="nil"/>
              <w:right w:val="nil"/>
            </w:tcBorders>
            <w:shd w:val="clear" w:color="auto" w:fill="auto"/>
            <w:noWrap/>
            <w:vAlign w:val="bottom"/>
            <w:hideMark/>
          </w:tcPr>
          <w:p w14:paraId="4F27D4A5"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13,080</w:t>
            </w:r>
          </w:p>
        </w:tc>
        <w:tc>
          <w:tcPr>
            <w:tcW w:w="812" w:type="dxa"/>
            <w:tcBorders>
              <w:top w:val="nil"/>
              <w:left w:val="nil"/>
              <w:bottom w:val="nil"/>
              <w:right w:val="nil"/>
            </w:tcBorders>
            <w:shd w:val="clear" w:color="auto" w:fill="auto"/>
            <w:noWrap/>
            <w:vAlign w:val="bottom"/>
            <w:hideMark/>
          </w:tcPr>
          <w:p w14:paraId="4615A74A"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0.686</w:t>
            </w:r>
          </w:p>
        </w:tc>
        <w:tc>
          <w:tcPr>
            <w:tcW w:w="808" w:type="dxa"/>
            <w:tcBorders>
              <w:top w:val="nil"/>
              <w:left w:val="nil"/>
              <w:bottom w:val="nil"/>
              <w:right w:val="nil"/>
            </w:tcBorders>
            <w:shd w:val="clear" w:color="auto" w:fill="auto"/>
            <w:noWrap/>
            <w:vAlign w:val="bottom"/>
            <w:hideMark/>
          </w:tcPr>
          <w:p w14:paraId="47BFAA8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0.014</w:t>
            </w:r>
          </w:p>
        </w:tc>
        <w:tc>
          <w:tcPr>
            <w:tcW w:w="920" w:type="dxa"/>
            <w:tcBorders>
              <w:top w:val="nil"/>
              <w:left w:val="nil"/>
              <w:bottom w:val="nil"/>
              <w:right w:val="nil"/>
            </w:tcBorders>
            <w:shd w:val="clear" w:color="auto" w:fill="auto"/>
            <w:noWrap/>
            <w:vAlign w:val="bottom"/>
            <w:hideMark/>
          </w:tcPr>
          <w:p w14:paraId="1EFF0046"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19,077</w:t>
            </w:r>
          </w:p>
        </w:tc>
        <w:tc>
          <w:tcPr>
            <w:tcW w:w="880" w:type="dxa"/>
            <w:tcBorders>
              <w:top w:val="nil"/>
              <w:left w:val="nil"/>
              <w:bottom w:val="nil"/>
              <w:right w:val="nil"/>
            </w:tcBorders>
            <w:shd w:val="clear" w:color="auto" w:fill="auto"/>
            <w:noWrap/>
            <w:vAlign w:val="bottom"/>
            <w:hideMark/>
          </w:tcPr>
          <w:p w14:paraId="37BA4C7B"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402</w:t>
            </w:r>
          </w:p>
        </w:tc>
        <w:tc>
          <w:tcPr>
            <w:tcW w:w="810" w:type="dxa"/>
            <w:tcBorders>
              <w:top w:val="nil"/>
              <w:left w:val="nil"/>
              <w:bottom w:val="nil"/>
              <w:right w:val="nil"/>
            </w:tcBorders>
            <w:shd w:val="clear" w:color="auto" w:fill="auto"/>
            <w:noWrap/>
            <w:vAlign w:val="bottom"/>
            <w:hideMark/>
          </w:tcPr>
          <w:p w14:paraId="0114D65E" w14:textId="77EE3C2B"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19</w:t>
            </w:r>
            <w:r w:rsidR="002F3210">
              <w:rPr>
                <w:rFonts w:ascii="Calibri" w:hAnsi="Calibri" w:cs="Calibri"/>
                <w:color w:val="000000"/>
                <w:sz w:val="18"/>
                <w:szCs w:val="18"/>
              </w:rPr>
              <w:t>,</w:t>
            </w:r>
            <w:r w:rsidRPr="005C6C22">
              <w:rPr>
                <w:rFonts w:ascii="Calibri" w:hAnsi="Calibri" w:cs="Calibri"/>
                <w:color w:val="000000"/>
                <w:sz w:val="18"/>
                <w:szCs w:val="18"/>
              </w:rPr>
              <w:t>172</w:t>
            </w:r>
          </w:p>
        </w:tc>
        <w:tc>
          <w:tcPr>
            <w:tcW w:w="630" w:type="dxa"/>
            <w:tcBorders>
              <w:top w:val="nil"/>
              <w:left w:val="nil"/>
              <w:bottom w:val="nil"/>
              <w:right w:val="nil"/>
            </w:tcBorders>
            <w:shd w:val="clear" w:color="auto" w:fill="auto"/>
            <w:noWrap/>
            <w:vAlign w:val="bottom"/>
            <w:hideMark/>
          </w:tcPr>
          <w:p w14:paraId="177072CC"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-0.5%</w:t>
            </w:r>
          </w:p>
        </w:tc>
      </w:tr>
      <w:tr w:rsidR="00E97325" w:rsidRPr="005C6C22" w14:paraId="2EC21679" w14:textId="77777777" w:rsidTr="00E97325">
        <w:trPr>
          <w:trHeight w:val="300"/>
        </w:trPr>
        <w:tc>
          <w:tcPr>
            <w:tcW w:w="810" w:type="dxa"/>
            <w:tcBorders>
              <w:top w:val="nil"/>
              <w:left w:val="nil"/>
              <w:bottom w:val="nil"/>
              <w:right w:val="nil"/>
            </w:tcBorders>
            <w:shd w:val="clear" w:color="auto" w:fill="auto"/>
            <w:noWrap/>
            <w:vAlign w:val="bottom"/>
            <w:hideMark/>
          </w:tcPr>
          <w:p w14:paraId="61393765"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6B0F058A"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C -</w:t>
            </w:r>
            <w:proofErr w:type="spellStart"/>
            <w:r w:rsidRPr="005C6C22">
              <w:rPr>
                <w:rFonts w:ascii="Calibri" w:hAnsi="Calibri" w:cs="Calibri"/>
                <w:color w:val="000000"/>
                <w:sz w:val="18"/>
                <w:szCs w:val="18"/>
              </w:rPr>
              <w:t>Pburg</w:t>
            </w:r>
            <w:proofErr w:type="spellEnd"/>
          </w:p>
        </w:tc>
        <w:tc>
          <w:tcPr>
            <w:tcW w:w="903" w:type="dxa"/>
            <w:tcBorders>
              <w:top w:val="nil"/>
              <w:left w:val="nil"/>
              <w:bottom w:val="nil"/>
              <w:right w:val="nil"/>
            </w:tcBorders>
            <w:shd w:val="clear" w:color="auto" w:fill="auto"/>
            <w:noWrap/>
            <w:vAlign w:val="bottom"/>
            <w:hideMark/>
          </w:tcPr>
          <w:p w14:paraId="3A5475E5"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1,176</w:t>
            </w:r>
          </w:p>
        </w:tc>
        <w:tc>
          <w:tcPr>
            <w:tcW w:w="1077" w:type="dxa"/>
            <w:tcBorders>
              <w:top w:val="nil"/>
              <w:left w:val="nil"/>
              <w:bottom w:val="nil"/>
              <w:right w:val="nil"/>
            </w:tcBorders>
            <w:shd w:val="clear" w:color="auto" w:fill="auto"/>
            <w:noWrap/>
            <w:vAlign w:val="bottom"/>
            <w:hideMark/>
          </w:tcPr>
          <w:p w14:paraId="553BA848"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0.991</w:t>
            </w:r>
          </w:p>
        </w:tc>
        <w:tc>
          <w:tcPr>
            <w:tcW w:w="900" w:type="dxa"/>
            <w:tcBorders>
              <w:top w:val="nil"/>
              <w:left w:val="nil"/>
              <w:bottom w:val="nil"/>
              <w:right w:val="nil"/>
            </w:tcBorders>
            <w:shd w:val="clear" w:color="auto" w:fill="auto"/>
            <w:noWrap/>
            <w:vAlign w:val="bottom"/>
            <w:hideMark/>
          </w:tcPr>
          <w:p w14:paraId="6CB3C70B"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1,165</w:t>
            </w:r>
          </w:p>
        </w:tc>
        <w:tc>
          <w:tcPr>
            <w:tcW w:w="812" w:type="dxa"/>
            <w:tcBorders>
              <w:top w:val="nil"/>
              <w:left w:val="nil"/>
              <w:bottom w:val="nil"/>
              <w:right w:val="nil"/>
            </w:tcBorders>
            <w:shd w:val="clear" w:color="auto" w:fill="auto"/>
            <w:noWrap/>
            <w:vAlign w:val="bottom"/>
            <w:hideMark/>
          </w:tcPr>
          <w:p w14:paraId="47E7D89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0.604</w:t>
            </w:r>
          </w:p>
        </w:tc>
        <w:tc>
          <w:tcPr>
            <w:tcW w:w="808" w:type="dxa"/>
            <w:tcBorders>
              <w:top w:val="nil"/>
              <w:left w:val="nil"/>
              <w:bottom w:val="nil"/>
              <w:right w:val="nil"/>
            </w:tcBorders>
            <w:shd w:val="clear" w:color="auto" w:fill="auto"/>
            <w:noWrap/>
            <w:vAlign w:val="bottom"/>
            <w:hideMark/>
          </w:tcPr>
          <w:p w14:paraId="246E2DB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0.028</w:t>
            </w:r>
          </w:p>
        </w:tc>
        <w:tc>
          <w:tcPr>
            <w:tcW w:w="920" w:type="dxa"/>
            <w:tcBorders>
              <w:top w:val="nil"/>
              <w:left w:val="nil"/>
              <w:bottom w:val="nil"/>
              <w:right w:val="nil"/>
            </w:tcBorders>
            <w:shd w:val="clear" w:color="auto" w:fill="auto"/>
            <w:noWrap/>
            <w:vAlign w:val="bottom"/>
            <w:hideMark/>
          </w:tcPr>
          <w:p w14:paraId="31DBC8A7"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1,929</w:t>
            </w:r>
          </w:p>
        </w:tc>
        <w:tc>
          <w:tcPr>
            <w:tcW w:w="880" w:type="dxa"/>
            <w:tcBorders>
              <w:top w:val="nil"/>
              <w:left w:val="nil"/>
              <w:bottom w:val="nil"/>
              <w:right w:val="nil"/>
            </w:tcBorders>
            <w:shd w:val="clear" w:color="auto" w:fill="auto"/>
            <w:noWrap/>
            <w:vAlign w:val="bottom"/>
            <w:hideMark/>
          </w:tcPr>
          <w:p w14:paraId="57AD70FA"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88</w:t>
            </w:r>
          </w:p>
        </w:tc>
        <w:tc>
          <w:tcPr>
            <w:tcW w:w="810" w:type="dxa"/>
            <w:tcBorders>
              <w:top w:val="nil"/>
              <w:left w:val="nil"/>
              <w:bottom w:val="nil"/>
              <w:right w:val="nil"/>
            </w:tcBorders>
            <w:shd w:val="clear" w:color="auto" w:fill="auto"/>
            <w:noWrap/>
            <w:vAlign w:val="bottom"/>
            <w:hideMark/>
          </w:tcPr>
          <w:p w14:paraId="33D41D82" w14:textId="09872866"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w:t>
            </w:r>
            <w:r w:rsidR="002F3210">
              <w:rPr>
                <w:rFonts w:ascii="Calibri" w:hAnsi="Calibri" w:cs="Calibri"/>
                <w:color w:val="000000"/>
                <w:sz w:val="18"/>
                <w:szCs w:val="18"/>
              </w:rPr>
              <w:t>,</w:t>
            </w:r>
            <w:r w:rsidRPr="005C6C22">
              <w:rPr>
                <w:rFonts w:ascii="Calibri" w:hAnsi="Calibri" w:cs="Calibri"/>
                <w:color w:val="000000"/>
                <w:sz w:val="18"/>
                <w:szCs w:val="18"/>
              </w:rPr>
              <w:t>974</w:t>
            </w:r>
          </w:p>
        </w:tc>
        <w:tc>
          <w:tcPr>
            <w:tcW w:w="630" w:type="dxa"/>
            <w:tcBorders>
              <w:top w:val="nil"/>
              <w:left w:val="nil"/>
              <w:bottom w:val="nil"/>
              <w:right w:val="nil"/>
            </w:tcBorders>
            <w:shd w:val="clear" w:color="auto" w:fill="auto"/>
            <w:noWrap/>
            <w:vAlign w:val="bottom"/>
            <w:hideMark/>
          </w:tcPr>
          <w:p w14:paraId="6B7CD346"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-2.3%</w:t>
            </w:r>
          </w:p>
        </w:tc>
      </w:tr>
      <w:tr w:rsidR="00E97325" w:rsidRPr="005C6C22" w14:paraId="0220DC46" w14:textId="77777777" w:rsidTr="00E97325">
        <w:trPr>
          <w:trHeight w:val="300"/>
        </w:trPr>
        <w:tc>
          <w:tcPr>
            <w:tcW w:w="810" w:type="dxa"/>
            <w:tcBorders>
              <w:top w:val="nil"/>
              <w:left w:val="nil"/>
              <w:bottom w:val="nil"/>
              <w:right w:val="nil"/>
            </w:tcBorders>
            <w:shd w:val="clear" w:color="auto" w:fill="auto"/>
            <w:noWrap/>
            <w:vAlign w:val="bottom"/>
            <w:hideMark/>
          </w:tcPr>
          <w:p w14:paraId="66E4E51D"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76367C79"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D - Sitka</w:t>
            </w:r>
          </w:p>
        </w:tc>
        <w:tc>
          <w:tcPr>
            <w:tcW w:w="903" w:type="dxa"/>
            <w:tcBorders>
              <w:top w:val="nil"/>
              <w:left w:val="nil"/>
              <w:bottom w:val="nil"/>
              <w:right w:val="nil"/>
            </w:tcBorders>
            <w:shd w:val="clear" w:color="auto" w:fill="auto"/>
            <w:noWrap/>
            <w:vAlign w:val="bottom"/>
            <w:hideMark/>
          </w:tcPr>
          <w:p w14:paraId="2352203A"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17,821</w:t>
            </w:r>
          </w:p>
        </w:tc>
        <w:tc>
          <w:tcPr>
            <w:tcW w:w="1077" w:type="dxa"/>
            <w:tcBorders>
              <w:top w:val="nil"/>
              <w:left w:val="nil"/>
              <w:bottom w:val="nil"/>
              <w:right w:val="nil"/>
            </w:tcBorders>
            <w:shd w:val="clear" w:color="auto" w:fill="auto"/>
            <w:noWrap/>
            <w:vAlign w:val="bottom"/>
            <w:hideMark/>
          </w:tcPr>
          <w:p w14:paraId="20AB04B3"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1.007</w:t>
            </w:r>
          </w:p>
        </w:tc>
        <w:tc>
          <w:tcPr>
            <w:tcW w:w="900" w:type="dxa"/>
            <w:tcBorders>
              <w:top w:val="nil"/>
              <w:left w:val="nil"/>
              <w:bottom w:val="nil"/>
              <w:right w:val="nil"/>
            </w:tcBorders>
            <w:shd w:val="clear" w:color="auto" w:fill="auto"/>
            <w:noWrap/>
            <w:vAlign w:val="bottom"/>
            <w:hideMark/>
          </w:tcPr>
          <w:p w14:paraId="5BE00045"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17,953</w:t>
            </w:r>
          </w:p>
        </w:tc>
        <w:tc>
          <w:tcPr>
            <w:tcW w:w="812" w:type="dxa"/>
            <w:tcBorders>
              <w:top w:val="nil"/>
              <w:left w:val="nil"/>
              <w:bottom w:val="nil"/>
              <w:right w:val="nil"/>
            </w:tcBorders>
            <w:shd w:val="clear" w:color="auto" w:fill="auto"/>
            <w:noWrap/>
            <w:vAlign w:val="bottom"/>
            <w:hideMark/>
          </w:tcPr>
          <w:p w14:paraId="3B774E94"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0.672</w:t>
            </w:r>
          </w:p>
        </w:tc>
        <w:tc>
          <w:tcPr>
            <w:tcW w:w="808" w:type="dxa"/>
            <w:tcBorders>
              <w:top w:val="nil"/>
              <w:left w:val="nil"/>
              <w:bottom w:val="nil"/>
              <w:right w:val="nil"/>
            </w:tcBorders>
            <w:shd w:val="clear" w:color="auto" w:fill="auto"/>
            <w:noWrap/>
            <w:vAlign w:val="bottom"/>
            <w:hideMark/>
          </w:tcPr>
          <w:p w14:paraId="6B0E52B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0.023</w:t>
            </w:r>
          </w:p>
        </w:tc>
        <w:tc>
          <w:tcPr>
            <w:tcW w:w="920" w:type="dxa"/>
            <w:tcBorders>
              <w:top w:val="nil"/>
              <w:left w:val="nil"/>
              <w:bottom w:val="nil"/>
              <w:right w:val="nil"/>
            </w:tcBorders>
            <w:shd w:val="clear" w:color="auto" w:fill="auto"/>
            <w:noWrap/>
            <w:vAlign w:val="bottom"/>
            <w:hideMark/>
          </w:tcPr>
          <w:p w14:paraId="1F8907BC"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26,698</w:t>
            </w:r>
          </w:p>
        </w:tc>
        <w:tc>
          <w:tcPr>
            <w:tcW w:w="880" w:type="dxa"/>
            <w:tcBorders>
              <w:top w:val="nil"/>
              <w:left w:val="nil"/>
              <w:bottom w:val="nil"/>
              <w:right w:val="nil"/>
            </w:tcBorders>
            <w:shd w:val="clear" w:color="auto" w:fill="auto"/>
            <w:noWrap/>
            <w:vAlign w:val="bottom"/>
            <w:hideMark/>
          </w:tcPr>
          <w:p w14:paraId="66FA808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910</w:t>
            </w:r>
          </w:p>
        </w:tc>
        <w:tc>
          <w:tcPr>
            <w:tcW w:w="810" w:type="dxa"/>
            <w:tcBorders>
              <w:top w:val="nil"/>
              <w:left w:val="nil"/>
              <w:bottom w:val="nil"/>
              <w:right w:val="nil"/>
            </w:tcBorders>
            <w:shd w:val="clear" w:color="auto" w:fill="auto"/>
            <w:noWrap/>
            <w:vAlign w:val="bottom"/>
            <w:hideMark/>
          </w:tcPr>
          <w:p w14:paraId="33209A19" w14:textId="460C189F"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26</w:t>
            </w:r>
            <w:r w:rsidR="002F3210">
              <w:rPr>
                <w:rFonts w:ascii="Calibri" w:hAnsi="Calibri" w:cs="Calibri"/>
                <w:color w:val="000000"/>
                <w:sz w:val="18"/>
                <w:szCs w:val="18"/>
              </w:rPr>
              <w:t>,</w:t>
            </w:r>
            <w:r w:rsidRPr="005C6C22">
              <w:rPr>
                <w:rFonts w:ascii="Calibri" w:hAnsi="Calibri" w:cs="Calibri"/>
                <w:color w:val="000000"/>
                <w:sz w:val="18"/>
                <w:szCs w:val="18"/>
              </w:rPr>
              <w:t>019</w:t>
            </w:r>
          </w:p>
        </w:tc>
        <w:tc>
          <w:tcPr>
            <w:tcW w:w="630" w:type="dxa"/>
            <w:tcBorders>
              <w:top w:val="nil"/>
              <w:left w:val="nil"/>
              <w:bottom w:val="nil"/>
              <w:right w:val="nil"/>
            </w:tcBorders>
            <w:shd w:val="clear" w:color="auto" w:fill="auto"/>
            <w:noWrap/>
            <w:vAlign w:val="bottom"/>
            <w:hideMark/>
          </w:tcPr>
          <w:p w14:paraId="04C484A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2.6%</w:t>
            </w:r>
          </w:p>
        </w:tc>
      </w:tr>
      <w:tr w:rsidR="00E97325" w:rsidRPr="005C6C22" w14:paraId="3B58653D" w14:textId="77777777" w:rsidTr="00E97325">
        <w:trPr>
          <w:trHeight w:val="300"/>
        </w:trPr>
        <w:tc>
          <w:tcPr>
            <w:tcW w:w="810" w:type="dxa"/>
            <w:tcBorders>
              <w:top w:val="nil"/>
              <w:left w:val="nil"/>
              <w:bottom w:val="nil"/>
              <w:right w:val="nil"/>
            </w:tcBorders>
            <w:shd w:val="clear" w:color="auto" w:fill="auto"/>
            <w:noWrap/>
            <w:vAlign w:val="bottom"/>
            <w:hideMark/>
          </w:tcPr>
          <w:p w14:paraId="41AF1D5B"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7606012D"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EF - Jun</w:t>
            </w:r>
          </w:p>
        </w:tc>
        <w:tc>
          <w:tcPr>
            <w:tcW w:w="903" w:type="dxa"/>
            <w:tcBorders>
              <w:top w:val="nil"/>
              <w:left w:val="nil"/>
              <w:bottom w:val="nil"/>
              <w:right w:val="nil"/>
            </w:tcBorders>
            <w:shd w:val="clear" w:color="auto" w:fill="auto"/>
            <w:noWrap/>
            <w:vAlign w:val="bottom"/>
            <w:hideMark/>
          </w:tcPr>
          <w:p w14:paraId="5F681960"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4,902</w:t>
            </w:r>
          </w:p>
        </w:tc>
        <w:tc>
          <w:tcPr>
            <w:tcW w:w="1077" w:type="dxa"/>
            <w:tcBorders>
              <w:top w:val="nil"/>
              <w:left w:val="nil"/>
              <w:bottom w:val="nil"/>
              <w:right w:val="nil"/>
            </w:tcBorders>
            <w:shd w:val="clear" w:color="auto" w:fill="auto"/>
            <w:noWrap/>
            <w:vAlign w:val="bottom"/>
            <w:hideMark/>
          </w:tcPr>
          <w:p w14:paraId="37A265CC"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1.006</w:t>
            </w:r>
          </w:p>
        </w:tc>
        <w:tc>
          <w:tcPr>
            <w:tcW w:w="900" w:type="dxa"/>
            <w:tcBorders>
              <w:top w:val="nil"/>
              <w:left w:val="nil"/>
              <w:bottom w:val="nil"/>
              <w:right w:val="nil"/>
            </w:tcBorders>
            <w:shd w:val="clear" w:color="auto" w:fill="auto"/>
            <w:noWrap/>
            <w:vAlign w:val="bottom"/>
            <w:hideMark/>
          </w:tcPr>
          <w:p w14:paraId="6C28087E"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4,932</w:t>
            </w:r>
          </w:p>
        </w:tc>
        <w:tc>
          <w:tcPr>
            <w:tcW w:w="812" w:type="dxa"/>
            <w:tcBorders>
              <w:top w:val="nil"/>
              <w:left w:val="nil"/>
              <w:bottom w:val="nil"/>
              <w:right w:val="nil"/>
            </w:tcBorders>
            <w:shd w:val="clear" w:color="auto" w:fill="auto"/>
            <w:noWrap/>
            <w:vAlign w:val="bottom"/>
            <w:hideMark/>
          </w:tcPr>
          <w:p w14:paraId="56DAAB41"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0.590</w:t>
            </w:r>
          </w:p>
        </w:tc>
        <w:tc>
          <w:tcPr>
            <w:tcW w:w="808" w:type="dxa"/>
            <w:tcBorders>
              <w:top w:val="nil"/>
              <w:left w:val="nil"/>
              <w:bottom w:val="nil"/>
              <w:right w:val="nil"/>
            </w:tcBorders>
            <w:shd w:val="clear" w:color="auto" w:fill="auto"/>
            <w:noWrap/>
            <w:vAlign w:val="bottom"/>
            <w:hideMark/>
          </w:tcPr>
          <w:p w14:paraId="1DE8C29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0.033</w:t>
            </w:r>
          </w:p>
        </w:tc>
        <w:tc>
          <w:tcPr>
            <w:tcW w:w="920" w:type="dxa"/>
            <w:tcBorders>
              <w:top w:val="nil"/>
              <w:left w:val="nil"/>
              <w:bottom w:val="nil"/>
              <w:right w:val="nil"/>
            </w:tcBorders>
            <w:shd w:val="clear" w:color="auto" w:fill="auto"/>
            <w:noWrap/>
            <w:vAlign w:val="bottom"/>
            <w:hideMark/>
          </w:tcPr>
          <w:p w14:paraId="057DFCD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8,358</w:t>
            </w:r>
          </w:p>
        </w:tc>
        <w:tc>
          <w:tcPr>
            <w:tcW w:w="880" w:type="dxa"/>
            <w:tcBorders>
              <w:top w:val="nil"/>
              <w:left w:val="nil"/>
              <w:bottom w:val="nil"/>
              <w:right w:val="nil"/>
            </w:tcBorders>
            <w:shd w:val="clear" w:color="auto" w:fill="auto"/>
            <w:noWrap/>
            <w:vAlign w:val="bottom"/>
            <w:hideMark/>
          </w:tcPr>
          <w:p w14:paraId="4D5A743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461</w:t>
            </w:r>
          </w:p>
        </w:tc>
        <w:tc>
          <w:tcPr>
            <w:tcW w:w="810" w:type="dxa"/>
            <w:tcBorders>
              <w:top w:val="nil"/>
              <w:left w:val="nil"/>
              <w:bottom w:val="nil"/>
              <w:right w:val="nil"/>
            </w:tcBorders>
            <w:shd w:val="clear" w:color="auto" w:fill="auto"/>
            <w:noWrap/>
            <w:vAlign w:val="bottom"/>
            <w:hideMark/>
          </w:tcPr>
          <w:p w14:paraId="222A2CB7" w14:textId="591961A1"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8</w:t>
            </w:r>
            <w:r w:rsidR="002F3210">
              <w:rPr>
                <w:rFonts w:ascii="Calibri" w:hAnsi="Calibri" w:cs="Calibri"/>
                <w:color w:val="000000"/>
                <w:sz w:val="18"/>
                <w:szCs w:val="18"/>
              </w:rPr>
              <w:t>,</w:t>
            </w:r>
            <w:r w:rsidRPr="005C6C22">
              <w:rPr>
                <w:rFonts w:ascii="Calibri" w:hAnsi="Calibri" w:cs="Calibri"/>
                <w:color w:val="000000"/>
                <w:sz w:val="18"/>
                <w:szCs w:val="18"/>
              </w:rPr>
              <w:t>123</w:t>
            </w:r>
          </w:p>
        </w:tc>
        <w:tc>
          <w:tcPr>
            <w:tcW w:w="630" w:type="dxa"/>
            <w:tcBorders>
              <w:top w:val="nil"/>
              <w:left w:val="nil"/>
              <w:bottom w:val="nil"/>
              <w:right w:val="nil"/>
            </w:tcBorders>
            <w:shd w:val="clear" w:color="auto" w:fill="auto"/>
            <w:noWrap/>
            <w:vAlign w:val="bottom"/>
            <w:hideMark/>
          </w:tcPr>
          <w:p w14:paraId="4702392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2.9%</w:t>
            </w:r>
          </w:p>
        </w:tc>
      </w:tr>
      <w:tr w:rsidR="00E97325" w:rsidRPr="005C6C22" w14:paraId="0ECF5A32" w14:textId="77777777" w:rsidTr="00E97325">
        <w:trPr>
          <w:trHeight w:val="300"/>
        </w:trPr>
        <w:tc>
          <w:tcPr>
            <w:tcW w:w="810" w:type="dxa"/>
            <w:tcBorders>
              <w:top w:val="nil"/>
              <w:left w:val="nil"/>
              <w:bottom w:val="nil"/>
              <w:right w:val="nil"/>
            </w:tcBorders>
            <w:shd w:val="clear" w:color="auto" w:fill="auto"/>
            <w:noWrap/>
            <w:vAlign w:val="bottom"/>
            <w:hideMark/>
          </w:tcPr>
          <w:p w14:paraId="4930B298"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single" w:sz="4" w:space="0" w:color="auto"/>
              <w:right w:val="nil"/>
            </w:tcBorders>
            <w:shd w:val="clear" w:color="auto" w:fill="auto"/>
            <w:noWrap/>
            <w:vAlign w:val="bottom"/>
            <w:hideMark/>
          </w:tcPr>
          <w:p w14:paraId="6C405E76"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xml:space="preserve">G - </w:t>
            </w:r>
            <w:proofErr w:type="spellStart"/>
            <w:r w:rsidRPr="005C6C22">
              <w:rPr>
                <w:rFonts w:ascii="Calibri" w:hAnsi="Calibri" w:cs="Calibri"/>
                <w:color w:val="000000"/>
                <w:sz w:val="18"/>
                <w:szCs w:val="18"/>
              </w:rPr>
              <w:t>GlacB</w:t>
            </w:r>
            <w:proofErr w:type="spellEnd"/>
          </w:p>
        </w:tc>
        <w:tc>
          <w:tcPr>
            <w:tcW w:w="903" w:type="dxa"/>
            <w:tcBorders>
              <w:top w:val="nil"/>
              <w:left w:val="nil"/>
              <w:bottom w:val="single" w:sz="4" w:space="0" w:color="auto"/>
              <w:right w:val="nil"/>
            </w:tcBorders>
            <w:shd w:val="clear" w:color="auto" w:fill="auto"/>
            <w:noWrap/>
            <w:vAlign w:val="bottom"/>
            <w:hideMark/>
          </w:tcPr>
          <w:p w14:paraId="7C74CE9F"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3,952</w:t>
            </w:r>
          </w:p>
        </w:tc>
        <w:tc>
          <w:tcPr>
            <w:tcW w:w="1077" w:type="dxa"/>
            <w:tcBorders>
              <w:top w:val="nil"/>
              <w:left w:val="nil"/>
              <w:bottom w:val="single" w:sz="4" w:space="0" w:color="auto"/>
              <w:right w:val="nil"/>
            </w:tcBorders>
            <w:shd w:val="clear" w:color="auto" w:fill="auto"/>
            <w:noWrap/>
            <w:vAlign w:val="bottom"/>
            <w:hideMark/>
          </w:tcPr>
          <w:p w14:paraId="2827B069"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1.010</w:t>
            </w:r>
          </w:p>
        </w:tc>
        <w:tc>
          <w:tcPr>
            <w:tcW w:w="900" w:type="dxa"/>
            <w:tcBorders>
              <w:top w:val="nil"/>
              <w:left w:val="nil"/>
              <w:bottom w:val="single" w:sz="4" w:space="0" w:color="auto"/>
              <w:right w:val="nil"/>
            </w:tcBorders>
            <w:shd w:val="clear" w:color="auto" w:fill="auto"/>
            <w:noWrap/>
            <w:vAlign w:val="bottom"/>
            <w:hideMark/>
          </w:tcPr>
          <w:p w14:paraId="15A76F5C"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3,990</w:t>
            </w:r>
          </w:p>
        </w:tc>
        <w:tc>
          <w:tcPr>
            <w:tcW w:w="812" w:type="dxa"/>
            <w:tcBorders>
              <w:top w:val="nil"/>
              <w:left w:val="nil"/>
              <w:bottom w:val="single" w:sz="4" w:space="0" w:color="auto"/>
              <w:right w:val="nil"/>
            </w:tcBorders>
            <w:shd w:val="clear" w:color="auto" w:fill="auto"/>
            <w:noWrap/>
            <w:vAlign w:val="bottom"/>
            <w:hideMark/>
          </w:tcPr>
          <w:p w14:paraId="5367CD46"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0.607</w:t>
            </w:r>
          </w:p>
        </w:tc>
        <w:tc>
          <w:tcPr>
            <w:tcW w:w="808" w:type="dxa"/>
            <w:tcBorders>
              <w:top w:val="nil"/>
              <w:left w:val="nil"/>
              <w:bottom w:val="single" w:sz="4" w:space="0" w:color="auto"/>
              <w:right w:val="nil"/>
            </w:tcBorders>
            <w:shd w:val="clear" w:color="auto" w:fill="auto"/>
            <w:noWrap/>
            <w:vAlign w:val="bottom"/>
            <w:hideMark/>
          </w:tcPr>
          <w:p w14:paraId="503AE0C1"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0.048</w:t>
            </w:r>
          </w:p>
        </w:tc>
        <w:tc>
          <w:tcPr>
            <w:tcW w:w="920" w:type="dxa"/>
            <w:tcBorders>
              <w:top w:val="nil"/>
              <w:left w:val="nil"/>
              <w:bottom w:val="single" w:sz="4" w:space="0" w:color="auto"/>
              <w:right w:val="nil"/>
            </w:tcBorders>
            <w:shd w:val="clear" w:color="auto" w:fill="auto"/>
            <w:noWrap/>
            <w:vAlign w:val="bottom"/>
            <w:hideMark/>
          </w:tcPr>
          <w:p w14:paraId="7DCD1C4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6,570</w:t>
            </w:r>
          </w:p>
        </w:tc>
        <w:tc>
          <w:tcPr>
            <w:tcW w:w="880" w:type="dxa"/>
            <w:tcBorders>
              <w:top w:val="nil"/>
              <w:left w:val="nil"/>
              <w:bottom w:val="single" w:sz="4" w:space="0" w:color="auto"/>
              <w:right w:val="nil"/>
            </w:tcBorders>
            <w:shd w:val="clear" w:color="auto" w:fill="auto"/>
            <w:noWrap/>
            <w:vAlign w:val="bottom"/>
            <w:hideMark/>
          </w:tcPr>
          <w:p w14:paraId="40C303F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524</w:t>
            </w:r>
          </w:p>
        </w:tc>
        <w:tc>
          <w:tcPr>
            <w:tcW w:w="810" w:type="dxa"/>
            <w:tcBorders>
              <w:top w:val="nil"/>
              <w:left w:val="nil"/>
              <w:bottom w:val="single" w:sz="4" w:space="0" w:color="auto"/>
              <w:right w:val="nil"/>
            </w:tcBorders>
            <w:shd w:val="clear" w:color="auto" w:fill="auto"/>
            <w:noWrap/>
            <w:vAlign w:val="bottom"/>
            <w:hideMark/>
          </w:tcPr>
          <w:p w14:paraId="147D21A2" w14:textId="3DC33D79"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6</w:t>
            </w:r>
            <w:r w:rsidR="002F3210">
              <w:rPr>
                <w:rFonts w:ascii="Calibri" w:hAnsi="Calibri" w:cs="Calibri"/>
                <w:color w:val="000000"/>
                <w:sz w:val="18"/>
                <w:szCs w:val="18"/>
              </w:rPr>
              <w:t>,</w:t>
            </w:r>
            <w:r w:rsidRPr="005C6C22">
              <w:rPr>
                <w:rFonts w:ascii="Calibri" w:hAnsi="Calibri" w:cs="Calibri"/>
                <w:color w:val="000000"/>
                <w:sz w:val="18"/>
                <w:szCs w:val="18"/>
              </w:rPr>
              <w:t>769</w:t>
            </w:r>
          </w:p>
        </w:tc>
        <w:tc>
          <w:tcPr>
            <w:tcW w:w="630" w:type="dxa"/>
            <w:tcBorders>
              <w:top w:val="nil"/>
              <w:left w:val="nil"/>
              <w:bottom w:val="single" w:sz="4" w:space="0" w:color="auto"/>
              <w:right w:val="nil"/>
            </w:tcBorders>
            <w:shd w:val="clear" w:color="auto" w:fill="auto"/>
            <w:noWrap/>
            <w:vAlign w:val="bottom"/>
            <w:hideMark/>
          </w:tcPr>
          <w:p w14:paraId="1F800F1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-2.9%</w:t>
            </w:r>
          </w:p>
        </w:tc>
      </w:tr>
      <w:tr w:rsidR="00E97325" w:rsidRPr="005C6C22" w14:paraId="12EABF15" w14:textId="77777777" w:rsidTr="00E97325">
        <w:trPr>
          <w:trHeight w:val="300"/>
        </w:trPr>
        <w:tc>
          <w:tcPr>
            <w:tcW w:w="810" w:type="dxa"/>
            <w:tcBorders>
              <w:top w:val="nil"/>
              <w:left w:val="nil"/>
              <w:bottom w:val="nil"/>
              <w:right w:val="nil"/>
            </w:tcBorders>
            <w:shd w:val="clear" w:color="auto" w:fill="auto"/>
            <w:noWrap/>
            <w:vAlign w:val="bottom"/>
            <w:hideMark/>
          </w:tcPr>
          <w:p w14:paraId="43C3E12B"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4CA20084"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Total 2C</w:t>
            </w:r>
          </w:p>
        </w:tc>
        <w:tc>
          <w:tcPr>
            <w:tcW w:w="903" w:type="dxa"/>
            <w:tcBorders>
              <w:top w:val="nil"/>
              <w:left w:val="nil"/>
              <w:bottom w:val="nil"/>
              <w:right w:val="nil"/>
            </w:tcBorders>
            <w:shd w:val="clear" w:color="auto" w:fill="auto"/>
            <w:noWrap/>
            <w:vAlign w:val="bottom"/>
            <w:hideMark/>
          </w:tcPr>
          <w:p w14:paraId="7DFAB63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46,400</w:t>
            </w:r>
          </w:p>
        </w:tc>
        <w:tc>
          <w:tcPr>
            <w:tcW w:w="1077" w:type="dxa"/>
            <w:tcBorders>
              <w:top w:val="nil"/>
              <w:left w:val="nil"/>
              <w:bottom w:val="nil"/>
              <w:right w:val="nil"/>
            </w:tcBorders>
            <w:shd w:val="clear" w:color="auto" w:fill="auto"/>
            <w:noWrap/>
            <w:vAlign w:val="bottom"/>
            <w:hideMark/>
          </w:tcPr>
          <w:p w14:paraId="162E771D"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0F9C607D" w14:textId="77777777" w:rsidR="005C6C22" w:rsidRPr="005C6C22" w:rsidRDefault="005C6C22" w:rsidP="005C6C22">
            <w:pPr>
              <w:spacing w:after="0"/>
              <w:jc w:val="left"/>
              <w:rPr>
                <w:sz w:val="18"/>
                <w:szCs w:val="18"/>
              </w:rPr>
            </w:pPr>
          </w:p>
        </w:tc>
        <w:tc>
          <w:tcPr>
            <w:tcW w:w="812" w:type="dxa"/>
            <w:tcBorders>
              <w:top w:val="nil"/>
              <w:left w:val="nil"/>
              <w:bottom w:val="nil"/>
              <w:right w:val="nil"/>
            </w:tcBorders>
            <w:shd w:val="clear" w:color="auto" w:fill="auto"/>
            <w:noWrap/>
            <w:vAlign w:val="bottom"/>
            <w:hideMark/>
          </w:tcPr>
          <w:p w14:paraId="7D2E63CA" w14:textId="77777777" w:rsidR="005C6C22" w:rsidRPr="005C6C22" w:rsidRDefault="005C6C22" w:rsidP="005C6C22">
            <w:pPr>
              <w:spacing w:after="0"/>
              <w:jc w:val="left"/>
              <w:rPr>
                <w:sz w:val="18"/>
                <w:szCs w:val="18"/>
              </w:rPr>
            </w:pPr>
          </w:p>
        </w:tc>
        <w:tc>
          <w:tcPr>
            <w:tcW w:w="808" w:type="dxa"/>
            <w:tcBorders>
              <w:top w:val="nil"/>
              <w:left w:val="nil"/>
              <w:bottom w:val="nil"/>
              <w:right w:val="nil"/>
            </w:tcBorders>
            <w:shd w:val="clear" w:color="auto" w:fill="auto"/>
            <w:noWrap/>
            <w:vAlign w:val="bottom"/>
            <w:hideMark/>
          </w:tcPr>
          <w:p w14:paraId="77B7280D" w14:textId="77777777" w:rsidR="005C6C22" w:rsidRPr="005C6C22" w:rsidRDefault="005C6C22" w:rsidP="005C6C22">
            <w:pPr>
              <w:spacing w:after="0"/>
              <w:jc w:val="left"/>
              <w:rPr>
                <w:sz w:val="18"/>
                <w:szCs w:val="18"/>
              </w:rPr>
            </w:pPr>
          </w:p>
        </w:tc>
        <w:tc>
          <w:tcPr>
            <w:tcW w:w="920" w:type="dxa"/>
            <w:tcBorders>
              <w:top w:val="nil"/>
              <w:left w:val="nil"/>
              <w:bottom w:val="nil"/>
              <w:right w:val="nil"/>
            </w:tcBorders>
            <w:shd w:val="clear" w:color="auto" w:fill="auto"/>
            <w:noWrap/>
            <w:vAlign w:val="bottom"/>
            <w:hideMark/>
          </w:tcPr>
          <w:p w14:paraId="48887BA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71,711</w:t>
            </w:r>
          </w:p>
        </w:tc>
        <w:tc>
          <w:tcPr>
            <w:tcW w:w="880" w:type="dxa"/>
            <w:tcBorders>
              <w:top w:val="nil"/>
              <w:left w:val="nil"/>
              <w:bottom w:val="nil"/>
              <w:right w:val="nil"/>
            </w:tcBorders>
            <w:shd w:val="clear" w:color="auto" w:fill="auto"/>
            <w:noWrap/>
            <w:vAlign w:val="bottom"/>
            <w:hideMark/>
          </w:tcPr>
          <w:p w14:paraId="36FD668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1,296</w:t>
            </w:r>
          </w:p>
        </w:tc>
        <w:tc>
          <w:tcPr>
            <w:tcW w:w="810" w:type="dxa"/>
            <w:tcBorders>
              <w:top w:val="nil"/>
              <w:left w:val="nil"/>
              <w:bottom w:val="nil"/>
              <w:right w:val="nil"/>
            </w:tcBorders>
            <w:shd w:val="clear" w:color="auto" w:fill="auto"/>
            <w:noWrap/>
            <w:vAlign w:val="bottom"/>
            <w:hideMark/>
          </w:tcPr>
          <w:p w14:paraId="32540CBC" w14:textId="76F70905"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70</w:t>
            </w:r>
            <w:r w:rsidR="002F3210">
              <w:rPr>
                <w:rFonts w:ascii="Calibri" w:hAnsi="Calibri" w:cs="Calibri"/>
                <w:color w:val="000000"/>
                <w:sz w:val="18"/>
                <w:szCs w:val="18"/>
              </w:rPr>
              <w:t>,</w:t>
            </w:r>
            <w:r w:rsidRPr="005C6C22">
              <w:rPr>
                <w:rFonts w:ascii="Calibri" w:hAnsi="Calibri" w:cs="Calibri"/>
                <w:color w:val="000000"/>
                <w:sz w:val="18"/>
                <w:szCs w:val="18"/>
              </w:rPr>
              <w:t>647</w:t>
            </w:r>
          </w:p>
        </w:tc>
        <w:tc>
          <w:tcPr>
            <w:tcW w:w="630" w:type="dxa"/>
            <w:tcBorders>
              <w:top w:val="nil"/>
              <w:left w:val="nil"/>
              <w:bottom w:val="nil"/>
              <w:right w:val="nil"/>
            </w:tcBorders>
            <w:shd w:val="clear" w:color="auto" w:fill="auto"/>
            <w:noWrap/>
            <w:vAlign w:val="bottom"/>
            <w:hideMark/>
          </w:tcPr>
          <w:p w14:paraId="5D79562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1.5%</w:t>
            </w:r>
          </w:p>
        </w:tc>
      </w:tr>
      <w:tr w:rsidR="00E97325" w:rsidRPr="005C6C22" w14:paraId="51D7B07A" w14:textId="77777777" w:rsidTr="00E97325">
        <w:trPr>
          <w:trHeight w:val="300"/>
        </w:trPr>
        <w:tc>
          <w:tcPr>
            <w:tcW w:w="810" w:type="dxa"/>
            <w:tcBorders>
              <w:top w:val="nil"/>
              <w:left w:val="nil"/>
              <w:bottom w:val="nil"/>
              <w:right w:val="nil"/>
            </w:tcBorders>
            <w:shd w:val="clear" w:color="auto" w:fill="auto"/>
            <w:noWrap/>
            <w:vAlign w:val="bottom"/>
            <w:hideMark/>
          </w:tcPr>
          <w:p w14:paraId="52B142D9"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755E5DD7" w14:textId="77777777" w:rsidR="005C6C22" w:rsidRPr="005C6C22" w:rsidRDefault="005C6C22" w:rsidP="005C6C22">
            <w:pPr>
              <w:spacing w:after="0"/>
              <w:jc w:val="left"/>
              <w:rPr>
                <w:sz w:val="18"/>
                <w:szCs w:val="18"/>
              </w:rPr>
            </w:pPr>
          </w:p>
        </w:tc>
        <w:tc>
          <w:tcPr>
            <w:tcW w:w="903" w:type="dxa"/>
            <w:tcBorders>
              <w:top w:val="nil"/>
              <w:left w:val="nil"/>
              <w:bottom w:val="nil"/>
              <w:right w:val="nil"/>
            </w:tcBorders>
            <w:shd w:val="clear" w:color="auto" w:fill="auto"/>
            <w:noWrap/>
            <w:vAlign w:val="bottom"/>
            <w:hideMark/>
          </w:tcPr>
          <w:p w14:paraId="4042E73C" w14:textId="77777777" w:rsidR="005C6C22" w:rsidRPr="005C6C22" w:rsidRDefault="005C6C22" w:rsidP="005C6C22">
            <w:pPr>
              <w:spacing w:after="0"/>
              <w:jc w:val="left"/>
              <w:rPr>
                <w:sz w:val="18"/>
                <w:szCs w:val="18"/>
              </w:rPr>
            </w:pPr>
          </w:p>
        </w:tc>
        <w:tc>
          <w:tcPr>
            <w:tcW w:w="1077" w:type="dxa"/>
            <w:tcBorders>
              <w:top w:val="nil"/>
              <w:left w:val="nil"/>
              <w:bottom w:val="nil"/>
              <w:right w:val="nil"/>
            </w:tcBorders>
            <w:shd w:val="clear" w:color="auto" w:fill="auto"/>
            <w:noWrap/>
            <w:vAlign w:val="bottom"/>
            <w:hideMark/>
          </w:tcPr>
          <w:p w14:paraId="61ADB273" w14:textId="77777777" w:rsidR="005C6C22" w:rsidRPr="005C6C22" w:rsidRDefault="005C6C22" w:rsidP="005C6C22">
            <w:pPr>
              <w:spacing w:after="0"/>
              <w:jc w:val="left"/>
              <w:rPr>
                <w:sz w:val="18"/>
                <w:szCs w:val="18"/>
              </w:rPr>
            </w:pPr>
          </w:p>
        </w:tc>
        <w:tc>
          <w:tcPr>
            <w:tcW w:w="900" w:type="dxa"/>
            <w:tcBorders>
              <w:top w:val="nil"/>
              <w:left w:val="nil"/>
              <w:bottom w:val="nil"/>
              <w:right w:val="nil"/>
            </w:tcBorders>
            <w:shd w:val="clear" w:color="auto" w:fill="auto"/>
            <w:noWrap/>
            <w:vAlign w:val="bottom"/>
            <w:hideMark/>
          </w:tcPr>
          <w:p w14:paraId="5FA3D4D2" w14:textId="77777777" w:rsidR="005C6C22" w:rsidRPr="005C6C22" w:rsidRDefault="005C6C22" w:rsidP="005C6C22">
            <w:pPr>
              <w:spacing w:after="0"/>
              <w:jc w:val="left"/>
              <w:rPr>
                <w:sz w:val="18"/>
                <w:szCs w:val="18"/>
              </w:rPr>
            </w:pPr>
          </w:p>
        </w:tc>
        <w:tc>
          <w:tcPr>
            <w:tcW w:w="812" w:type="dxa"/>
            <w:tcBorders>
              <w:top w:val="nil"/>
              <w:left w:val="nil"/>
              <w:bottom w:val="nil"/>
              <w:right w:val="nil"/>
            </w:tcBorders>
            <w:shd w:val="clear" w:color="auto" w:fill="auto"/>
            <w:noWrap/>
            <w:vAlign w:val="bottom"/>
            <w:hideMark/>
          </w:tcPr>
          <w:p w14:paraId="2B285D79" w14:textId="77777777" w:rsidR="005C6C22" w:rsidRPr="005C6C22" w:rsidRDefault="005C6C22" w:rsidP="005C6C22">
            <w:pPr>
              <w:spacing w:after="0"/>
              <w:jc w:val="left"/>
              <w:rPr>
                <w:sz w:val="18"/>
                <w:szCs w:val="18"/>
              </w:rPr>
            </w:pPr>
          </w:p>
        </w:tc>
        <w:tc>
          <w:tcPr>
            <w:tcW w:w="808" w:type="dxa"/>
            <w:tcBorders>
              <w:top w:val="nil"/>
              <w:left w:val="nil"/>
              <w:bottom w:val="nil"/>
              <w:right w:val="nil"/>
            </w:tcBorders>
            <w:shd w:val="clear" w:color="auto" w:fill="auto"/>
            <w:noWrap/>
            <w:vAlign w:val="bottom"/>
            <w:hideMark/>
          </w:tcPr>
          <w:p w14:paraId="4696B4FC" w14:textId="77777777" w:rsidR="005C6C22" w:rsidRPr="005C6C22" w:rsidRDefault="005C6C22" w:rsidP="005C6C22">
            <w:pPr>
              <w:spacing w:after="0"/>
              <w:jc w:val="left"/>
              <w:rPr>
                <w:sz w:val="18"/>
                <w:szCs w:val="18"/>
              </w:rPr>
            </w:pPr>
          </w:p>
        </w:tc>
        <w:tc>
          <w:tcPr>
            <w:tcW w:w="920" w:type="dxa"/>
            <w:tcBorders>
              <w:top w:val="nil"/>
              <w:left w:val="nil"/>
              <w:bottom w:val="nil"/>
              <w:right w:val="nil"/>
            </w:tcBorders>
            <w:shd w:val="clear" w:color="auto" w:fill="auto"/>
            <w:noWrap/>
            <w:vAlign w:val="bottom"/>
            <w:hideMark/>
          </w:tcPr>
          <w:p w14:paraId="1EAA1312" w14:textId="77777777" w:rsidR="005C6C22" w:rsidRPr="005C6C22" w:rsidRDefault="005C6C22" w:rsidP="005C6C22">
            <w:pPr>
              <w:spacing w:after="0"/>
              <w:jc w:val="left"/>
              <w:rPr>
                <w:sz w:val="18"/>
                <w:szCs w:val="18"/>
              </w:rPr>
            </w:pPr>
          </w:p>
        </w:tc>
        <w:tc>
          <w:tcPr>
            <w:tcW w:w="880" w:type="dxa"/>
            <w:tcBorders>
              <w:top w:val="nil"/>
              <w:left w:val="nil"/>
              <w:bottom w:val="nil"/>
              <w:right w:val="nil"/>
            </w:tcBorders>
            <w:shd w:val="clear" w:color="auto" w:fill="auto"/>
            <w:noWrap/>
            <w:vAlign w:val="bottom"/>
            <w:hideMark/>
          </w:tcPr>
          <w:p w14:paraId="7DAA661D" w14:textId="77777777" w:rsidR="005C6C22" w:rsidRPr="005C6C22" w:rsidRDefault="005C6C22" w:rsidP="005C6C22">
            <w:pPr>
              <w:spacing w:after="0"/>
              <w:jc w:val="left"/>
              <w:rPr>
                <w:sz w:val="18"/>
                <w:szCs w:val="18"/>
              </w:rPr>
            </w:pPr>
          </w:p>
        </w:tc>
        <w:tc>
          <w:tcPr>
            <w:tcW w:w="810" w:type="dxa"/>
            <w:tcBorders>
              <w:top w:val="nil"/>
              <w:left w:val="nil"/>
              <w:bottom w:val="nil"/>
              <w:right w:val="nil"/>
            </w:tcBorders>
            <w:shd w:val="clear" w:color="auto" w:fill="auto"/>
            <w:noWrap/>
            <w:vAlign w:val="bottom"/>
            <w:hideMark/>
          </w:tcPr>
          <w:p w14:paraId="0D1C58CE" w14:textId="77777777" w:rsidR="005C6C22" w:rsidRPr="005C6C22" w:rsidRDefault="005C6C22" w:rsidP="005C6C22">
            <w:pPr>
              <w:spacing w:after="0"/>
              <w:jc w:val="left"/>
              <w:rPr>
                <w:sz w:val="18"/>
                <w:szCs w:val="18"/>
              </w:rPr>
            </w:pPr>
          </w:p>
        </w:tc>
        <w:tc>
          <w:tcPr>
            <w:tcW w:w="630" w:type="dxa"/>
            <w:tcBorders>
              <w:top w:val="nil"/>
              <w:left w:val="nil"/>
              <w:bottom w:val="nil"/>
              <w:right w:val="nil"/>
            </w:tcBorders>
            <w:shd w:val="clear" w:color="auto" w:fill="auto"/>
            <w:noWrap/>
            <w:vAlign w:val="bottom"/>
            <w:hideMark/>
          </w:tcPr>
          <w:p w14:paraId="13878A77" w14:textId="77777777" w:rsidR="005C6C22" w:rsidRPr="005C6C22" w:rsidRDefault="005C6C22" w:rsidP="005C6C22">
            <w:pPr>
              <w:spacing w:after="0"/>
              <w:jc w:val="left"/>
              <w:rPr>
                <w:sz w:val="18"/>
                <w:szCs w:val="18"/>
              </w:rPr>
            </w:pPr>
          </w:p>
        </w:tc>
      </w:tr>
      <w:tr w:rsidR="00E97325" w:rsidRPr="005C6C22" w14:paraId="36587F5D" w14:textId="77777777" w:rsidTr="00E97325">
        <w:trPr>
          <w:trHeight w:val="300"/>
        </w:trPr>
        <w:tc>
          <w:tcPr>
            <w:tcW w:w="810" w:type="dxa"/>
            <w:tcBorders>
              <w:top w:val="nil"/>
              <w:left w:val="nil"/>
              <w:bottom w:val="nil"/>
              <w:right w:val="nil"/>
            </w:tcBorders>
            <w:shd w:val="clear" w:color="auto" w:fill="auto"/>
            <w:noWrap/>
            <w:vAlign w:val="bottom"/>
            <w:hideMark/>
          </w:tcPr>
          <w:p w14:paraId="5A9A0977"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Area 3A</w:t>
            </w:r>
          </w:p>
        </w:tc>
        <w:tc>
          <w:tcPr>
            <w:tcW w:w="900" w:type="dxa"/>
            <w:tcBorders>
              <w:top w:val="nil"/>
              <w:left w:val="nil"/>
              <w:bottom w:val="nil"/>
              <w:right w:val="nil"/>
            </w:tcBorders>
            <w:shd w:val="clear" w:color="auto" w:fill="auto"/>
            <w:noWrap/>
            <w:vAlign w:val="bottom"/>
            <w:hideMark/>
          </w:tcPr>
          <w:p w14:paraId="626A0F91"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G-</w:t>
            </w:r>
            <w:proofErr w:type="spellStart"/>
            <w:r w:rsidRPr="005C6C22">
              <w:rPr>
                <w:rFonts w:ascii="Calibri" w:hAnsi="Calibri" w:cs="Calibri"/>
                <w:color w:val="000000"/>
                <w:sz w:val="18"/>
                <w:szCs w:val="18"/>
              </w:rPr>
              <w:t>GlacB</w:t>
            </w:r>
            <w:proofErr w:type="spellEnd"/>
          </w:p>
        </w:tc>
        <w:tc>
          <w:tcPr>
            <w:tcW w:w="903" w:type="dxa"/>
            <w:tcBorders>
              <w:top w:val="nil"/>
              <w:left w:val="nil"/>
              <w:bottom w:val="nil"/>
              <w:right w:val="nil"/>
            </w:tcBorders>
            <w:shd w:val="clear" w:color="auto" w:fill="auto"/>
            <w:noWrap/>
            <w:vAlign w:val="bottom"/>
            <w:hideMark/>
          </w:tcPr>
          <w:p w14:paraId="19E418C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1,374</w:t>
            </w:r>
          </w:p>
        </w:tc>
        <w:tc>
          <w:tcPr>
            <w:tcW w:w="1077" w:type="dxa"/>
            <w:tcBorders>
              <w:top w:val="nil"/>
              <w:left w:val="nil"/>
              <w:bottom w:val="nil"/>
              <w:right w:val="nil"/>
            </w:tcBorders>
            <w:shd w:val="clear" w:color="auto" w:fill="auto"/>
            <w:noWrap/>
            <w:vAlign w:val="bottom"/>
            <w:hideMark/>
          </w:tcPr>
          <w:p w14:paraId="5E9646E1"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0.999</w:t>
            </w:r>
          </w:p>
        </w:tc>
        <w:tc>
          <w:tcPr>
            <w:tcW w:w="900" w:type="dxa"/>
            <w:tcBorders>
              <w:top w:val="nil"/>
              <w:left w:val="nil"/>
              <w:bottom w:val="nil"/>
              <w:right w:val="nil"/>
            </w:tcBorders>
            <w:shd w:val="clear" w:color="auto" w:fill="auto"/>
            <w:noWrap/>
            <w:vAlign w:val="bottom"/>
            <w:hideMark/>
          </w:tcPr>
          <w:p w14:paraId="462A0A5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1,372</w:t>
            </w:r>
          </w:p>
        </w:tc>
        <w:tc>
          <w:tcPr>
            <w:tcW w:w="812" w:type="dxa"/>
            <w:tcBorders>
              <w:top w:val="nil"/>
              <w:left w:val="nil"/>
              <w:bottom w:val="nil"/>
              <w:right w:val="nil"/>
            </w:tcBorders>
            <w:shd w:val="clear" w:color="auto" w:fill="auto"/>
            <w:noWrap/>
            <w:vAlign w:val="bottom"/>
            <w:hideMark/>
          </w:tcPr>
          <w:p w14:paraId="55DC8FD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0.723</w:t>
            </w:r>
          </w:p>
        </w:tc>
        <w:tc>
          <w:tcPr>
            <w:tcW w:w="808" w:type="dxa"/>
            <w:tcBorders>
              <w:top w:val="nil"/>
              <w:left w:val="nil"/>
              <w:bottom w:val="nil"/>
              <w:right w:val="nil"/>
            </w:tcBorders>
            <w:shd w:val="clear" w:color="auto" w:fill="auto"/>
            <w:noWrap/>
            <w:vAlign w:val="bottom"/>
            <w:hideMark/>
          </w:tcPr>
          <w:p w14:paraId="09860C56"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0.107</w:t>
            </w:r>
          </w:p>
        </w:tc>
        <w:tc>
          <w:tcPr>
            <w:tcW w:w="920" w:type="dxa"/>
            <w:tcBorders>
              <w:top w:val="nil"/>
              <w:left w:val="nil"/>
              <w:bottom w:val="nil"/>
              <w:right w:val="nil"/>
            </w:tcBorders>
            <w:shd w:val="clear" w:color="auto" w:fill="auto"/>
            <w:noWrap/>
            <w:vAlign w:val="bottom"/>
            <w:hideMark/>
          </w:tcPr>
          <w:p w14:paraId="7693F6B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1,899</w:t>
            </w:r>
          </w:p>
        </w:tc>
        <w:tc>
          <w:tcPr>
            <w:tcW w:w="880" w:type="dxa"/>
            <w:tcBorders>
              <w:top w:val="nil"/>
              <w:left w:val="nil"/>
              <w:bottom w:val="nil"/>
              <w:right w:val="nil"/>
            </w:tcBorders>
            <w:shd w:val="clear" w:color="auto" w:fill="auto"/>
            <w:noWrap/>
            <w:vAlign w:val="bottom"/>
            <w:hideMark/>
          </w:tcPr>
          <w:p w14:paraId="256BA7AA"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281</w:t>
            </w:r>
          </w:p>
        </w:tc>
        <w:tc>
          <w:tcPr>
            <w:tcW w:w="810" w:type="dxa"/>
            <w:tcBorders>
              <w:top w:val="nil"/>
              <w:left w:val="nil"/>
              <w:bottom w:val="nil"/>
              <w:right w:val="nil"/>
            </w:tcBorders>
            <w:shd w:val="clear" w:color="auto" w:fill="auto"/>
            <w:noWrap/>
            <w:vAlign w:val="bottom"/>
            <w:hideMark/>
          </w:tcPr>
          <w:p w14:paraId="2E0BE3A0"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1,609</w:t>
            </w:r>
          </w:p>
        </w:tc>
        <w:tc>
          <w:tcPr>
            <w:tcW w:w="630" w:type="dxa"/>
            <w:tcBorders>
              <w:top w:val="nil"/>
              <w:left w:val="nil"/>
              <w:bottom w:val="nil"/>
              <w:right w:val="nil"/>
            </w:tcBorders>
            <w:shd w:val="clear" w:color="auto" w:fill="auto"/>
            <w:noWrap/>
            <w:vAlign w:val="bottom"/>
            <w:hideMark/>
          </w:tcPr>
          <w:p w14:paraId="192833D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18.0%</w:t>
            </w:r>
          </w:p>
        </w:tc>
      </w:tr>
      <w:tr w:rsidR="00E97325" w:rsidRPr="005C6C22" w14:paraId="5AA0C3BD" w14:textId="77777777" w:rsidTr="00E97325">
        <w:trPr>
          <w:trHeight w:val="300"/>
        </w:trPr>
        <w:tc>
          <w:tcPr>
            <w:tcW w:w="810" w:type="dxa"/>
            <w:tcBorders>
              <w:top w:val="nil"/>
              <w:left w:val="nil"/>
              <w:bottom w:val="nil"/>
              <w:right w:val="nil"/>
            </w:tcBorders>
            <w:shd w:val="clear" w:color="auto" w:fill="auto"/>
            <w:noWrap/>
            <w:vAlign w:val="bottom"/>
            <w:hideMark/>
          </w:tcPr>
          <w:p w14:paraId="7C1AF397"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30FFDBC5"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H - Yak</w:t>
            </w:r>
          </w:p>
        </w:tc>
        <w:tc>
          <w:tcPr>
            <w:tcW w:w="903" w:type="dxa"/>
            <w:tcBorders>
              <w:top w:val="nil"/>
              <w:left w:val="nil"/>
              <w:bottom w:val="nil"/>
              <w:right w:val="nil"/>
            </w:tcBorders>
            <w:shd w:val="clear" w:color="auto" w:fill="auto"/>
            <w:noWrap/>
            <w:vAlign w:val="bottom"/>
            <w:hideMark/>
          </w:tcPr>
          <w:p w14:paraId="629EEE67"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1,661</w:t>
            </w:r>
          </w:p>
        </w:tc>
        <w:tc>
          <w:tcPr>
            <w:tcW w:w="1077" w:type="dxa"/>
            <w:tcBorders>
              <w:top w:val="nil"/>
              <w:left w:val="nil"/>
              <w:bottom w:val="nil"/>
              <w:right w:val="nil"/>
            </w:tcBorders>
            <w:shd w:val="clear" w:color="auto" w:fill="auto"/>
            <w:noWrap/>
            <w:vAlign w:val="bottom"/>
            <w:hideMark/>
          </w:tcPr>
          <w:p w14:paraId="062CDD7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1.006</w:t>
            </w:r>
          </w:p>
        </w:tc>
        <w:tc>
          <w:tcPr>
            <w:tcW w:w="900" w:type="dxa"/>
            <w:tcBorders>
              <w:top w:val="nil"/>
              <w:left w:val="nil"/>
              <w:bottom w:val="nil"/>
              <w:right w:val="nil"/>
            </w:tcBorders>
            <w:shd w:val="clear" w:color="auto" w:fill="auto"/>
            <w:noWrap/>
            <w:vAlign w:val="bottom"/>
            <w:hideMark/>
          </w:tcPr>
          <w:p w14:paraId="02388489"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1,671</w:t>
            </w:r>
          </w:p>
        </w:tc>
        <w:tc>
          <w:tcPr>
            <w:tcW w:w="812" w:type="dxa"/>
            <w:tcBorders>
              <w:top w:val="nil"/>
              <w:left w:val="nil"/>
              <w:bottom w:val="nil"/>
              <w:right w:val="nil"/>
            </w:tcBorders>
            <w:shd w:val="clear" w:color="auto" w:fill="auto"/>
            <w:noWrap/>
            <w:vAlign w:val="bottom"/>
            <w:hideMark/>
          </w:tcPr>
          <w:p w14:paraId="4D4123A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0.572</w:t>
            </w:r>
          </w:p>
        </w:tc>
        <w:tc>
          <w:tcPr>
            <w:tcW w:w="808" w:type="dxa"/>
            <w:tcBorders>
              <w:top w:val="nil"/>
              <w:left w:val="nil"/>
              <w:bottom w:val="nil"/>
              <w:right w:val="nil"/>
            </w:tcBorders>
            <w:shd w:val="clear" w:color="auto" w:fill="auto"/>
            <w:noWrap/>
            <w:vAlign w:val="bottom"/>
            <w:hideMark/>
          </w:tcPr>
          <w:p w14:paraId="5700C99B"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0.043</w:t>
            </w:r>
          </w:p>
        </w:tc>
        <w:tc>
          <w:tcPr>
            <w:tcW w:w="920" w:type="dxa"/>
            <w:tcBorders>
              <w:top w:val="nil"/>
              <w:left w:val="nil"/>
              <w:bottom w:val="nil"/>
              <w:right w:val="nil"/>
            </w:tcBorders>
            <w:shd w:val="clear" w:color="auto" w:fill="auto"/>
            <w:noWrap/>
            <w:vAlign w:val="bottom"/>
            <w:hideMark/>
          </w:tcPr>
          <w:p w14:paraId="5443224A"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2,923</w:t>
            </w:r>
          </w:p>
        </w:tc>
        <w:tc>
          <w:tcPr>
            <w:tcW w:w="880" w:type="dxa"/>
            <w:tcBorders>
              <w:top w:val="nil"/>
              <w:left w:val="nil"/>
              <w:bottom w:val="nil"/>
              <w:right w:val="nil"/>
            </w:tcBorders>
            <w:shd w:val="clear" w:color="auto" w:fill="auto"/>
            <w:noWrap/>
            <w:vAlign w:val="bottom"/>
            <w:hideMark/>
          </w:tcPr>
          <w:p w14:paraId="2E8748B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220</w:t>
            </w:r>
          </w:p>
        </w:tc>
        <w:tc>
          <w:tcPr>
            <w:tcW w:w="810" w:type="dxa"/>
            <w:tcBorders>
              <w:top w:val="nil"/>
              <w:left w:val="nil"/>
              <w:bottom w:val="nil"/>
              <w:right w:val="nil"/>
            </w:tcBorders>
            <w:shd w:val="clear" w:color="auto" w:fill="auto"/>
            <w:noWrap/>
            <w:vAlign w:val="bottom"/>
            <w:hideMark/>
          </w:tcPr>
          <w:p w14:paraId="16FCD060"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3,196</w:t>
            </w:r>
          </w:p>
        </w:tc>
        <w:tc>
          <w:tcPr>
            <w:tcW w:w="630" w:type="dxa"/>
            <w:tcBorders>
              <w:top w:val="nil"/>
              <w:left w:val="nil"/>
              <w:bottom w:val="nil"/>
              <w:right w:val="nil"/>
            </w:tcBorders>
            <w:shd w:val="clear" w:color="auto" w:fill="auto"/>
            <w:noWrap/>
            <w:vAlign w:val="bottom"/>
            <w:hideMark/>
          </w:tcPr>
          <w:p w14:paraId="7BD2A214"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-8.5%</w:t>
            </w:r>
          </w:p>
        </w:tc>
      </w:tr>
      <w:tr w:rsidR="00E97325" w:rsidRPr="005C6C22" w14:paraId="4A94793F" w14:textId="77777777" w:rsidTr="00E97325">
        <w:trPr>
          <w:trHeight w:val="300"/>
        </w:trPr>
        <w:tc>
          <w:tcPr>
            <w:tcW w:w="810" w:type="dxa"/>
            <w:tcBorders>
              <w:top w:val="nil"/>
              <w:left w:val="nil"/>
              <w:bottom w:val="nil"/>
              <w:right w:val="nil"/>
            </w:tcBorders>
            <w:shd w:val="clear" w:color="auto" w:fill="auto"/>
            <w:noWrap/>
            <w:vAlign w:val="bottom"/>
            <w:hideMark/>
          </w:tcPr>
          <w:p w14:paraId="648207D8"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6B73CFAB"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EPWS</w:t>
            </w:r>
          </w:p>
        </w:tc>
        <w:tc>
          <w:tcPr>
            <w:tcW w:w="903" w:type="dxa"/>
            <w:tcBorders>
              <w:top w:val="nil"/>
              <w:left w:val="nil"/>
              <w:bottom w:val="nil"/>
              <w:right w:val="nil"/>
            </w:tcBorders>
            <w:shd w:val="clear" w:color="auto" w:fill="auto"/>
            <w:noWrap/>
            <w:vAlign w:val="bottom"/>
            <w:hideMark/>
          </w:tcPr>
          <w:p w14:paraId="54F2CA0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2,875</w:t>
            </w:r>
          </w:p>
        </w:tc>
        <w:tc>
          <w:tcPr>
            <w:tcW w:w="1077" w:type="dxa"/>
            <w:tcBorders>
              <w:top w:val="nil"/>
              <w:left w:val="nil"/>
              <w:bottom w:val="nil"/>
              <w:right w:val="nil"/>
            </w:tcBorders>
            <w:shd w:val="clear" w:color="auto" w:fill="auto"/>
            <w:noWrap/>
            <w:vAlign w:val="bottom"/>
            <w:hideMark/>
          </w:tcPr>
          <w:p w14:paraId="013D78F1"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1.016</w:t>
            </w:r>
          </w:p>
        </w:tc>
        <w:tc>
          <w:tcPr>
            <w:tcW w:w="900" w:type="dxa"/>
            <w:tcBorders>
              <w:top w:val="nil"/>
              <w:left w:val="nil"/>
              <w:bottom w:val="nil"/>
              <w:right w:val="nil"/>
            </w:tcBorders>
            <w:shd w:val="clear" w:color="auto" w:fill="auto"/>
            <w:noWrap/>
            <w:vAlign w:val="bottom"/>
            <w:hideMark/>
          </w:tcPr>
          <w:p w14:paraId="2E555579"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2,922</w:t>
            </w:r>
          </w:p>
        </w:tc>
        <w:tc>
          <w:tcPr>
            <w:tcW w:w="812" w:type="dxa"/>
            <w:tcBorders>
              <w:top w:val="nil"/>
              <w:left w:val="nil"/>
              <w:bottom w:val="nil"/>
              <w:right w:val="nil"/>
            </w:tcBorders>
            <w:shd w:val="clear" w:color="auto" w:fill="auto"/>
            <w:noWrap/>
            <w:vAlign w:val="bottom"/>
            <w:hideMark/>
          </w:tcPr>
          <w:p w14:paraId="1ABCC4F9"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0.743</w:t>
            </w:r>
          </w:p>
        </w:tc>
        <w:tc>
          <w:tcPr>
            <w:tcW w:w="808" w:type="dxa"/>
            <w:tcBorders>
              <w:top w:val="nil"/>
              <w:left w:val="nil"/>
              <w:bottom w:val="nil"/>
              <w:right w:val="nil"/>
            </w:tcBorders>
            <w:shd w:val="clear" w:color="auto" w:fill="auto"/>
            <w:noWrap/>
            <w:vAlign w:val="bottom"/>
            <w:hideMark/>
          </w:tcPr>
          <w:p w14:paraId="56DD446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0.048</w:t>
            </w:r>
          </w:p>
        </w:tc>
        <w:tc>
          <w:tcPr>
            <w:tcW w:w="920" w:type="dxa"/>
            <w:tcBorders>
              <w:top w:val="nil"/>
              <w:left w:val="nil"/>
              <w:bottom w:val="nil"/>
              <w:right w:val="nil"/>
            </w:tcBorders>
            <w:shd w:val="clear" w:color="auto" w:fill="auto"/>
            <w:noWrap/>
            <w:vAlign w:val="bottom"/>
            <w:hideMark/>
          </w:tcPr>
          <w:p w14:paraId="019637F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3,932</w:t>
            </w:r>
          </w:p>
        </w:tc>
        <w:tc>
          <w:tcPr>
            <w:tcW w:w="880" w:type="dxa"/>
            <w:tcBorders>
              <w:top w:val="nil"/>
              <w:left w:val="nil"/>
              <w:bottom w:val="nil"/>
              <w:right w:val="nil"/>
            </w:tcBorders>
            <w:shd w:val="clear" w:color="auto" w:fill="auto"/>
            <w:noWrap/>
            <w:vAlign w:val="bottom"/>
            <w:hideMark/>
          </w:tcPr>
          <w:p w14:paraId="7AEDC95B"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252</w:t>
            </w:r>
          </w:p>
        </w:tc>
        <w:tc>
          <w:tcPr>
            <w:tcW w:w="810" w:type="dxa"/>
            <w:tcBorders>
              <w:top w:val="nil"/>
              <w:left w:val="nil"/>
              <w:bottom w:val="nil"/>
              <w:right w:val="nil"/>
            </w:tcBorders>
            <w:shd w:val="clear" w:color="auto" w:fill="auto"/>
            <w:noWrap/>
            <w:vAlign w:val="bottom"/>
            <w:hideMark/>
          </w:tcPr>
          <w:p w14:paraId="0F52A4F8"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4,090</w:t>
            </w:r>
          </w:p>
        </w:tc>
        <w:tc>
          <w:tcPr>
            <w:tcW w:w="630" w:type="dxa"/>
            <w:tcBorders>
              <w:top w:val="nil"/>
              <w:left w:val="nil"/>
              <w:bottom w:val="nil"/>
              <w:right w:val="nil"/>
            </w:tcBorders>
            <w:shd w:val="clear" w:color="auto" w:fill="auto"/>
            <w:noWrap/>
            <w:vAlign w:val="bottom"/>
            <w:hideMark/>
          </w:tcPr>
          <w:p w14:paraId="708F755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-3.9%</w:t>
            </w:r>
          </w:p>
        </w:tc>
      </w:tr>
      <w:tr w:rsidR="00E97325" w:rsidRPr="005C6C22" w14:paraId="165FF50D" w14:textId="77777777" w:rsidTr="00E97325">
        <w:trPr>
          <w:trHeight w:val="300"/>
        </w:trPr>
        <w:tc>
          <w:tcPr>
            <w:tcW w:w="810" w:type="dxa"/>
            <w:tcBorders>
              <w:top w:val="nil"/>
              <w:left w:val="nil"/>
              <w:bottom w:val="nil"/>
              <w:right w:val="nil"/>
            </w:tcBorders>
            <w:shd w:val="clear" w:color="auto" w:fill="auto"/>
            <w:noWrap/>
            <w:vAlign w:val="bottom"/>
            <w:hideMark/>
          </w:tcPr>
          <w:p w14:paraId="3CFC310A"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31F22D97"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WPWS</w:t>
            </w:r>
          </w:p>
        </w:tc>
        <w:tc>
          <w:tcPr>
            <w:tcW w:w="903" w:type="dxa"/>
            <w:tcBorders>
              <w:top w:val="nil"/>
              <w:left w:val="nil"/>
              <w:bottom w:val="nil"/>
              <w:right w:val="nil"/>
            </w:tcBorders>
            <w:shd w:val="clear" w:color="auto" w:fill="auto"/>
            <w:noWrap/>
            <w:vAlign w:val="bottom"/>
            <w:hideMark/>
          </w:tcPr>
          <w:p w14:paraId="32CBD55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2,521</w:t>
            </w:r>
          </w:p>
        </w:tc>
        <w:tc>
          <w:tcPr>
            <w:tcW w:w="1077" w:type="dxa"/>
            <w:tcBorders>
              <w:top w:val="nil"/>
              <w:left w:val="nil"/>
              <w:bottom w:val="nil"/>
              <w:right w:val="nil"/>
            </w:tcBorders>
            <w:shd w:val="clear" w:color="auto" w:fill="auto"/>
            <w:noWrap/>
            <w:vAlign w:val="bottom"/>
            <w:hideMark/>
          </w:tcPr>
          <w:p w14:paraId="50C4627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1.011</w:t>
            </w:r>
          </w:p>
        </w:tc>
        <w:tc>
          <w:tcPr>
            <w:tcW w:w="900" w:type="dxa"/>
            <w:tcBorders>
              <w:top w:val="nil"/>
              <w:left w:val="nil"/>
              <w:bottom w:val="nil"/>
              <w:right w:val="nil"/>
            </w:tcBorders>
            <w:shd w:val="clear" w:color="auto" w:fill="auto"/>
            <w:noWrap/>
            <w:vAlign w:val="bottom"/>
            <w:hideMark/>
          </w:tcPr>
          <w:p w14:paraId="1903473B"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2,549</w:t>
            </w:r>
          </w:p>
        </w:tc>
        <w:tc>
          <w:tcPr>
            <w:tcW w:w="812" w:type="dxa"/>
            <w:tcBorders>
              <w:top w:val="nil"/>
              <w:left w:val="nil"/>
              <w:bottom w:val="nil"/>
              <w:right w:val="nil"/>
            </w:tcBorders>
            <w:shd w:val="clear" w:color="auto" w:fill="auto"/>
            <w:noWrap/>
            <w:vAlign w:val="bottom"/>
            <w:hideMark/>
          </w:tcPr>
          <w:p w14:paraId="2DD0528A"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0.681</w:t>
            </w:r>
          </w:p>
        </w:tc>
        <w:tc>
          <w:tcPr>
            <w:tcW w:w="808" w:type="dxa"/>
            <w:tcBorders>
              <w:top w:val="nil"/>
              <w:left w:val="nil"/>
              <w:bottom w:val="nil"/>
              <w:right w:val="nil"/>
            </w:tcBorders>
            <w:shd w:val="clear" w:color="auto" w:fill="auto"/>
            <w:noWrap/>
            <w:vAlign w:val="bottom"/>
            <w:hideMark/>
          </w:tcPr>
          <w:p w14:paraId="2BFB432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0.047</w:t>
            </w:r>
          </w:p>
        </w:tc>
        <w:tc>
          <w:tcPr>
            <w:tcW w:w="920" w:type="dxa"/>
            <w:tcBorders>
              <w:top w:val="nil"/>
              <w:left w:val="nil"/>
              <w:bottom w:val="nil"/>
              <w:right w:val="nil"/>
            </w:tcBorders>
            <w:shd w:val="clear" w:color="auto" w:fill="auto"/>
            <w:noWrap/>
            <w:vAlign w:val="bottom"/>
            <w:hideMark/>
          </w:tcPr>
          <w:p w14:paraId="614B68BC"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3,741</w:t>
            </w:r>
          </w:p>
        </w:tc>
        <w:tc>
          <w:tcPr>
            <w:tcW w:w="880" w:type="dxa"/>
            <w:tcBorders>
              <w:top w:val="nil"/>
              <w:left w:val="nil"/>
              <w:bottom w:val="nil"/>
              <w:right w:val="nil"/>
            </w:tcBorders>
            <w:shd w:val="clear" w:color="auto" w:fill="auto"/>
            <w:noWrap/>
            <w:vAlign w:val="bottom"/>
            <w:hideMark/>
          </w:tcPr>
          <w:p w14:paraId="24FDD807"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260</w:t>
            </w:r>
          </w:p>
        </w:tc>
        <w:tc>
          <w:tcPr>
            <w:tcW w:w="810" w:type="dxa"/>
            <w:tcBorders>
              <w:top w:val="nil"/>
              <w:left w:val="nil"/>
              <w:bottom w:val="nil"/>
              <w:right w:val="nil"/>
            </w:tcBorders>
            <w:shd w:val="clear" w:color="auto" w:fill="auto"/>
            <w:noWrap/>
            <w:vAlign w:val="bottom"/>
            <w:hideMark/>
          </w:tcPr>
          <w:p w14:paraId="39555551"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3,737</w:t>
            </w:r>
          </w:p>
        </w:tc>
        <w:tc>
          <w:tcPr>
            <w:tcW w:w="630" w:type="dxa"/>
            <w:tcBorders>
              <w:top w:val="nil"/>
              <w:left w:val="nil"/>
              <w:bottom w:val="nil"/>
              <w:right w:val="nil"/>
            </w:tcBorders>
            <w:shd w:val="clear" w:color="auto" w:fill="auto"/>
            <w:noWrap/>
            <w:vAlign w:val="bottom"/>
            <w:hideMark/>
          </w:tcPr>
          <w:p w14:paraId="19B6D6E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0.1%</w:t>
            </w:r>
          </w:p>
        </w:tc>
      </w:tr>
      <w:tr w:rsidR="00E97325" w:rsidRPr="005C6C22" w14:paraId="3BBB6547" w14:textId="77777777" w:rsidTr="00E97325">
        <w:trPr>
          <w:trHeight w:val="300"/>
        </w:trPr>
        <w:tc>
          <w:tcPr>
            <w:tcW w:w="810" w:type="dxa"/>
            <w:tcBorders>
              <w:top w:val="nil"/>
              <w:left w:val="nil"/>
              <w:bottom w:val="nil"/>
              <w:right w:val="nil"/>
            </w:tcBorders>
            <w:shd w:val="clear" w:color="auto" w:fill="auto"/>
            <w:noWrap/>
            <w:vAlign w:val="bottom"/>
            <w:hideMark/>
          </w:tcPr>
          <w:p w14:paraId="7A48BAFA"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5339FF0E" w14:textId="77777777" w:rsidR="005C6C22" w:rsidRPr="005C6C22" w:rsidRDefault="005C6C22" w:rsidP="005C6C22">
            <w:pPr>
              <w:spacing w:after="0"/>
              <w:jc w:val="left"/>
              <w:rPr>
                <w:rFonts w:ascii="Calibri" w:hAnsi="Calibri" w:cs="Calibri"/>
                <w:color w:val="000000"/>
                <w:sz w:val="18"/>
                <w:szCs w:val="18"/>
              </w:rPr>
            </w:pPr>
            <w:proofErr w:type="spellStart"/>
            <w:r w:rsidRPr="005C6C22">
              <w:rPr>
                <w:rFonts w:ascii="Calibri" w:hAnsi="Calibri" w:cs="Calibri"/>
                <w:color w:val="000000"/>
                <w:sz w:val="18"/>
                <w:szCs w:val="18"/>
              </w:rPr>
              <w:t>Ngulf</w:t>
            </w:r>
            <w:proofErr w:type="spellEnd"/>
          </w:p>
        </w:tc>
        <w:tc>
          <w:tcPr>
            <w:tcW w:w="903" w:type="dxa"/>
            <w:tcBorders>
              <w:top w:val="nil"/>
              <w:left w:val="nil"/>
              <w:bottom w:val="nil"/>
              <w:right w:val="nil"/>
            </w:tcBorders>
            <w:shd w:val="clear" w:color="auto" w:fill="auto"/>
            <w:noWrap/>
            <w:vAlign w:val="bottom"/>
            <w:hideMark/>
          </w:tcPr>
          <w:p w14:paraId="72FAAE3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21,593</w:t>
            </w:r>
          </w:p>
        </w:tc>
        <w:tc>
          <w:tcPr>
            <w:tcW w:w="1077" w:type="dxa"/>
            <w:tcBorders>
              <w:top w:val="nil"/>
              <w:left w:val="nil"/>
              <w:bottom w:val="nil"/>
              <w:right w:val="nil"/>
            </w:tcBorders>
            <w:shd w:val="clear" w:color="auto" w:fill="auto"/>
            <w:noWrap/>
            <w:vAlign w:val="bottom"/>
            <w:hideMark/>
          </w:tcPr>
          <w:p w14:paraId="15F9CCD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1.005</w:t>
            </w:r>
          </w:p>
        </w:tc>
        <w:tc>
          <w:tcPr>
            <w:tcW w:w="900" w:type="dxa"/>
            <w:tcBorders>
              <w:top w:val="nil"/>
              <w:left w:val="nil"/>
              <w:bottom w:val="nil"/>
              <w:right w:val="nil"/>
            </w:tcBorders>
            <w:shd w:val="clear" w:color="auto" w:fill="auto"/>
            <w:noWrap/>
            <w:vAlign w:val="bottom"/>
            <w:hideMark/>
          </w:tcPr>
          <w:p w14:paraId="2B3541A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21,699</w:t>
            </w:r>
          </w:p>
        </w:tc>
        <w:tc>
          <w:tcPr>
            <w:tcW w:w="812" w:type="dxa"/>
            <w:tcBorders>
              <w:top w:val="nil"/>
              <w:left w:val="nil"/>
              <w:bottom w:val="nil"/>
              <w:right w:val="nil"/>
            </w:tcBorders>
            <w:shd w:val="clear" w:color="auto" w:fill="auto"/>
            <w:noWrap/>
            <w:vAlign w:val="bottom"/>
            <w:hideMark/>
          </w:tcPr>
          <w:p w14:paraId="352592AB"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0.682</w:t>
            </w:r>
          </w:p>
        </w:tc>
        <w:tc>
          <w:tcPr>
            <w:tcW w:w="808" w:type="dxa"/>
            <w:tcBorders>
              <w:top w:val="nil"/>
              <w:left w:val="nil"/>
              <w:bottom w:val="nil"/>
              <w:right w:val="nil"/>
            </w:tcBorders>
            <w:shd w:val="clear" w:color="auto" w:fill="auto"/>
            <w:noWrap/>
            <w:vAlign w:val="bottom"/>
            <w:hideMark/>
          </w:tcPr>
          <w:p w14:paraId="7D78778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0.031</w:t>
            </w:r>
          </w:p>
        </w:tc>
        <w:tc>
          <w:tcPr>
            <w:tcW w:w="920" w:type="dxa"/>
            <w:tcBorders>
              <w:top w:val="nil"/>
              <w:left w:val="nil"/>
              <w:bottom w:val="nil"/>
              <w:right w:val="nil"/>
            </w:tcBorders>
            <w:shd w:val="clear" w:color="auto" w:fill="auto"/>
            <w:noWrap/>
            <w:vAlign w:val="bottom"/>
            <w:hideMark/>
          </w:tcPr>
          <w:p w14:paraId="118E1B8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31,822</w:t>
            </w:r>
          </w:p>
        </w:tc>
        <w:tc>
          <w:tcPr>
            <w:tcW w:w="880" w:type="dxa"/>
            <w:tcBorders>
              <w:top w:val="nil"/>
              <w:left w:val="nil"/>
              <w:bottom w:val="nil"/>
              <w:right w:val="nil"/>
            </w:tcBorders>
            <w:shd w:val="clear" w:color="auto" w:fill="auto"/>
            <w:noWrap/>
            <w:vAlign w:val="bottom"/>
            <w:hideMark/>
          </w:tcPr>
          <w:p w14:paraId="13C21D2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1,431</w:t>
            </w:r>
          </w:p>
        </w:tc>
        <w:tc>
          <w:tcPr>
            <w:tcW w:w="810" w:type="dxa"/>
            <w:tcBorders>
              <w:top w:val="nil"/>
              <w:left w:val="nil"/>
              <w:bottom w:val="nil"/>
              <w:right w:val="nil"/>
            </w:tcBorders>
            <w:shd w:val="clear" w:color="auto" w:fill="auto"/>
            <w:noWrap/>
            <w:vAlign w:val="bottom"/>
            <w:hideMark/>
          </w:tcPr>
          <w:p w14:paraId="18E5FDC0"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32,576</w:t>
            </w:r>
          </w:p>
        </w:tc>
        <w:tc>
          <w:tcPr>
            <w:tcW w:w="630" w:type="dxa"/>
            <w:tcBorders>
              <w:top w:val="nil"/>
              <w:left w:val="nil"/>
              <w:bottom w:val="nil"/>
              <w:right w:val="nil"/>
            </w:tcBorders>
            <w:shd w:val="clear" w:color="auto" w:fill="auto"/>
            <w:noWrap/>
            <w:vAlign w:val="bottom"/>
            <w:hideMark/>
          </w:tcPr>
          <w:p w14:paraId="4A445D4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-2.3%</w:t>
            </w:r>
          </w:p>
        </w:tc>
      </w:tr>
      <w:tr w:rsidR="00E97325" w:rsidRPr="005C6C22" w14:paraId="2F0B065E" w14:textId="77777777" w:rsidTr="00E97325">
        <w:trPr>
          <w:trHeight w:val="300"/>
        </w:trPr>
        <w:tc>
          <w:tcPr>
            <w:tcW w:w="810" w:type="dxa"/>
            <w:tcBorders>
              <w:top w:val="nil"/>
              <w:left w:val="nil"/>
              <w:bottom w:val="nil"/>
              <w:right w:val="nil"/>
            </w:tcBorders>
            <w:shd w:val="clear" w:color="auto" w:fill="auto"/>
            <w:noWrap/>
            <w:vAlign w:val="bottom"/>
            <w:hideMark/>
          </w:tcPr>
          <w:p w14:paraId="1F2931A2"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0A61C95B"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LCI</w:t>
            </w:r>
          </w:p>
        </w:tc>
        <w:tc>
          <w:tcPr>
            <w:tcW w:w="903" w:type="dxa"/>
            <w:tcBorders>
              <w:top w:val="nil"/>
              <w:left w:val="nil"/>
              <w:bottom w:val="nil"/>
              <w:right w:val="nil"/>
            </w:tcBorders>
            <w:shd w:val="clear" w:color="auto" w:fill="auto"/>
            <w:noWrap/>
            <w:vAlign w:val="bottom"/>
            <w:hideMark/>
          </w:tcPr>
          <w:p w14:paraId="64764FB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41,061</w:t>
            </w:r>
          </w:p>
        </w:tc>
        <w:tc>
          <w:tcPr>
            <w:tcW w:w="1077" w:type="dxa"/>
            <w:tcBorders>
              <w:top w:val="nil"/>
              <w:left w:val="nil"/>
              <w:bottom w:val="nil"/>
              <w:right w:val="nil"/>
            </w:tcBorders>
            <w:shd w:val="clear" w:color="auto" w:fill="auto"/>
            <w:noWrap/>
            <w:vAlign w:val="bottom"/>
            <w:hideMark/>
          </w:tcPr>
          <w:p w14:paraId="29DC3CE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1.007</w:t>
            </w:r>
          </w:p>
        </w:tc>
        <w:tc>
          <w:tcPr>
            <w:tcW w:w="900" w:type="dxa"/>
            <w:tcBorders>
              <w:top w:val="nil"/>
              <w:left w:val="nil"/>
              <w:bottom w:val="nil"/>
              <w:right w:val="nil"/>
            </w:tcBorders>
            <w:shd w:val="clear" w:color="auto" w:fill="auto"/>
            <w:noWrap/>
            <w:vAlign w:val="bottom"/>
            <w:hideMark/>
          </w:tcPr>
          <w:p w14:paraId="011835B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41,357</w:t>
            </w:r>
          </w:p>
        </w:tc>
        <w:tc>
          <w:tcPr>
            <w:tcW w:w="812" w:type="dxa"/>
            <w:tcBorders>
              <w:top w:val="nil"/>
              <w:left w:val="nil"/>
              <w:bottom w:val="nil"/>
              <w:right w:val="nil"/>
            </w:tcBorders>
            <w:shd w:val="clear" w:color="auto" w:fill="auto"/>
            <w:noWrap/>
            <w:vAlign w:val="bottom"/>
            <w:hideMark/>
          </w:tcPr>
          <w:p w14:paraId="18D18D3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0.664</w:t>
            </w:r>
          </w:p>
        </w:tc>
        <w:tc>
          <w:tcPr>
            <w:tcW w:w="808" w:type="dxa"/>
            <w:tcBorders>
              <w:top w:val="nil"/>
              <w:left w:val="nil"/>
              <w:bottom w:val="nil"/>
              <w:right w:val="nil"/>
            </w:tcBorders>
            <w:shd w:val="clear" w:color="auto" w:fill="auto"/>
            <w:noWrap/>
            <w:vAlign w:val="bottom"/>
            <w:hideMark/>
          </w:tcPr>
          <w:p w14:paraId="3A243C3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0.018</w:t>
            </w:r>
          </w:p>
        </w:tc>
        <w:tc>
          <w:tcPr>
            <w:tcW w:w="920" w:type="dxa"/>
            <w:tcBorders>
              <w:top w:val="nil"/>
              <w:left w:val="nil"/>
              <w:bottom w:val="nil"/>
              <w:right w:val="nil"/>
            </w:tcBorders>
            <w:shd w:val="clear" w:color="auto" w:fill="auto"/>
            <w:noWrap/>
            <w:vAlign w:val="bottom"/>
            <w:hideMark/>
          </w:tcPr>
          <w:p w14:paraId="1B280F2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62,319</w:t>
            </w:r>
          </w:p>
        </w:tc>
        <w:tc>
          <w:tcPr>
            <w:tcW w:w="880" w:type="dxa"/>
            <w:tcBorders>
              <w:top w:val="nil"/>
              <w:left w:val="nil"/>
              <w:bottom w:val="nil"/>
              <w:right w:val="nil"/>
            </w:tcBorders>
            <w:shd w:val="clear" w:color="auto" w:fill="auto"/>
            <w:noWrap/>
            <w:vAlign w:val="bottom"/>
            <w:hideMark/>
          </w:tcPr>
          <w:p w14:paraId="6AD8EC54"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1,702</w:t>
            </w:r>
          </w:p>
        </w:tc>
        <w:tc>
          <w:tcPr>
            <w:tcW w:w="810" w:type="dxa"/>
            <w:tcBorders>
              <w:top w:val="nil"/>
              <w:left w:val="nil"/>
              <w:bottom w:val="nil"/>
              <w:right w:val="nil"/>
            </w:tcBorders>
            <w:shd w:val="clear" w:color="auto" w:fill="auto"/>
            <w:noWrap/>
            <w:vAlign w:val="bottom"/>
            <w:hideMark/>
          </w:tcPr>
          <w:p w14:paraId="1EEF4B14"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60,845</w:t>
            </w:r>
          </w:p>
        </w:tc>
        <w:tc>
          <w:tcPr>
            <w:tcW w:w="630" w:type="dxa"/>
            <w:tcBorders>
              <w:top w:val="nil"/>
              <w:left w:val="nil"/>
              <w:bottom w:val="nil"/>
              <w:right w:val="nil"/>
            </w:tcBorders>
            <w:shd w:val="clear" w:color="auto" w:fill="auto"/>
            <w:noWrap/>
            <w:vAlign w:val="bottom"/>
            <w:hideMark/>
          </w:tcPr>
          <w:p w14:paraId="5D1FFBC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2.4%</w:t>
            </w:r>
          </w:p>
        </w:tc>
      </w:tr>
      <w:tr w:rsidR="00E97325" w:rsidRPr="005C6C22" w14:paraId="1519F3BA" w14:textId="77777777" w:rsidTr="00E97325">
        <w:trPr>
          <w:trHeight w:val="300"/>
        </w:trPr>
        <w:tc>
          <w:tcPr>
            <w:tcW w:w="810" w:type="dxa"/>
            <w:tcBorders>
              <w:top w:val="nil"/>
              <w:left w:val="nil"/>
              <w:bottom w:val="nil"/>
              <w:right w:val="nil"/>
            </w:tcBorders>
            <w:shd w:val="clear" w:color="auto" w:fill="auto"/>
            <w:noWrap/>
            <w:vAlign w:val="bottom"/>
            <w:hideMark/>
          </w:tcPr>
          <w:p w14:paraId="55000E67"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7E355F7A"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CCI</w:t>
            </w:r>
          </w:p>
        </w:tc>
        <w:tc>
          <w:tcPr>
            <w:tcW w:w="903" w:type="dxa"/>
            <w:tcBorders>
              <w:top w:val="nil"/>
              <w:left w:val="nil"/>
              <w:bottom w:val="nil"/>
              <w:right w:val="nil"/>
            </w:tcBorders>
            <w:shd w:val="clear" w:color="auto" w:fill="auto"/>
            <w:noWrap/>
            <w:vAlign w:val="bottom"/>
            <w:hideMark/>
          </w:tcPr>
          <w:p w14:paraId="609CD84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21,371</w:t>
            </w:r>
          </w:p>
        </w:tc>
        <w:tc>
          <w:tcPr>
            <w:tcW w:w="1077" w:type="dxa"/>
            <w:tcBorders>
              <w:top w:val="nil"/>
              <w:left w:val="nil"/>
              <w:bottom w:val="nil"/>
              <w:right w:val="nil"/>
            </w:tcBorders>
            <w:shd w:val="clear" w:color="auto" w:fill="auto"/>
            <w:noWrap/>
            <w:vAlign w:val="bottom"/>
            <w:hideMark/>
          </w:tcPr>
          <w:p w14:paraId="7C214F7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1.010</w:t>
            </w:r>
          </w:p>
        </w:tc>
        <w:tc>
          <w:tcPr>
            <w:tcW w:w="900" w:type="dxa"/>
            <w:tcBorders>
              <w:top w:val="nil"/>
              <w:left w:val="nil"/>
              <w:bottom w:val="nil"/>
              <w:right w:val="nil"/>
            </w:tcBorders>
            <w:shd w:val="clear" w:color="auto" w:fill="auto"/>
            <w:noWrap/>
            <w:vAlign w:val="bottom"/>
            <w:hideMark/>
          </w:tcPr>
          <w:p w14:paraId="24F1785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21,589</w:t>
            </w:r>
          </w:p>
        </w:tc>
        <w:tc>
          <w:tcPr>
            <w:tcW w:w="812" w:type="dxa"/>
            <w:tcBorders>
              <w:top w:val="nil"/>
              <w:left w:val="nil"/>
              <w:bottom w:val="nil"/>
              <w:right w:val="nil"/>
            </w:tcBorders>
            <w:shd w:val="clear" w:color="auto" w:fill="auto"/>
            <w:noWrap/>
            <w:vAlign w:val="bottom"/>
            <w:hideMark/>
          </w:tcPr>
          <w:p w14:paraId="5EA39194"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0.733</w:t>
            </w:r>
          </w:p>
        </w:tc>
        <w:tc>
          <w:tcPr>
            <w:tcW w:w="808" w:type="dxa"/>
            <w:tcBorders>
              <w:top w:val="nil"/>
              <w:left w:val="nil"/>
              <w:bottom w:val="nil"/>
              <w:right w:val="nil"/>
            </w:tcBorders>
            <w:shd w:val="clear" w:color="auto" w:fill="auto"/>
            <w:noWrap/>
            <w:vAlign w:val="bottom"/>
            <w:hideMark/>
          </w:tcPr>
          <w:p w14:paraId="4414B607"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0.016</w:t>
            </w:r>
          </w:p>
        </w:tc>
        <w:tc>
          <w:tcPr>
            <w:tcW w:w="920" w:type="dxa"/>
            <w:tcBorders>
              <w:top w:val="nil"/>
              <w:left w:val="nil"/>
              <w:bottom w:val="nil"/>
              <w:right w:val="nil"/>
            </w:tcBorders>
            <w:shd w:val="clear" w:color="auto" w:fill="auto"/>
            <w:noWrap/>
            <w:vAlign w:val="bottom"/>
            <w:hideMark/>
          </w:tcPr>
          <w:p w14:paraId="69980D8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29,438</w:t>
            </w:r>
          </w:p>
        </w:tc>
        <w:tc>
          <w:tcPr>
            <w:tcW w:w="880" w:type="dxa"/>
            <w:tcBorders>
              <w:top w:val="nil"/>
              <w:left w:val="nil"/>
              <w:bottom w:val="nil"/>
              <w:right w:val="nil"/>
            </w:tcBorders>
            <w:shd w:val="clear" w:color="auto" w:fill="auto"/>
            <w:noWrap/>
            <w:vAlign w:val="bottom"/>
            <w:hideMark/>
          </w:tcPr>
          <w:p w14:paraId="094BA58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643</w:t>
            </w:r>
          </w:p>
        </w:tc>
        <w:tc>
          <w:tcPr>
            <w:tcW w:w="810" w:type="dxa"/>
            <w:tcBorders>
              <w:top w:val="nil"/>
              <w:left w:val="nil"/>
              <w:bottom w:val="nil"/>
              <w:right w:val="nil"/>
            </w:tcBorders>
            <w:shd w:val="clear" w:color="auto" w:fill="auto"/>
            <w:noWrap/>
            <w:vAlign w:val="bottom"/>
            <w:hideMark/>
          </w:tcPr>
          <w:p w14:paraId="3618CE7B"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28,850</w:t>
            </w:r>
          </w:p>
        </w:tc>
        <w:tc>
          <w:tcPr>
            <w:tcW w:w="630" w:type="dxa"/>
            <w:tcBorders>
              <w:top w:val="nil"/>
              <w:left w:val="nil"/>
              <w:bottom w:val="nil"/>
              <w:right w:val="nil"/>
            </w:tcBorders>
            <w:shd w:val="clear" w:color="auto" w:fill="auto"/>
            <w:noWrap/>
            <w:vAlign w:val="bottom"/>
            <w:hideMark/>
          </w:tcPr>
          <w:p w14:paraId="70B61A4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2.0%</w:t>
            </w:r>
          </w:p>
        </w:tc>
      </w:tr>
      <w:tr w:rsidR="00E97325" w:rsidRPr="005C6C22" w14:paraId="78D6678F" w14:textId="77777777" w:rsidTr="00E97325">
        <w:trPr>
          <w:trHeight w:val="300"/>
        </w:trPr>
        <w:tc>
          <w:tcPr>
            <w:tcW w:w="810" w:type="dxa"/>
            <w:tcBorders>
              <w:top w:val="nil"/>
              <w:left w:val="nil"/>
              <w:bottom w:val="nil"/>
              <w:right w:val="nil"/>
            </w:tcBorders>
            <w:shd w:val="clear" w:color="auto" w:fill="auto"/>
            <w:noWrap/>
            <w:vAlign w:val="bottom"/>
            <w:hideMark/>
          </w:tcPr>
          <w:p w14:paraId="1FA7DE65"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single" w:sz="4" w:space="0" w:color="auto"/>
              <w:right w:val="nil"/>
            </w:tcBorders>
            <w:shd w:val="clear" w:color="auto" w:fill="auto"/>
            <w:noWrap/>
            <w:vAlign w:val="bottom"/>
            <w:hideMark/>
          </w:tcPr>
          <w:p w14:paraId="060B8889"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QR</w:t>
            </w:r>
          </w:p>
        </w:tc>
        <w:tc>
          <w:tcPr>
            <w:tcW w:w="903" w:type="dxa"/>
            <w:tcBorders>
              <w:top w:val="nil"/>
              <w:left w:val="nil"/>
              <w:bottom w:val="single" w:sz="4" w:space="0" w:color="auto"/>
              <w:right w:val="nil"/>
            </w:tcBorders>
            <w:shd w:val="clear" w:color="auto" w:fill="auto"/>
            <w:noWrap/>
            <w:vAlign w:val="bottom"/>
            <w:hideMark/>
          </w:tcPr>
          <w:p w14:paraId="038199F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3,958</w:t>
            </w:r>
          </w:p>
        </w:tc>
        <w:tc>
          <w:tcPr>
            <w:tcW w:w="1077" w:type="dxa"/>
            <w:tcBorders>
              <w:top w:val="nil"/>
              <w:left w:val="nil"/>
              <w:bottom w:val="single" w:sz="4" w:space="0" w:color="auto"/>
              <w:right w:val="nil"/>
            </w:tcBorders>
            <w:shd w:val="clear" w:color="auto" w:fill="auto"/>
            <w:noWrap/>
            <w:vAlign w:val="bottom"/>
            <w:hideMark/>
          </w:tcPr>
          <w:p w14:paraId="1DFC0999"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1.002</w:t>
            </w:r>
          </w:p>
        </w:tc>
        <w:tc>
          <w:tcPr>
            <w:tcW w:w="900" w:type="dxa"/>
            <w:tcBorders>
              <w:top w:val="nil"/>
              <w:left w:val="nil"/>
              <w:bottom w:val="single" w:sz="4" w:space="0" w:color="auto"/>
              <w:right w:val="nil"/>
            </w:tcBorders>
            <w:shd w:val="clear" w:color="auto" w:fill="auto"/>
            <w:noWrap/>
            <w:vAlign w:val="bottom"/>
            <w:hideMark/>
          </w:tcPr>
          <w:p w14:paraId="6908F1E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3,966</w:t>
            </w:r>
          </w:p>
        </w:tc>
        <w:tc>
          <w:tcPr>
            <w:tcW w:w="812" w:type="dxa"/>
            <w:tcBorders>
              <w:top w:val="nil"/>
              <w:left w:val="nil"/>
              <w:bottom w:val="single" w:sz="4" w:space="0" w:color="auto"/>
              <w:right w:val="nil"/>
            </w:tcBorders>
            <w:shd w:val="clear" w:color="auto" w:fill="auto"/>
            <w:noWrap/>
            <w:vAlign w:val="bottom"/>
            <w:hideMark/>
          </w:tcPr>
          <w:p w14:paraId="1734CAB1"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0.523</w:t>
            </w:r>
          </w:p>
        </w:tc>
        <w:tc>
          <w:tcPr>
            <w:tcW w:w="808" w:type="dxa"/>
            <w:tcBorders>
              <w:top w:val="nil"/>
              <w:left w:val="nil"/>
              <w:bottom w:val="single" w:sz="4" w:space="0" w:color="auto"/>
              <w:right w:val="nil"/>
            </w:tcBorders>
            <w:shd w:val="clear" w:color="auto" w:fill="auto"/>
            <w:noWrap/>
            <w:vAlign w:val="bottom"/>
            <w:hideMark/>
          </w:tcPr>
          <w:p w14:paraId="5F509C6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0.025</w:t>
            </w:r>
          </w:p>
        </w:tc>
        <w:tc>
          <w:tcPr>
            <w:tcW w:w="920" w:type="dxa"/>
            <w:tcBorders>
              <w:top w:val="nil"/>
              <w:left w:val="nil"/>
              <w:bottom w:val="single" w:sz="4" w:space="0" w:color="auto"/>
              <w:right w:val="nil"/>
            </w:tcBorders>
            <w:shd w:val="clear" w:color="auto" w:fill="auto"/>
            <w:noWrap/>
            <w:vAlign w:val="bottom"/>
            <w:hideMark/>
          </w:tcPr>
          <w:p w14:paraId="328BF1E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7,580</w:t>
            </w:r>
          </w:p>
        </w:tc>
        <w:tc>
          <w:tcPr>
            <w:tcW w:w="880" w:type="dxa"/>
            <w:tcBorders>
              <w:top w:val="nil"/>
              <w:left w:val="nil"/>
              <w:bottom w:val="single" w:sz="4" w:space="0" w:color="auto"/>
              <w:right w:val="nil"/>
            </w:tcBorders>
            <w:shd w:val="clear" w:color="auto" w:fill="auto"/>
            <w:noWrap/>
            <w:vAlign w:val="bottom"/>
            <w:hideMark/>
          </w:tcPr>
          <w:p w14:paraId="3DCD163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360</w:t>
            </w:r>
          </w:p>
        </w:tc>
        <w:tc>
          <w:tcPr>
            <w:tcW w:w="810" w:type="dxa"/>
            <w:tcBorders>
              <w:top w:val="nil"/>
              <w:left w:val="nil"/>
              <w:bottom w:val="single" w:sz="4" w:space="0" w:color="auto"/>
              <w:right w:val="nil"/>
            </w:tcBorders>
            <w:shd w:val="clear" w:color="auto" w:fill="auto"/>
            <w:noWrap/>
            <w:vAlign w:val="bottom"/>
            <w:hideMark/>
          </w:tcPr>
          <w:p w14:paraId="7FDB401B"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7,761</w:t>
            </w:r>
          </w:p>
        </w:tc>
        <w:tc>
          <w:tcPr>
            <w:tcW w:w="630" w:type="dxa"/>
            <w:tcBorders>
              <w:top w:val="nil"/>
              <w:left w:val="nil"/>
              <w:bottom w:val="single" w:sz="4" w:space="0" w:color="auto"/>
              <w:right w:val="nil"/>
            </w:tcBorders>
            <w:shd w:val="clear" w:color="auto" w:fill="auto"/>
            <w:noWrap/>
            <w:vAlign w:val="bottom"/>
            <w:hideMark/>
          </w:tcPr>
          <w:p w14:paraId="1937481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-2.3%</w:t>
            </w:r>
          </w:p>
        </w:tc>
      </w:tr>
      <w:tr w:rsidR="00E97325" w:rsidRPr="005C6C22" w14:paraId="1BE56858" w14:textId="77777777" w:rsidTr="00E97325">
        <w:trPr>
          <w:trHeight w:val="300"/>
        </w:trPr>
        <w:tc>
          <w:tcPr>
            <w:tcW w:w="810" w:type="dxa"/>
            <w:tcBorders>
              <w:top w:val="nil"/>
              <w:left w:val="nil"/>
              <w:bottom w:val="single" w:sz="4" w:space="0" w:color="auto"/>
              <w:right w:val="nil"/>
            </w:tcBorders>
            <w:shd w:val="clear" w:color="auto" w:fill="auto"/>
            <w:noWrap/>
            <w:vAlign w:val="bottom"/>
            <w:hideMark/>
          </w:tcPr>
          <w:p w14:paraId="544FCFC9"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w:t>
            </w:r>
          </w:p>
        </w:tc>
        <w:tc>
          <w:tcPr>
            <w:tcW w:w="900" w:type="dxa"/>
            <w:tcBorders>
              <w:top w:val="nil"/>
              <w:left w:val="nil"/>
              <w:bottom w:val="single" w:sz="4" w:space="0" w:color="auto"/>
              <w:right w:val="nil"/>
            </w:tcBorders>
            <w:shd w:val="clear" w:color="auto" w:fill="auto"/>
            <w:noWrap/>
            <w:vAlign w:val="bottom"/>
            <w:hideMark/>
          </w:tcPr>
          <w:p w14:paraId="14E32F29"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Total 3A</w:t>
            </w:r>
          </w:p>
        </w:tc>
        <w:tc>
          <w:tcPr>
            <w:tcW w:w="903" w:type="dxa"/>
            <w:tcBorders>
              <w:top w:val="nil"/>
              <w:left w:val="nil"/>
              <w:bottom w:val="single" w:sz="4" w:space="0" w:color="auto"/>
              <w:right w:val="nil"/>
            </w:tcBorders>
            <w:shd w:val="clear" w:color="auto" w:fill="auto"/>
            <w:noWrap/>
            <w:vAlign w:val="bottom"/>
            <w:hideMark/>
          </w:tcPr>
          <w:p w14:paraId="6A94E2E7"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96,414</w:t>
            </w:r>
          </w:p>
        </w:tc>
        <w:tc>
          <w:tcPr>
            <w:tcW w:w="1077" w:type="dxa"/>
            <w:tcBorders>
              <w:top w:val="nil"/>
              <w:left w:val="nil"/>
              <w:bottom w:val="single" w:sz="4" w:space="0" w:color="auto"/>
              <w:right w:val="nil"/>
            </w:tcBorders>
            <w:shd w:val="clear" w:color="auto" w:fill="auto"/>
            <w:noWrap/>
            <w:vAlign w:val="bottom"/>
            <w:hideMark/>
          </w:tcPr>
          <w:p w14:paraId="6CD19BCC"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w:t>
            </w:r>
          </w:p>
        </w:tc>
        <w:tc>
          <w:tcPr>
            <w:tcW w:w="900" w:type="dxa"/>
            <w:tcBorders>
              <w:top w:val="nil"/>
              <w:left w:val="nil"/>
              <w:bottom w:val="single" w:sz="4" w:space="0" w:color="auto"/>
              <w:right w:val="nil"/>
            </w:tcBorders>
            <w:shd w:val="clear" w:color="auto" w:fill="auto"/>
            <w:noWrap/>
            <w:vAlign w:val="bottom"/>
            <w:hideMark/>
          </w:tcPr>
          <w:p w14:paraId="4052BFD2"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w:t>
            </w:r>
          </w:p>
        </w:tc>
        <w:tc>
          <w:tcPr>
            <w:tcW w:w="812" w:type="dxa"/>
            <w:tcBorders>
              <w:top w:val="nil"/>
              <w:left w:val="nil"/>
              <w:bottom w:val="single" w:sz="4" w:space="0" w:color="auto"/>
              <w:right w:val="nil"/>
            </w:tcBorders>
            <w:shd w:val="clear" w:color="auto" w:fill="auto"/>
            <w:noWrap/>
            <w:vAlign w:val="bottom"/>
            <w:hideMark/>
          </w:tcPr>
          <w:p w14:paraId="4195A58B"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w:t>
            </w:r>
          </w:p>
        </w:tc>
        <w:tc>
          <w:tcPr>
            <w:tcW w:w="808" w:type="dxa"/>
            <w:tcBorders>
              <w:top w:val="nil"/>
              <w:left w:val="nil"/>
              <w:bottom w:val="single" w:sz="4" w:space="0" w:color="auto"/>
              <w:right w:val="nil"/>
            </w:tcBorders>
            <w:shd w:val="clear" w:color="auto" w:fill="auto"/>
            <w:noWrap/>
            <w:vAlign w:val="bottom"/>
            <w:hideMark/>
          </w:tcPr>
          <w:p w14:paraId="24FC9F90"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w:t>
            </w:r>
          </w:p>
        </w:tc>
        <w:tc>
          <w:tcPr>
            <w:tcW w:w="920" w:type="dxa"/>
            <w:tcBorders>
              <w:top w:val="nil"/>
              <w:left w:val="nil"/>
              <w:bottom w:val="single" w:sz="4" w:space="0" w:color="auto"/>
              <w:right w:val="nil"/>
            </w:tcBorders>
            <w:shd w:val="clear" w:color="auto" w:fill="auto"/>
            <w:noWrap/>
            <w:vAlign w:val="bottom"/>
            <w:hideMark/>
          </w:tcPr>
          <w:p w14:paraId="0A82178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143,654</w:t>
            </w:r>
          </w:p>
        </w:tc>
        <w:tc>
          <w:tcPr>
            <w:tcW w:w="880" w:type="dxa"/>
            <w:tcBorders>
              <w:top w:val="nil"/>
              <w:left w:val="nil"/>
              <w:bottom w:val="single" w:sz="4" w:space="0" w:color="auto"/>
              <w:right w:val="nil"/>
            </w:tcBorders>
            <w:shd w:val="clear" w:color="auto" w:fill="auto"/>
            <w:noWrap/>
            <w:vAlign w:val="bottom"/>
            <w:hideMark/>
          </w:tcPr>
          <w:p w14:paraId="3BCD631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2,397</w:t>
            </w:r>
          </w:p>
        </w:tc>
        <w:tc>
          <w:tcPr>
            <w:tcW w:w="810" w:type="dxa"/>
            <w:tcBorders>
              <w:top w:val="nil"/>
              <w:left w:val="nil"/>
              <w:bottom w:val="single" w:sz="4" w:space="0" w:color="auto"/>
              <w:right w:val="nil"/>
            </w:tcBorders>
            <w:shd w:val="clear" w:color="auto" w:fill="auto"/>
            <w:noWrap/>
            <w:vAlign w:val="bottom"/>
            <w:hideMark/>
          </w:tcPr>
          <w:p w14:paraId="515E78E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142,664</w:t>
            </w:r>
          </w:p>
        </w:tc>
        <w:tc>
          <w:tcPr>
            <w:tcW w:w="630" w:type="dxa"/>
            <w:tcBorders>
              <w:top w:val="nil"/>
              <w:left w:val="nil"/>
              <w:bottom w:val="single" w:sz="4" w:space="0" w:color="auto"/>
              <w:right w:val="nil"/>
            </w:tcBorders>
            <w:shd w:val="clear" w:color="auto" w:fill="auto"/>
            <w:noWrap/>
            <w:vAlign w:val="bottom"/>
            <w:hideMark/>
          </w:tcPr>
          <w:p w14:paraId="30508404"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0.7%</w:t>
            </w:r>
          </w:p>
        </w:tc>
      </w:tr>
    </w:tbl>
    <w:p w14:paraId="31D67366" w14:textId="5B262606" w:rsidR="005C6C22" w:rsidRPr="00E97325" w:rsidRDefault="00D363D3" w:rsidP="00CF3F31">
      <w:pPr>
        <w:rPr>
          <w:sz w:val="16"/>
          <w:szCs w:val="16"/>
          <w:vertAlign w:val="superscript"/>
        </w:rPr>
      </w:pPr>
      <w:r w:rsidRPr="00E97325">
        <w:rPr>
          <w:sz w:val="16"/>
          <w:szCs w:val="16"/>
          <w:vertAlign w:val="superscript"/>
        </w:rPr>
        <w:t xml:space="preserve">a </w:t>
      </w:r>
      <w:r w:rsidRPr="00E97325">
        <w:rPr>
          <w:sz w:val="16"/>
          <w:szCs w:val="16"/>
        </w:rPr>
        <w:t>Projection error is calculated as (projection – final) / final x 100</w:t>
      </w:r>
    </w:p>
    <w:p w14:paraId="1CB70771" w14:textId="77777777" w:rsidR="00D363D3" w:rsidRDefault="00D363D3" w:rsidP="009B03F1">
      <w:pPr>
        <w:rPr>
          <w:u w:val="single"/>
        </w:rPr>
      </w:pPr>
    </w:p>
    <w:p w14:paraId="2B483AE4" w14:textId="22F499A5" w:rsidR="00A8418B" w:rsidRPr="00EE48C5" w:rsidRDefault="00A04F70" w:rsidP="009B03F1">
      <w:pPr>
        <w:rPr>
          <w:sz w:val="22"/>
          <w:szCs w:val="20"/>
          <w:u w:val="single"/>
        </w:rPr>
      </w:pPr>
      <w:r w:rsidRPr="00EE48C5">
        <w:rPr>
          <w:u w:val="single"/>
        </w:rPr>
        <w:t>Unguided</w:t>
      </w:r>
      <w:r w:rsidR="00A8418B" w:rsidRPr="00EE48C5">
        <w:rPr>
          <w:u w:val="single"/>
        </w:rPr>
        <w:t xml:space="preserve"> Harvest:</w:t>
      </w:r>
    </w:p>
    <w:p w14:paraId="0D07F434" w14:textId="4EADF6F7" w:rsidR="00A8418B" w:rsidRPr="008423CF" w:rsidRDefault="00A8418B" w:rsidP="009B03F1">
      <w:r w:rsidRPr="00EE48C5">
        <w:t>Lacking any in</w:t>
      </w:r>
      <w:r w:rsidR="00E56068">
        <w:t>-</w:t>
      </w:r>
      <w:r w:rsidRPr="00EE48C5">
        <w:t>season measure of harvest</w:t>
      </w:r>
      <w:r w:rsidR="00AA1A02" w:rsidRPr="00EE48C5">
        <w:t xml:space="preserve"> in either region</w:t>
      </w:r>
      <w:r w:rsidRPr="00EE48C5">
        <w:t xml:space="preserve">, time series methods will be used to project </w:t>
      </w:r>
      <w:r w:rsidR="00A04F70" w:rsidRPr="00EE48C5">
        <w:t>unguided</w:t>
      </w:r>
      <w:r w:rsidRPr="00EE48C5">
        <w:t xml:space="preserve"> harvest for the current year. </w:t>
      </w:r>
      <w:r w:rsidR="00CD6078" w:rsidRPr="009059F1">
        <w:t xml:space="preserve">In </w:t>
      </w:r>
      <w:r w:rsidR="00B74063" w:rsidRPr="009059F1">
        <w:t>October 2012</w:t>
      </w:r>
      <w:r w:rsidR="000C72DB" w:rsidRPr="009059F1">
        <w:t>,</w:t>
      </w:r>
      <w:r w:rsidR="00B74063" w:rsidRPr="009059F1">
        <w:t xml:space="preserve"> t</w:t>
      </w:r>
      <w:r w:rsidRPr="009059F1">
        <w:t xml:space="preserve">he </w:t>
      </w:r>
      <w:r w:rsidR="00CD6078" w:rsidRPr="009059F1">
        <w:t>Council’s SSC</w:t>
      </w:r>
      <w:r w:rsidRPr="009059F1">
        <w:t xml:space="preserve"> re</w:t>
      </w:r>
      <w:r w:rsidR="00AA1A02" w:rsidRPr="009059F1">
        <w:t xml:space="preserve">commended using </w:t>
      </w:r>
      <w:r w:rsidR="0078413D" w:rsidRPr="009059F1">
        <w:t>auto-regressive integrated moving average (</w:t>
      </w:r>
      <w:r w:rsidR="00AA1A02" w:rsidRPr="009059F1">
        <w:t>ARIMA</w:t>
      </w:r>
      <w:r w:rsidR="0078413D" w:rsidRPr="009059F1">
        <w:t>)</w:t>
      </w:r>
      <w:r w:rsidR="00AA1A02" w:rsidRPr="009059F1">
        <w:t xml:space="preserve"> models.</w:t>
      </w:r>
      <w:r w:rsidRPr="009059F1">
        <w:t xml:space="preserve"> </w:t>
      </w:r>
      <w:r w:rsidR="00A04F70" w:rsidRPr="008423CF">
        <w:t>Unguided</w:t>
      </w:r>
      <w:r w:rsidRPr="008423CF">
        <w:t xml:space="preserve"> yield Y</w:t>
      </w:r>
      <w:r w:rsidR="008423CF" w:rsidRPr="008423CF">
        <w:rPr>
          <w:vertAlign w:val="subscript"/>
        </w:rPr>
        <w:t>U</w:t>
      </w:r>
      <w:r w:rsidRPr="008423CF">
        <w:t xml:space="preserve"> will be projected using the combination of time series forecasts of the number of fish harvested and mean weights from the current year as follows:</w:t>
      </w:r>
    </w:p>
    <w:tbl>
      <w:tblPr>
        <w:tblW w:w="9540" w:type="dxa"/>
        <w:tblInd w:w="18" w:type="dxa"/>
        <w:tblLayout w:type="fixed"/>
        <w:tblLook w:val="01E0" w:firstRow="1" w:lastRow="1" w:firstColumn="1" w:lastColumn="1" w:noHBand="0" w:noVBand="0"/>
      </w:tblPr>
      <w:tblGrid>
        <w:gridCol w:w="900"/>
        <w:gridCol w:w="7920"/>
        <w:gridCol w:w="720"/>
      </w:tblGrid>
      <w:tr w:rsidR="00A8418B" w:rsidRPr="008423CF" w14:paraId="2EDC27AB" w14:textId="77777777" w:rsidTr="008423CF">
        <w:trPr>
          <w:trHeight w:val="738"/>
        </w:trPr>
        <w:tc>
          <w:tcPr>
            <w:tcW w:w="8820" w:type="dxa"/>
            <w:gridSpan w:val="2"/>
            <w:vAlign w:val="center"/>
          </w:tcPr>
          <w:p w14:paraId="05302B49" w14:textId="79987E68" w:rsidR="00A8418B" w:rsidRPr="008423CF" w:rsidRDefault="000B0B97" w:rsidP="009B03F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Ua</m:t>
                        </m:r>
                      </m:sub>
                    </m:sSub>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Ua</m:t>
                        </m:r>
                      </m:sub>
                    </m:sSub>
                  </m:e>
                </m:nary>
              </m:oMath>
            </m:oMathPara>
          </w:p>
        </w:tc>
        <w:tc>
          <w:tcPr>
            <w:tcW w:w="720" w:type="dxa"/>
            <w:vAlign w:val="center"/>
          </w:tcPr>
          <w:p w14:paraId="23F9526F" w14:textId="0FFC99A0" w:rsidR="00A8418B" w:rsidRPr="008423CF" w:rsidRDefault="00A8418B" w:rsidP="00DD75C2">
            <w:r w:rsidRPr="008423CF">
              <w:t>(</w:t>
            </w:r>
            <w:r w:rsidR="00087E63">
              <w:t>9</w:t>
            </w:r>
            <w:r w:rsidRPr="008423CF">
              <w:t>)</w:t>
            </w:r>
          </w:p>
        </w:tc>
      </w:tr>
      <w:tr w:rsidR="00A8418B" w:rsidRPr="008423CF" w14:paraId="6595E7E4" w14:textId="77777777" w:rsidTr="008423CF">
        <w:trPr>
          <w:trHeight w:val="144"/>
        </w:trPr>
        <w:tc>
          <w:tcPr>
            <w:tcW w:w="900" w:type="dxa"/>
            <w:vAlign w:val="center"/>
          </w:tcPr>
          <w:p w14:paraId="4EEA9F91" w14:textId="77777777" w:rsidR="00A8418B" w:rsidRPr="008423CF" w:rsidRDefault="00A8418B" w:rsidP="009B03F1">
            <w:r w:rsidRPr="008423CF">
              <w:t>where</w:t>
            </w:r>
          </w:p>
        </w:tc>
        <w:tc>
          <w:tcPr>
            <w:tcW w:w="8640" w:type="dxa"/>
            <w:gridSpan w:val="2"/>
            <w:vAlign w:val="center"/>
          </w:tcPr>
          <w:p w14:paraId="19F84C5A" w14:textId="77777777" w:rsidR="00A8418B" w:rsidRPr="008423CF" w:rsidRDefault="00A8418B" w:rsidP="009B03F1"/>
        </w:tc>
      </w:tr>
      <w:tr w:rsidR="00A8418B" w:rsidRPr="008423CF" w14:paraId="762C837B" w14:textId="77777777" w:rsidTr="008423CF">
        <w:trPr>
          <w:trHeight w:val="144"/>
        </w:trPr>
        <w:tc>
          <w:tcPr>
            <w:tcW w:w="900" w:type="dxa"/>
            <w:vAlign w:val="center"/>
          </w:tcPr>
          <w:p w14:paraId="42EE15CE" w14:textId="3E9CA774" w:rsidR="00A8418B" w:rsidRPr="008423CF" w:rsidRDefault="000B0B97" w:rsidP="009B03F1">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m:t>
                    </m:r>
                  </m:sub>
                </m:sSub>
              </m:oMath>
            </m:oMathPara>
          </w:p>
        </w:tc>
        <w:tc>
          <w:tcPr>
            <w:tcW w:w="8640" w:type="dxa"/>
            <w:gridSpan w:val="2"/>
            <w:vAlign w:val="center"/>
          </w:tcPr>
          <w:p w14:paraId="42C762F7" w14:textId="77777777" w:rsidR="00A8418B" w:rsidRPr="008423CF" w:rsidRDefault="00A8418B" w:rsidP="002E0BD4">
            <w:r w:rsidRPr="008423CF">
              <w:t xml:space="preserve">= the projected </w:t>
            </w:r>
            <w:r w:rsidR="00A04F70" w:rsidRPr="008423CF">
              <w:t>unguided</w:t>
            </w:r>
            <w:r w:rsidRPr="008423CF">
              <w:t xml:space="preserve"> halibut yield,</w:t>
            </w:r>
          </w:p>
        </w:tc>
      </w:tr>
      <w:tr w:rsidR="00A8418B" w:rsidRPr="008423CF" w14:paraId="54345190" w14:textId="77777777" w:rsidTr="008423CF">
        <w:trPr>
          <w:trHeight w:val="144"/>
        </w:trPr>
        <w:tc>
          <w:tcPr>
            <w:tcW w:w="900" w:type="dxa"/>
            <w:vAlign w:val="center"/>
          </w:tcPr>
          <w:p w14:paraId="24BCF926" w14:textId="584BBE9C" w:rsidR="00A8418B" w:rsidRPr="008423CF" w:rsidRDefault="000B0B97" w:rsidP="009B03F1">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Ua</m:t>
                    </m:r>
                  </m:sub>
                </m:sSub>
              </m:oMath>
            </m:oMathPara>
          </w:p>
        </w:tc>
        <w:tc>
          <w:tcPr>
            <w:tcW w:w="8640" w:type="dxa"/>
            <w:gridSpan w:val="2"/>
            <w:vAlign w:val="center"/>
          </w:tcPr>
          <w:p w14:paraId="00AEFD34" w14:textId="77777777" w:rsidR="00A8418B" w:rsidRPr="008423CF" w:rsidRDefault="00A8418B" w:rsidP="00916F51">
            <w:r w:rsidRPr="008423CF">
              <w:t xml:space="preserve">= the time series forecast of </w:t>
            </w:r>
            <w:r w:rsidR="00A04F70" w:rsidRPr="008423CF">
              <w:t>unguided</w:t>
            </w:r>
            <w:r w:rsidRPr="008423CF">
              <w:t xml:space="preserve"> halibut </w:t>
            </w:r>
            <w:r w:rsidR="00916F51" w:rsidRPr="008423CF">
              <w:t>harvest</w:t>
            </w:r>
            <w:r w:rsidRPr="008423CF">
              <w:t xml:space="preserve"> for subarea </w:t>
            </w:r>
            <w:r w:rsidRPr="008423CF">
              <w:rPr>
                <w:i/>
              </w:rPr>
              <w:t>a</w:t>
            </w:r>
            <w:r w:rsidRPr="008423CF">
              <w:t>, and</w:t>
            </w:r>
          </w:p>
        </w:tc>
      </w:tr>
      <w:tr w:rsidR="00A8418B" w:rsidRPr="008423CF" w14:paraId="486751B8" w14:textId="77777777" w:rsidTr="008423CF">
        <w:trPr>
          <w:trHeight w:val="468"/>
        </w:trPr>
        <w:tc>
          <w:tcPr>
            <w:tcW w:w="900" w:type="dxa"/>
            <w:vAlign w:val="center"/>
          </w:tcPr>
          <w:p w14:paraId="7629D874" w14:textId="58C91194" w:rsidR="00A8418B" w:rsidRPr="008423CF" w:rsidRDefault="000B0B97" w:rsidP="009B03F1">
            <m:oMathPara>
              <m:oMath>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Ua</m:t>
                    </m:r>
                  </m:sub>
                </m:sSub>
              </m:oMath>
            </m:oMathPara>
          </w:p>
        </w:tc>
        <w:tc>
          <w:tcPr>
            <w:tcW w:w="8640" w:type="dxa"/>
            <w:gridSpan w:val="2"/>
            <w:vAlign w:val="center"/>
          </w:tcPr>
          <w:p w14:paraId="3E61C8F6" w14:textId="77777777" w:rsidR="00A8418B" w:rsidRPr="008423CF" w:rsidRDefault="00A8418B" w:rsidP="009B03F1">
            <w:r w:rsidRPr="008423CF">
              <w:t xml:space="preserve">= the estimated mean weight of halibut harvested by </w:t>
            </w:r>
            <w:r w:rsidR="00A04F70" w:rsidRPr="008423CF">
              <w:t>unguided</w:t>
            </w:r>
            <w:r w:rsidRPr="008423CF">
              <w:t xml:space="preserve"> anglers in subarea </w:t>
            </w:r>
            <w:r w:rsidRPr="008423CF">
              <w:rPr>
                <w:i/>
              </w:rPr>
              <w:t>a</w:t>
            </w:r>
            <w:r w:rsidRPr="008423CF">
              <w:t>.</w:t>
            </w:r>
          </w:p>
        </w:tc>
      </w:tr>
    </w:tbl>
    <w:p w14:paraId="19B1D56B" w14:textId="2350FF5A" w:rsidR="008423CF" w:rsidRPr="00B27D52" w:rsidRDefault="008423CF" w:rsidP="008423CF">
      <w:r w:rsidRPr="00FC68D1">
        <w:t xml:space="preserve">The variances of yield estimates for the </w:t>
      </w:r>
      <w:r>
        <w:t>unguided</w:t>
      </w:r>
      <w:r w:rsidRPr="00FC68D1">
        <w:t xml:space="preserve"> sector in each IPHC</w:t>
      </w:r>
      <w:r>
        <w:t xml:space="preserve"> </w:t>
      </w:r>
      <w:proofErr w:type="spellStart"/>
      <w:r>
        <w:t>Regualtory</w:t>
      </w:r>
      <w:proofErr w:type="spellEnd"/>
      <w:r w:rsidRPr="00FC68D1">
        <w:t xml:space="preserve"> area are obtained by Markov Chain Monte Carlo </w:t>
      </w:r>
      <w:r w:rsidRPr="00B27D52">
        <w:t xml:space="preserve">methods using the program </w:t>
      </w:r>
      <w:proofErr w:type="spellStart"/>
      <w:r w:rsidRPr="00B27D52">
        <w:t>OpenBugs</w:t>
      </w:r>
      <w:proofErr w:type="spellEnd"/>
      <w:r w:rsidRPr="00B27D52">
        <w:t xml:space="preserve"> (example code in Appendix A1). </w:t>
      </w:r>
    </w:p>
    <w:p w14:paraId="0850FA2C" w14:textId="2A7612B6" w:rsidR="00B74063" w:rsidRPr="008423CF" w:rsidRDefault="0042123A" w:rsidP="00BA479D">
      <w:r w:rsidRPr="009059F1">
        <w:t>A</w:t>
      </w:r>
      <w:r w:rsidR="00B74063" w:rsidRPr="009059F1">
        <w:t>ppropriate time series models w</w:t>
      </w:r>
      <w:r w:rsidRPr="009059F1">
        <w:t>ill be</w:t>
      </w:r>
      <w:r w:rsidR="00B74063" w:rsidRPr="009059F1">
        <w:t xml:space="preserve"> identified using the Box and Jenkins</w:t>
      </w:r>
      <w:r w:rsidR="00AB083A" w:rsidRPr="009059F1">
        <w:t xml:space="preserve"> (1976) </w:t>
      </w:r>
      <w:r w:rsidR="00B74063" w:rsidRPr="009059F1">
        <w:t>procedure for ARIMA models</w:t>
      </w:r>
      <w:r w:rsidR="007A2EF2" w:rsidRPr="009059F1">
        <w:t xml:space="preserve"> as described in Chapter 7 of the SAS</w:t>
      </w:r>
      <w:r w:rsidR="00AB083A" w:rsidRPr="009059F1">
        <w:t>/E</w:t>
      </w:r>
      <w:r w:rsidR="007A2EF2" w:rsidRPr="009059F1">
        <w:t>TS User Guide (SAS 2011)</w:t>
      </w:r>
      <w:r w:rsidR="00B74063" w:rsidRPr="009059F1">
        <w:t>.</w:t>
      </w:r>
      <w:r w:rsidR="00B74063" w:rsidRPr="008423CF">
        <w:t xml:space="preserve"> Models w</w:t>
      </w:r>
      <w:r w:rsidR="00FC6187" w:rsidRPr="008423CF">
        <w:t xml:space="preserve">ill </w:t>
      </w:r>
      <w:r w:rsidR="00FC6187" w:rsidRPr="008423CF">
        <w:lastRenderedPageBreak/>
        <w:t>be selected</w:t>
      </w:r>
      <w:r w:rsidR="00B74063" w:rsidRPr="008423CF">
        <w:t xml:space="preserve"> for each subarea based on examination of residuals and </w:t>
      </w:r>
      <w:r w:rsidRPr="008423CF">
        <w:t xml:space="preserve">the </w:t>
      </w:r>
      <w:r w:rsidR="00B74063" w:rsidRPr="008423CF">
        <w:t>Akaike Information Criteria corrected for small sample sizes.</w:t>
      </w:r>
    </w:p>
    <w:p w14:paraId="259A1B24" w14:textId="6639DD07" w:rsidR="0042123A" w:rsidRPr="008423CF" w:rsidRDefault="0042123A" w:rsidP="00BA479D">
      <w:r w:rsidRPr="008423CF">
        <w:t xml:space="preserve">Because time series methods rely on historical patterns and trends, forecast errors can occur from changes in factors that affect the harvest, such as the economy, bag and size limits for the halibut fishery, targeting of other marine species, etc. Changes in bag limits are much more likely for the charter sector because it is managed under a GHL, while </w:t>
      </w:r>
      <w:r w:rsidR="008423CF" w:rsidRPr="008423CF">
        <w:t xml:space="preserve">at present </w:t>
      </w:r>
      <w:r w:rsidRPr="008423CF">
        <w:t xml:space="preserve">the unguided sector has no annual harvest cap. </w:t>
      </w:r>
      <w:r w:rsidR="008423CF">
        <w:t>Methods for forecasting harvest will be re-evaluated if there are any substantial changes to management structures.</w:t>
      </w:r>
    </w:p>
    <w:p w14:paraId="240FED8D" w14:textId="31C5BC68" w:rsidR="00A8418B" w:rsidRPr="008423CF" w:rsidRDefault="008824EB" w:rsidP="00A8418B">
      <w:pPr>
        <w:pStyle w:val="Heading3"/>
      </w:pPr>
      <w:bookmarkStart w:id="40" w:name="_Toc398217613"/>
      <w:r>
        <w:t>Secondary Objective 2</w:t>
      </w:r>
      <w:r w:rsidR="00A8418B" w:rsidRPr="008423CF">
        <w:t xml:space="preserve">. Estimate charter and </w:t>
      </w:r>
      <w:r w:rsidR="00A04F70" w:rsidRPr="008423CF">
        <w:t>unguided</w:t>
      </w:r>
      <w:r w:rsidR="00A8418B" w:rsidRPr="008423CF">
        <w:t xml:space="preserve"> halibut discard mortality in Areas 2C and 3A </w:t>
      </w:r>
      <w:r w:rsidR="00A571EE" w:rsidRPr="008423CF">
        <w:t>for the most recent year with complete data</w:t>
      </w:r>
      <w:r w:rsidR="00A8418B" w:rsidRPr="008423CF">
        <w:t>.</w:t>
      </w:r>
      <w:bookmarkEnd w:id="40"/>
    </w:p>
    <w:p w14:paraId="1218F9EA" w14:textId="054E516A" w:rsidR="00A8418B" w:rsidRPr="00534FF2" w:rsidRDefault="00A8418B" w:rsidP="009B03F1">
      <w:pPr>
        <w:rPr>
          <w:highlight w:val="yellow"/>
        </w:rPr>
      </w:pPr>
      <w:r w:rsidRPr="00BC2088">
        <w:t xml:space="preserve">The IPHC strives to document and include all fishery removals in the annual stock assessment. </w:t>
      </w:r>
      <w:r w:rsidR="004C7CE1" w:rsidRPr="00BC2088">
        <w:t>Since 2014</w:t>
      </w:r>
      <w:r w:rsidRPr="00BC2088">
        <w:t>, the IPHC</w:t>
      </w:r>
      <w:r w:rsidR="00CA67D9" w:rsidRPr="00BC2088">
        <w:t>’s annual estimates of fishery removals have included</w:t>
      </w:r>
      <w:r w:rsidRPr="00BC2088">
        <w:t xml:space="preserve"> commercial harvest, longline survey harvest, estimates of bycatch mortality in non-halibut fisheries, </w:t>
      </w:r>
      <w:r w:rsidR="00BC2088" w:rsidRPr="00BC2088">
        <w:t>discard mortality</w:t>
      </w:r>
      <w:r w:rsidRPr="00BC2088">
        <w:t xml:space="preserve"> in the halibut longline fishery (</w:t>
      </w:r>
      <w:r w:rsidR="00CA67D9" w:rsidRPr="00BC2088">
        <w:t>mortality of sublegal fish released and fish</w:t>
      </w:r>
      <w:r w:rsidRPr="00BC2088">
        <w:t xml:space="preserve"> </w:t>
      </w:r>
      <w:r w:rsidR="00CA67D9" w:rsidRPr="00BC2088">
        <w:t xml:space="preserve">that die on </w:t>
      </w:r>
      <w:r w:rsidRPr="00BC2088">
        <w:t>lost or abandoned gear), subsistence harvest, sport harvest</w:t>
      </w:r>
      <w:r w:rsidR="00BC2088" w:rsidRPr="00BC2088">
        <w:t>, and discard mortality in the sport fishery</w:t>
      </w:r>
      <w:r w:rsidRPr="00BC2088">
        <w:t xml:space="preserve">. </w:t>
      </w:r>
      <w:r w:rsidR="00E16946" w:rsidRPr="00BC2088">
        <w:t xml:space="preserve">Bycatch and </w:t>
      </w:r>
      <w:r w:rsidR="00BC2088" w:rsidRPr="00BC2088">
        <w:t>discard mortality</w:t>
      </w:r>
      <w:r w:rsidR="00E16946" w:rsidRPr="00BC2088">
        <w:t xml:space="preserve"> are estimated separately for halibut ≥ 26 inches (O26) and halibut &lt; 26 inches in length (U26</w:t>
      </w:r>
      <w:r w:rsidR="00E16946" w:rsidRPr="00B44438">
        <w:t>). Only the O26 discard mortality is included in allocations to the commercial and charter sectors</w:t>
      </w:r>
      <w:r w:rsidR="00B44438" w:rsidRPr="00B44438">
        <w:t>; however, the IPHC requests data on both size categories for catch accounting and is currently working towards incorporating the U26 mortality into the sector allocations</w:t>
      </w:r>
      <w:r w:rsidR="009F7518" w:rsidRPr="00B44438">
        <w:t>.</w:t>
      </w:r>
      <w:r w:rsidR="00E16946" w:rsidRPr="00B44438">
        <w:t xml:space="preserve"> </w:t>
      </w:r>
      <w:r w:rsidR="00DB2415" w:rsidRPr="00B44438">
        <w:t>Interest in release</w:t>
      </w:r>
      <w:r w:rsidR="00DB2415" w:rsidRPr="00303933">
        <w:t xml:space="preserve"> mortality has intensified with implementation of charter size and bag limit restrictions and changes to commercial observer coverage in recent years.</w:t>
      </w:r>
    </w:p>
    <w:p w14:paraId="0146C199" w14:textId="22D32A4B" w:rsidR="00A8418B" w:rsidRPr="00303933" w:rsidRDefault="00A8418B" w:rsidP="009B03F1">
      <w:r w:rsidRPr="00303933">
        <w:t xml:space="preserve">In April 2012 the IPHC </w:t>
      </w:r>
      <w:r w:rsidR="00303933" w:rsidRPr="00303933">
        <w:t>requested that</w:t>
      </w:r>
      <w:r w:rsidRPr="00303933">
        <w:t xml:space="preserve"> ADF&amp;G develop and implement data collection programs to permit estimation of discard mortality in the recreational fishery. The department responded that it presently lacks the fiscal resources to </w:t>
      </w:r>
      <w:r w:rsidR="00B51841" w:rsidRPr="00303933">
        <w:t>implement</w:t>
      </w:r>
      <w:r w:rsidRPr="00303933">
        <w:t xml:space="preserve"> </w:t>
      </w:r>
      <w:r w:rsidR="00B51841" w:rsidRPr="00303933">
        <w:t xml:space="preserve">sampling of released </w:t>
      </w:r>
      <w:proofErr w:type="gramStart"/>
      <w:r w:rsidR="00B51841" w:rsidRPr="00303933">
        <w:t>fish</w:t>
      </w:r>
      <w:r w:rsidRPr="00303933">
        <w:t xml:space="preserve">, </w:t>
      </w:r>
      <w:r w:rsidR="00535305">
        <w:t>and</w:t>
      </w:r>
      <w:proofErr w:type="gramEnd"/>
      <w:r w:rsidRPr="00303933">
        <w:t xml:space="preserve"> will use modeling based on available data and assumptions to produce the best possible estimates of release mortality in recreational halibut fisheries.</w:t>
      </w:r>
      <w:r w:rsidR="00303933" w:rsidRPr="00303933">
        <w:t xml:space="preserve"> </w:t>
      </w:r>
      <w:r w:rsidRPr="00303933">
        <w:t xml:space="preserve">The department </w:t>
      </w:r>
      <w:r w:rsidR="00303933" w:rsidRPr="00303933">
        <w:t xml:space="preserve">previously </w:t>
      </w:r>
      <w:r w:rsidRPr="00303933">
        <w:t>undertook this type of modeling effort in 2007 (Meyer 2007), using available SWHS estimates of the numbers of released fish, an assumed mortality rate based on hook use</w:t>
      </w:r>
      <w:r w:rsidR="00D07BA6" w:rsidRPr="00303933">
        <w:t xml:space="preserve"> data</w:t>
      </w:r>
      <w:r w:rsidRPr="00303933">
        <w:t xml:space="preserve">, and modeling of the size distribution of released fish. The approach was reviewed by the NPFMC’s </w:t>
      </w:r>
      <w:r w:rsidR="00303933" w:rsidRPr="00303933">
        <w:t>SSC</w:t>
      </w:r>
      <w:r w:rsidRPr="00303933">
        <w:t>. Although modeling of the size distribution of released fish relied on strong assumptions, the SSC concluded that the approach provided “reasonable estimates of discard mortalities for different gear types based on existing literature.”</w:t>
      </w:r>
      <w:r w:rsidRPr="00303933">
        <w:rPr>
          <w:rStyle w:val="FootnoteReference"/>
          <w:sz w:val="22"/>
          <w:szCs w:val="22"/>
        </w:rPr>
        <w:footnoteReference w:id="3"/>
      </w:r>
      <w:r w:rsidR="00542AB6" w:rsidRPr="00303933">
        <w:t xml:space="preserve"> </w:t>
      </w:r>
      <w:r w:rsidR="00DB2415" w:rsidRPr="00303933">
        <w:t>The following modeling approach is</w:t>
      </w:r>
      <w:r w:rsidRPr="00303933">
        <w:t xml:space="preserve"> </w:t>
      </w:r>
      <w:proofErr w:type="gramStart"/>
      <w:r w:rsidRPr="00303933">
        <w:t>similar to</w:t>
      </w:r>
      <w:proofErr w:type="gramEnd"/>
      <w:r w:rsidRPr="00303933">
        <w:t xml:space="preserve"> the one used in 2007. </w:t>
      </w:r>
    </w:p>
    <w:p w14:paraId="127DC926" w14:textId="77777777" w:rsidR="00542AB6" w:rsidRPr="00303933" w:rsidRDefault="00542AB6" w:rsidP="00542AB6">
      <w:r w:rsidRPr="00303933">
        <w:t xml:space="preserve">Release mortality </w:t>
      </w:r>
      <w:r w:rsidRPr="00303933">
        <w:rPr>
          <w:i/>
        </w:rPr>
        <w:t>R</w:t>
      </w:r>
      <w:r w:rsidRPr="00303933">
        <w:t xml:space="preserve"> will be calculated for each </w:t>
      </w:r>
      <w:r w:rsidR="00D91200" w:rsidRPr="00303933">
        <w:t xml:space="preserve">sector (charter and </w:t>
      </w:r>
      <w:r w:rsidR="00A04F70" w:rsidRPr="00303933">
        <w:t>unguided</w:t>
      </w:r>
      <w:r w:rsidR="00D91200" w:rsidRPr="00303933">
        <w:t xml:space="preserve">) and </w:t>
      </w:r>
      <w:r w:rsidRPr="00303933">
        <w:t>subarea using the basic equation:</w:t>
      </w:r>
    </w:p>
    <w:tbl>
      <w:tblPr>
        <w:tblW w:w="0" w:type="auto"/>
        <w:tblLook w:val="00A0" w:firstRow="1" w:lastRow="0" w:firstColumn="1" w:lastColumn="0" w:noHBand="0" w:noVBand="0"/>
      </w:tblPr>
      <w:tblGrid>
        <w:gridCol w:w="8626"/>
        <w:gridCol w:w="734"/>
      </w:tblGrid>
      <w:tr w:rsidR="00C958B6" w:rsidRPr="00CB005B" w14:paraId="3352442A" w14:textId="77777777" w:rsidTr="0018721F">
        <w:trPr>
          <w:trHeight w:val="648"/>
        </w:trPr>
        <w:tc>
          <w:tcPr>
            <w:tcW w:w="8838" w:type="dxa"/>
            <w:vAlign w:val="center"/>
          </w:tcPr>
          <w:p w14:paraId="7E9A83FA" w14:textId="77777777" w:rsidR="00C958B6" w:rsidRPr="00CB005B" w:rsidRDefault="00C958B6" w:rsidP="00071425">
            <w:pPr>
              <w:rPr>
                <w:color w:val="000000" w:themeColor="text1"/>
              </w:rPr>
            </w:pPr>
            <m:oMathPara>
              <m:oMathParaPr>
                <m:jc m:val="left"/>
              </m:oMathParaPr>
              <m:oMath>
                <m:r>
                  <w:rPr>
                    <w:rFonts w:ascii="Cambria Math" w:hAnsi="Cambria Math"/>
                  </w:rPr>
                  <m:t>R</m:t>
                </m:r>
                <m:d>
                  <m:dPr>
                    <m:ctrlPr>
                      <w:rPr>
                        <w:rFonts w:ascii="Cambria Math" w:hAnsi="Cambria Math"/>
                        <w:bCs/>
                        <w:i/>
                      </w:rPr>
                    </m:ctrlPr>
                  </m:dPr>
                  <m:e>
                    <m:r>
                      <w:rPr>
                        <w:rFonts w:ascii="Cambria Math" w:hAnsi="Cambria Math"/>
                      </w:rPr>
                      <m:t>lb</m:t>
                    </m:r>
                  </m:e>
                </m:d>
                <m:r>
                  <w:rPr>
                    <w:rFonts w:ascii="Cambria Math" w:hAnsi="Cambria Math"/>
                  </w:rPr>
                  <m:t xml:space="preserve">= </m:t>
                </m:r>
                <m:acc>
                  <m:accPr>
                    <m:ctrlPr>
                      <w:rPr>
                        <w:rFonts w:ascii="Cambria Math" w:hAnsi="Cambria Math"/>
                        <w:bCs/>
                        <w:i/>
                      </w:rPr>
                    </m:ctrlPr>
                  </m:accPr>
                  <m:e>
                    <m:r>
                      <w:rPr>
                        <w:rFonts w:ascii="Cambria Math" w:hAnsi="Cambria Math"/>
                      </w:rPr>
                      <m:t>N</m:t>
                    </m:r>
                  </m:e>
                </m:acc>
                <m:r>
                  <w:rPr>
                    <w:rFonts w:ascii="Cambria Math" w:hAnsi="Cambria Math"/>
                  </w:rPr>
                  <m:t>∙DMR∙</m:t>
                </m:r>
                <m:acc>
                  <m:accPr>
                    <m:ctrlPr>
                      <w:rPr>
                        <w:rFonts w:ascii="Cambria Math" w:hAnsi="Cambria Math"/>
                        <w:bCs/>
                        <w:i/>
                      </w:rPr>
                    </m:ctrlPr>
                  </m:accPr>
                  <m:e>
                    <m:acc>
                      <m:accPr>
                        <m:chr m:val="̅"/>
                        <m:ctrlPr>
                          <w:rPr>
                            <w:rFonts w:ascii="Cambria Math" w:hAnsi="Cambria Math"/>
                            <w:bCs/>
                            <w:i/>
                          </w:rPr>
                        </m:ctrlPr>
                      </m:accPr>
                      <m:e>
                        <m:r>
                          <w:rPr>
                            <w:rFonts w:ascii="Cambria Math" w:hAnsi="Cambria Math"/>
                          </w:rPr>
                          <m:t>w</m:t>
                        </m:r>
                      </m:e>
                    </m:acc>
                  </m:e>
                </m:acc>
              </m:oMath>
            </m:oMathPara>
          </w:p>
        </w:tc>
        <w:tc>
          <w:tcPr>
            <w:tcW w:w="738" w:type="dxa"/>
            <w:vAlign w:val="center"/>
          </w:tcPr>
          <w:p w14:paraId="08C61CF9" w14:textId="7A48BE25" w:rsidR="00C958B6" w:rsidRPr="00CB005B" w:rsidRDefault="00C958B6" w:rsidP="00DD75C2">
            <w:pPr>
              <w:rPr>
                <w:color w:val="000000" w:themeColor="text1"/>
              </w:rPr>
            </w:pPr>
            <w:r w:rsidRPr="00CB005B">
              <w:rPr>
                <w:color w:val="000000" w:themeColor="text1"/>
                <w:sz w:val="22"/>
              </w:rPr>
              <w:t>(</w:t>
            </w:r>
            <w:r w:rsidR="00087E63">
              <w:rPr>
                <w:color w:val="000000" w:themeColor="text1"/>
                <w:sz w:val="22"/>
              </w:rPr>
              <w:t>10</w:t>
            </w:r>
            <w:r w:rsidRPr="00CB005B">
              <w:rPr>
                <w:color w:val="000000" w:themeColor="text1"/>
                <w:sz w:val="22"/>
              </w:rPr>
              <w:t>)</w:t>
            </w:r>
          </w:p>
        </w:tc>
      </w:tr>
    </w:tbl>
    <w:p w14:paraId="760DD293" w14:textId="77777777" w:rsidR="00542AB6" w:rsidRPr="00CB005B" w:rsidRDefault="00542AB6" w:rsidP="00542AB6">
      <w:pPr>
        <w:rPr>
          <w:bCs/>
        </w:rPr>
      </w:pPr>
      <w:r w:rsidRPr="00CB005B">
        <w:rPr>
          <w:bCs/>
        </w:rPr>
        <w:t>where</w:t>
      </w:r>
    </w:p>
    <w:tbl>
      <w:tblPr>
        <w:tblW w:w="0" w:type="auto"/>
        <w:tblLook w:val="04A0" w:firstRow="1" w:lastRow="0" w:firstColumn="1" w:lastColumn="0" w:noHBand="0" w:noVBand="1"/>
      </w:tblPr>
      <w:tblGrid>
        <w:gridCol w:w="821"/>
        <w:gridCol w:w="8539"/>
      </w:tblGrid>
      <w:tr w:rsidR="00542AB6" w:rsidRPr="00CB005B" w14:paraId="72BC9F51" w14:textId="77777777" w:rsidTr="00FC6187">
        <w:tc>
          <w:tcPr>
            <w:tcW w:w="828" w:type="dxa"/>
            <w:shd w:val="clear" w:color="auto" w:fill="auto"/>
          </w:tcPr>
          <w:p w14:paraId="0B545102" w14:textId="77777777" w:rsidR="00542AB6" w:rsidRPr="00CB005B" w:rsidRDefault="000B0B97" w:rsidP="00071425">
            <w:pPr>
              <w:jc w:val="right"/>
              <w:rPr>
                <w:rFonts w:cs="Calibri"/>
                <w:bCs/>
              </w:rPr>
            </w:pPr>
            <m:oMathPara>
              <m:oMath>
                <m:acc>
                  <m:accPr>
                    <m:ctrlPr>
                      <w:rPr>
                        <w:rFonts w:ascii="Cambria Math" w:hAnsi="Cambria Math" w:cs="Calibri"/>
                        <w:bCs/>
                        <w:i/>
                      </w:rPr>
                    </m:ctrlPr>
                  </m:accPr>
                  <m:e>
                    <m:r>
                      <w:rPr>
                        <w:rFonts w:ascii="Cambria Math" w:hAnsi="Cambria Math" w:cs="Calibri"/>
                      </w:rPr>
                      <m:t>N</m:t>
                    </m:r>
                  </m:e>
                </m:acc>
              </m:oMath>
            </m:oMathPara>
          </w:p>
        </w:tc>
        <w:tc>
          <w:tcPr>
            <w:tcW w:w="9108" w:type="dxa"/>
            <w:shd w:val="clear" w:color="auto" w:fill="auto"/>
          </w:tcPr>
          <w:p w14:paraId="3CB47A17" w14:textId="77777777" w:rsidR="00542AB6" w:rsidRPr="00CB005B" w:rsidRDefault="00071425" w:rsidP="00B0424B">
            <w:pPr>
              <w:spacing w:after="0"/>
              <w:rPr>
                <w:rFonts w:cs="Calibri"/>
                <w:bCs/>
              </w:rPr>
            </w:pPr>
            <w:r w:rsidRPr="00CB005B">
              <w:rPr>
                <w:rFonts w:cs="Calibri"/>
                <w:bCs/>
              </w:rPr>
              <w:t xml:space="preserve">= </w:t>
            </w:r>
            <w:r w:rsidR="00542AB6" w:rsidRPr="00CB005B">
              <w:rPr>
                <w:rFonts w:cs="Calibri"/>
                <w:bCs/>
              </w:rPr>
              <w:t xml:space="preserve">the estimated number of fish released from SWHS </w:t>
            </w:r>
            <w:r w:rsidR="00B0424B" w:rsidRPr="00CB005B">
              <w:rPr>
                <w:rFonts w:cs="Calibri"/>
                <w:bCs/>
              </w:rPr>
              <w:t>or</w:t>
            </w:r>
            <w:r w:rsidR="00542AB6" w:rsidRPr="00CB005B">
              <w:rPr>
                <w:rFonts w:cs="Calibri"/>
                <w:bCs/>
              </w:rPr>
              <w:t xml:space="preserve"> logbook, </w:t>
            </w:r>
          </w:p>
        </w:tc>
      </w:tr>
      <w:tr w:rsidR="00542AB6" w:rsidRPr="00CB005B" w14:paraId="5C24F57D" w14:textId="77777777" w:rsidTr="00FC6187">
        <w:tc>
          <w:tcPr>
            <w:tcW w:w="828" w:type="dxa"/>
            <w:shd w:val="clear" w:color="auto" w:fill="auto"/>
          </w:tcPr>
          <w:p w14:paraId="4938D3E5" w14:textId="77777777" w:rsidR="00542AB6" w:rsidRPr="00CB005B" w:rsidRDefault="00071425" w:rsidP="00FC6187">
            <w:pPr>
              <w:jc w:val="right"/>
              <w:rPr>
                <w:rFonts w:cs="Calibri"/>
                <w:bCs/>
                <w:i/>
              </w:rPr>
            </w:pPr>
            <w:r w:rsidRPr="00CB005B">
              <w:rPr>
                <w:rFonts w:cs="Calibri"/>
                <w:bCs/>
                <w:i/>
              </w:rPr>
              <w:lastRenderedPageBreak/>
              <w:t>DMR</w:t>
            </w:r>
          </w:p>
        </w:tc>
        <w:tc>
          <w:tcPr>
            <w:tcW w:w="9108" w:type="dxa"/>
            <w:shd w:val="clear" w:color="auto" w:fill="auto"/>
          </w:tcPr>
          <w:p w14:paraId="2425E092" w14:textId="77777777" w:rsidR="00542AB6" w:rsidRPr="00CB005B" w:rsidRDefault="00071425" w:rsidP="00FC6187">
            <w:pPr>
              <w:rPr>
                <w:bCs/>
              </w:rPr>
            </w:pPr>
            <w:r w:rsidRPr="00CB005B">
              <w:t xml:space="preserve">= </w:t>
            </w:r>
            <w:r w:rsidR="00542AB6" w:rsidRPr="00CB005B">
              <w:t xml:space="preserve">the </w:t>
            </w:r>
            <w:r w:rsidR="00542AB6" w:rsidRPr="00CB005B">
              <w:rPr>
                <w:bCs/>
                <w:iCs/>
              </w:rPr>
              <w:t xml:space="preserve">assumed mortality rate due to capture, handling, and release, and </w:t>
            </w:r>
          </w:p>
        </w:tc>
      </w:tr>
      <w:tr w:rsidR="00542AB6" w:rsidRPr="00CB005B" w14:paraId="659934D0" w14:textId="77777777" w:rsidTr="00FC6187">
        <w:tc>
          <w:tcPr>
            <w:tcW w:w="828" w:type="dxa"/>
            <w:shd w:val="clear" w:color="auto" w:fill="auto"/>
          </w:tcPr>
          <w:p w14:paraId="10EA9BF2" w14:textId="77777777" w:rsidR="00542AB6" w:rsidRPr="00CB005B" w:rsidRDefault="000B0B97" w:rsidP="00071425">
            <w:pPr>
              <w:jc w:val="right"/>
              <w:rPr>
                <w:rFonts w:cs="Calibri"/>
                <w:bCs/>
              </w:rPr>
            </w:pPr>
            <m:oMathPara>
              <m:oMath>
                <m:acc>
                  <m:accPr>
                    <m:ctrlPr>
                      <w:rPr>
                        <w:rFonts w:ascii="Cambria Math" w:hAnsi="Cambria Math" w:cs="Calibri"/>
                        <w:bCs/>
                        <w:i/>
                      </w:rPr>
                    </m:ctrlPr>
                  </m:accPr>
                  <m:e>
                    <m:acc>
                      <m:accPr>
                        <m:chr m:val="̅"/>
                        <m:ctrlPr>
                          <w:rPr>
                            <w:rFonts w:ascii="Cambria Math" w:hAnsi="Cambria Math" w:cs="Calibri"/>
                            <w:bCs/>
                            <w:i/>
                          </w:rPr>
                        </m:ctrlPr>
                      </m:accPr>
                      <m:e>
                        <m:r>
                          <w:rPr>
                            <w:rFonts w:ascii="Cambria Math" w:hAnsi="Cambria Math" w:cs="Calibri"/>
                          </w:rPr>
                          <m:t>w</m:t>
                        </m:r>
                      </m:e>
                    </m:acc>
                  </m:e>
                </m:acc>
              </m:oMath>
            </m:oMathPara>
          </w:p>
        </w:tc>
        <w:tc>
          <w:tcPr>
            <w:tcW w:w="9108" w:type="dxa"/>
            <w:shd w:val="clear" w:color="auto" w:fill="auto"/>
          </w:tcPr>
          <w:p w14:paraId="136D5D19" w14:textId="77777777" w:rsidR="00542AB6" w:rsidRPr="00CB005B" w:rsidRDefault="00071425" w:rsidP="00254662">
            <w:pPr>
              <w:spacing w:after="0"/>
              <w:rPr>
                <w:rFonts w:cs="Calibri"/>
                <w:bCs/>
              </w:rPr>
            </w:pPr>
            <w:r w:rsidRPr="00CB005B">
              <w:rPr>
                <w:rFonts w:cs="Calibri"/>
                <w:bCs/>
              </w:rPr>
              <w:t xml:space="preserve">= </w:t>
            </w:r>
            <w:r w:rsidR="00542AB6" w:rsidRPr="00CB005B">
              <w:rPr>
                <w:rFonts w:cs="Calibri"/>
                <w:bCs/>
              </w:rPr>
              <w:t xml:space="preserve">the estimated </w:t>
            </w:r>
            <w:r w:rsidR="00254662" w:rsidRPr="00CB005B">
              <w:rPr>
                <w:rFonts w:cs="Calibri"/>
                <w:bCs/>
              </w:rPr>
              <w:t>mean</w:t>
            </w:r>
            <w:r w:rsidR="00542AB6" w:rsidRPr="00CB005B">
              <w:rPr>
                <w:rFonts w:cs="Calibri"/>
                <w:bCs/>
              </w:rPr>
              <w:t xml:space="preserve"> net weight (in pounds) of released fish. </w:t>
            </w:r>
          </w:p>
        </w:tc>
      </w:tr>
    </w:tbl>
    <w:p w14:paraId="418BFA43" w14:textId="77777777" w:rsidR="00254662" w:rsidRPr="00CB005B" w:rsidRDefault="00254662" w:rsidP="00542AB6"/>
    <w:p w14:paraId="320CA8FE" w14:textId="77777777" w:rsidR="00254662" w:rsidRPr="00CB005B" w:rsidRDefault="00254662" w:rsidP="00542AB6">
      <w:r w:rsidRPr="00CB005B">
        <w:t>Estimated Number of Released Fish:</w:t>
      </w:r>
    </w:p>
    <w:p w14:paraId="2ABBEB25" w14:textId="1FA83424" w:rsidR="00FD0CE5" w:rsidRPr="006B43A0" w:rsidRDefault="00D07BA6" w:rsidP="00542AB6">
      <w:pPr>
        <w:rPr>
          <w:highlight w:val="green"/>
        </w:rPr>
      </w:pPr>
      <w:r w:rsidRPr="006B43A0">
        <w:t>E</w:t>
      </w:r>
      <w:r w:rsidR="00FD0CE5" w:rsidRPr="006B43A0">
        <w:t xml:space="preserve">stimates of the number of released halibut are available from </w:t>
      </w:r>
      <w:r w:rsidRPr="006B43A0">
        <w:t>the SWHS and</w:t>
      </w:r>
      <w:r w:rsidR="001759D2" w:rsidRPr="006B43A0">
        <w:t xml:space="preserve"> from</w:t>
      </w:r>
      <w:r w:rsidRPr="006B43A0">
        <w:t xml:space="preserve"> </w:t>
      </w:r>
      <w:r w:rsidR="00FD0CE5" w:rsidRPr="006B43A0">
        <w:t>logbooks.</w:t>
      </w:r>
      <w:r w:rsidR="00B0424B" w:rsidRPr="006B43A0">
        <w:t xml:space="preserve"> </w:t>
      </w:r>
      <w:r w:rsidR="001759D2" w:rsidRPr="006B43A0">
        <w:t xml:space="preserve">Consistent with the Council’s intentions with respect to charter harvest, logbook data </w:t>
      </w:r>
      <w:r w:rsidR="006B43A0" w:rsidRPr="006B43A0">
        <w:t>are</w:t>
      </w:r>
      <w:r w:rsidR="001759D2" w:rsidRPr="006B43A0">
        <w:t xml:space="preserve"> used for release mortality estimates for the charter sector. The </w:t>
      </w:r>
      <w:r w:rsidRPr="006B43A0">
        <w:t xml:space="preserve">SWHS release estimates will be used </w:t>
      </w:r>
      <w:r w:rsidR="00B0424B" w:rsidRPr="006B43A0">
        <w:t xml:space="preserve">for estimates for the </w:t>
      </w:r>
      <w:r w:rsidR="00A04F70" w:rsidRPr="006B43A0">
        <w:t>unguided</w:t>
      </w:r>
      <w:r w:rsidR="00B0424B" w:rsidRPr="006B43A0">
        <w:t xml:space="preserve"> sector.</w:t>
      </w:r>
      <w:r w:rsidR="00C11132" w:rsidRPr="006B43A0">
        <w:t xml:space="preserve"> Now that discard mortality is included in the charter allocation, there is a strategic incentive for charter operators to underreport numbers of released fish. </w:t>
      </w:r>
      <w:r w:rsidR="00C11132" w:rsidRPr="00FC53D2">
        <w:t xml:space="preserve">Logbook, SWHS, and creel sampling data </w:t>
      </w:r>
      <w:r w:rsidR="0040045C" w:rsidRPr="00FC53D2">
        <w:t>are</w:t>
      </w:r>
      <w:r w:rsidR="00C11132" w:rsidRPr="00FC53D2">
        <w:t xml:space="preserve"> examined </w:t>
      </w:r>
      <w:r w:rsidR="00B51841" w:rsidRPr="00FC53D2">
        <w:t>annually</w:t>
      </w:r>
      <w:r w:rsidR="00C11132" w:rsidRPr="00FC53D2">
        <w:t xml:space="preserve"> to look for changes that may indicate underreporting. </w:t>
      </w:r>
    </w:p>
    <w:p w14:paraId="0638C03D" w14:textId="65B397AF" w:rsidR="00254662" w:rsidRPr="006B43A0" w:rsidRDefault="00254662" w:rsidP="00542AB6">
      <w:r w:rsidRPr="006B43A0">
        <w:t>Discard Mortality Rate:</w:t>
      </w:r>
    </w:p>
    <w:p w14:paraId="4A3396D0" w14:textId="1C4486A6" w:rsidR="001759D2" w:rsidRPr="000E1FFB" w:rsidRDefault="00B0424B" w:rsidP="00542AB6">
      <w:r w:rsidRPr="006B43A0">
        <w:t>T</w:t>
      </w:r>
      <w:r w:rsidR="00542AB6" w:rsidRPr="006B43A0">
        <w:t>he</w:t>
      </w:r>
      <w:r w:rsidRPr="006B43A0">
        <w:t>re are no published estimates of</w:t>
      </w:r>
      <w:r w:rsidR="00542AB6" w:rsidRPr="006B43A0">
        <w:t xml:space="preserve"> </w:t>
      </w:r>
      <w:r w:rsidRPr="006B43A0">
        <w:t xml:space="preserve">the </w:t>
      </w:r>
      <w:r w:rsidR="001759D2" w:rsidRPr="006B43A0">
        <w:t xml:space="preserve">mortality rate </w:t>
      </w:r>
      <w:r w:rsidR="00B51841" w:rsidRPr="006B43A0">
        <w:t>of</w:t>
      </w:r>
      <w:r w:rsidR="0018721F" w:rsidRPr="006B43A0">
        <w:t xml:space="preserve"> halibut</w:t>
      </w:r>
      <w:r w:rsidRPr="006B43A0">
        <w:t xml:space="preserve"> or closely related species</w:t>
      </w:r>
      <w:r w:rsidR="0018721F" w:rsidRPr="006B43A0">
        <w:t xml:space="preserve"> caught and released in a recreational fishery</w:t>
      </w:r>
      <w:r w:rsidRPr="005C172B">
        <w:t xml:space="preserve">. </w:t>
      </w:r>
      <w:r w:rsidR="000E1FFB">
        <w:rPr>
          <w:iCs/>
        </w:rPr>
        <w:t>Several studies have shown that hooking morality is highly dependent on hooking location and deeply hooked fish have higher mortality rates</w:t>
      </w:r>
      <w:r w:rsidR="00DC32C9">
        <w:rPr>
          <w:iCs/>
        </w:rPr>
        <w:t>; c</w:t>
      </w:r>
      <w:r w:rsidR="000E1FFB">
        <w:rPr>
          <w:iCs/>
        </w:rPr>
        <w:t>ircle hooks are less likely to become lodged deep in the fish than j-hooks or other common hook types</w:t>
      </w:r>
      <w:r w:rsidR="00DC32C9">
        <w:rPr>
          <w:iCs/>
        </w:rPr>
        <w:t xml:space="preserve"> (Meyer 2007)</w:t>
      </w:r>
      <w:r w:rsidR="000E1FFB">
        <w:rPr>
          <w:iCs/>
        </w:rPr>
        <w:t xml:space="preserve">. </w:t>
      </w:r>
      <w:r w:rsidRPr="005C172B">
        <w:t xml:space="preserve">Meyer (2007) </w:t>
      </w:r>
      <w:r w:rsidR="00F32BB6" w:rsidRPr="005C172B">
        <w:t xml:space="preserve">derived </w:t>
      </w:r>
      <w:r w:rsidR="00542AB6" w:rsidRPr="005C172B">
        <w:rPr>
          <w:iCs/>
        </w:rPr>
        <w:t xml:space="preserve">mortality rates </w:t>
      </w:r>
      <w:r w:rsidR="001759D2" w:rsidRPr="005C172B">
        <w:rPr>
          <w:iCs/>
        </w:rPr>
        <w:t xml:space="preserve">using hook type </w:t>
      </w:r>
      <w:r w:rsidR="0018721F" w:rsidRPr="005C172B">
        <w:rPr>
          <w:iCs/>
        </w:rPr>
        <w:t xml:space="preserve">(circle versus other) </w:t>
      </w:r>
      <w:r w:rsidR="001759D2" w:rsidRPr="005C172B">
        <w:rPr>
          <w:iCs/>
        </w:rPr>
        <w:t xml:space="preserve">as </w:t>
      </w:r>
      <w:r w:rsidR="00310D38" w:rsidRPr="005C172B">
        <w:rPr>
          <w:iCs/>
        </w:rPr>
        <w:t>the</w:t>
      </w:r>
      <w:r w:rsidR="001759D2" w:rsidRPr="005C172B">
        <w:rPr>
          <w:iCs/>
        </w:rPr>
        <w:t xml:space="preserve"> primary factor. </w:t>
      </w:r>
      <w:r w:rsidR="00542AB6" w:rsidRPr="005C172B">
        <w:t xml:space="preserve">The </w:t>
      </w:r>
      <w:r w:rsidRPr="005C172B">
        <w:t xml:space="preserve">rates were </w:t>
      </w:r>
      <w:r w:rsidR="00F32BB6" w:rsidRPr="005C172B">
        <w:t>derived as weighted estimates of</w:t>
      </w:r>
      <w:r w:rsidR="006D51C0" w:rsidRPr="005C172B">
        <w:t xml:space="preserve"> </w:t>
      </w:r>
      <w:r w:rsidR="00542AB6" w:rsidRPr="005C172B">
        <w:t>a 3.5% mortality rate for halibut released on circle hooks and a 10% mortality rate for halibut released on all other hook types</w:t>
      </w:r>
      <w:r w:rsidR="00F32BB6" w:rsidRPr="005C172B">
        <w:t xml:space="preserve">, weighted by the proportions of released fish caught on each </w:t>
      </w:r>
      <w:r w:rsidR="00F32BB6" w:rsidRPr="00DC32C9">
        <w:t xml:space="preserve">hook </w:t>
      </w:r>
      <w:r w:rsidR="00310D38" w:rsidRPr="00DC32C9">
        <w:t>type</w:t>
      </w:r>
      <w:r w:rsidR="00542AB6" w:rsidRPr="00DC32C9">
        <w:t xml:space="preserve">. </w:t>
      </w:r>
      <w:r w:rsidR="006D51C0" w:rsidRPr="00DC32C9">
        <w:t xml:space="preserve">The 3.5% rate </w:t>
      </w:r>
      <w:r w:rsidR="00A83243" w:rsidRPr="00DC32C9">
        <w:t xml:space="preserve">was the midpoint of </w:t>
      </w:r>
      <w:proofErr w:type="spellStart"/>
      <w:r w:rsidR="00A83243" w:rsidRPr="00DC32C9">
        <w:t>Peltonen’s</w:t>
      </w:r>
      <w:proofErr w:type="spellEnd"/>
      <w:r w:rsidR="00A83243" w:rsidRPr="00DC32C9">
        <w:t xml:space="preserve"> (1969) best estimate of 2-5% for</w:t>
      </w:r>
      <w:r w:rsidR="00D00B53" w:rsidRPr="00DC32C9">
        <w:t xml:space="preserve"> 75-119 cm</w:t>
      </w:r>
      <w:r w:rsidR="00A83243" w:rsidRPr="00DC32C9">
        <w:t xml:space="preserve"> halibut </w:t>
      </w:r>
      <w:r w:rsidR="00A713EB" w:rsidRPr="00DC32C9">
        <w:t xml:space="preserve">in “excellent” condition </w:t>
      </w:r>
      <w:r w:rsidR="00A83243" w:rsidRPr="00DC32C9">
        <w:t>caught on longline gear with J-hooks, tagged, and held in cages. This is the</w:t>
      </w:r>
      <w:r w:rsidR="00A83243" w:rsidRPr="00CF2F5A">
        <w:t xml:space="preserve"> mortality rate the IPHC assumes for halibut caught on longline gear and released in excellent condition (</w:t>
      </w:r>
      <w:proofErr w:type="spellStart"/>
      <w:r w:rsidR="00A83243" w:rsidRPr="00CF2F5A">
        <w:t>Kaimmer</w:t>
      </w:r>
      <w:proofErr w:type="spellEnd"/>
      <w:r w:rsidR="00A83243" w:rsidRPr="00CF2F5A">
        <w:t xml:space="preserve"> and </w:t>
      </w:r>
      <w:proofErr w:type="spellStart"/>
      <w:r w:rsidR="00A83243" w:rsidRPr="00CF2F5A">
        <w:t>Trumble</w:t>
      </w:r>
      <w:proofErr w:type="spellEnd"/>
      <w:r w:rsidR="00A83243" w:rsidRPr="00CF2F5A">
        <w:t xml:space="preserve"> 1998</w:t>
      </w:r>
      <w:r w:rsidR="0009232B" w:rsidRPr="00CF2F5A">
        <w:t>, Williams 1998</w:t>
      </w:r>
      <w:r w:rsidR="00A83243" w:rsidRPr="00CF2F5A">
        <w:t>)</w:t>
      </w:r>
      <w:r w:rsidR="00F32BB6" w:rsidRPr="00CF2F5A">
        <w:t>.</w:t>
      </w:r>
      <w:r w:rsidR="00310D38" w:rsidRPr="00CF2F5A">
        <w:t xml:space="preserve"> </w:t>
      </w:r>
      <w:r w:rsidR="00491C58" w:rsidRPr="00CF2F5A">
        <w:t>Because most sport-caught halibut are caught on circle hooks and played for a short period of time, u</w:t>
      </w:r>
      <w:r w:rsidR="00310D38" w:rsidRPr="00CF2F5A">
        <w:t>s</w:t>
      </w:r>
      <w:r w:rsidR="0018721F" w:rsidRPr="00CF2F5A">
        <w:t>e of</w:t>
      </w:r>
      <w:r w:rsidR="00310D38" w:rsidRPr="00CF2F5A">
        <w:t xml:space="preserve"> this rate for </w:t>
      </w:r>
      <w:r w:rsidR="00491C58" w:rsidRPr="00CF2F5A">
        <w:t>the sport fishery</w:t>
      </w:r>
      <w:r w:rsidR="00310D38" w:rsidRPr="00CF2F5A">
        <w:t xml:space="preserve"> </w:t>
      </w:r>
      <w:proofErr w:type="gramStart"/>
      <w:r w:rsidR="00310D38" w:rsidRPr="00CF2F5A">
        <w:t>was considered to be</w:t>
      </w:r>
      <w:proofErr w:type="gramEnd"/>
      <w:r w:rsidR="00310D38" w:rsidRPr="00CF2F5A">
        <w:t xml:space="preserve"> conservative.</w:t>
      </w:r>
      <w:r w:rsidR="000E1FFB">
        <w:t xml:space="preserve"> </w:t>
      </w:r>
      <w:r w:rsidR="00F32BB6" w:rsidRPr="00CF2F5A">
        <w:t xml:space="preserve">The 10% mortality rate for halibut caught on hook types other than circle hooks was </w:t>
      </w:r>
      <w:r w:rsidR="0018721F" w:rsidRPr="003D25B8">
        <w:t xml:space="preserve">assigned based on results of a </w:t>
      </w:r>
      <w:r w:rsidR="00F32BB6" w:rsidRPr="003D25B8">
        <w:t xml:space="preserve">literature </w:t>
      </w:r>
      <w:r w:rsidR="0018721F" w:rsidRPr="003D25B8">
        <w:t>review</w:t>
      </w:r>
      <w:r w:rsidR="00F32BB6" w:rsidRPr="003D25B8">
        <w:t xml:space="preserve"> of release mortality in </w:t>
      </w:r>
      <w:r w:rsidR="0018721F" w:rsidRPr="003D25B8">
        <w:t xml:space="preserve">a variety of </w:t>
      </w:r>
      <w:r w:rsidR="00F32BB6" w:rsidRPr="003D25B8">
        <w:t xml:space="preserve">marine fishes. The weighting factors </w:t>
      </w:r>
      <w:r w:rsidR="0095161B" w:rsidRPr="003D25B8">
        <w:t xml:space="preserve">for </w:t>
      </w:r>
      <w:r w:rsidR="00491C58" w:rsidRPr="003D25B8">
        <w:t xml:space="preserve">mortality on </w:t>
      </w:r>
      <w:r w:rsidR="0095161B" w:rsidRPr="003D25B8">
        <w:t xml:space="preserve">each hook type </w:t>
      </w:r>
      <w:r w:rsidR="00F32BB6" w:rsidRPr="003D25B8">
        <w:t xml:space="preserve">were obtained using creel survey data on the numbers of halibut released from </w:t>
      </w:r>
      <w:r w:rsidR="0018721F" w:rsidRPr="003D25B8">
        <w:t>circle and other hook types</w:t>
      </w:r>
      <w:r w:rsidR="00F32BB6" w:rsidRPr="003D25B8">
        <w:t xml:space="preserve"> </w:t>
      </w:r>
      <w:r w:rsidR="0095161B" w:rsidRPr="003D25B8">
        <w:t>collected in Southeast and Southcentral regions</w:t>
      </w:r>
      <w:r w:rsidR="00F32BB6" w:rsidRPr="003D25B8">
        <w:t xml:space="preserve"> in 2007. </w:t>
      </w:r>
      <w:r w:rsidR="001759D2" w:rsidRPr="003D25B8">
        <w:t xml:space="preserve">Hook type data were </w:t>
      </w:r>
      <w:r w:rsidR="00310D38" w:rsidRPr="003D25B8">
        <w:t xml:space="preserve">also </w:t>
      </w:r>
      <w:r w:rsidR="001759D2" w:rsidRPr="003D25B8">
        <w:t>collected in 2008 in Southeast, and every year since 2007 in Southcentral.</w:t>
      </w:r>
      <w:r w:rsidR="0078413D">
        <w:t xml:space="preserve"> </w:t>
      </w:r>
    </w:p>
    <w:p w14:paraId="382D7B4F" w14:textId="4DC12BA8" w:rsidR="0095161B" w:rsidRPr="00534FF2" w:rsidRDefault="0078413D" w:rsidP="00542AB6">
      <w:pPr>
        <w:rPr>
          <w:highlight w:val="yellow"/>
        </w:rPr>
      </w:pPr>
      <w:r w:rsidRPr="0078413D">
        <w:t>In 2007, m</w:t>
      </w:r>
      <w:r w:rsidR="0095161B" w:rsidRPr="0078413D">
        <w:t xml:space="preserve">ortality rates were estimated for each sector and subarea of Areas 2C and 3A and then weighted by the proportions of released fish in each IPHC area </w:t>
      </w:r>
      <w:r w:rsidR="001759D2" w:rsidRPr="0078413D">
        <w:t xml:space="preserve">(SWHS estimates) </w:t>
      </w:r>
      <w:r w:rsidR="0095161B" w:rsidRPr="0078413D">
        <w:t>to derive overall mortality rate estimates for each sector and IPHC area. The</w:t>
      </w:r>
      <w:r w:rsidR="001759D2" w:rsidRPr="0078413D">
        <w:t xml:space="preserve"> calculated</w:t>
      </w:r>
      <w:r w:rsidR="0095161B" w:rsidRPr="0078413D">
        <w:t xml:space="preserve"> rates were then rounded up as a precautionary measure to account for other factors such as </w:t>
      </w:r>
      <w:r w:rsidR="001759D2" w:rsidRPr="0078413D">
        <w:t xml:space="preserve">rough handling or </w:t>
      </w:r>
      <w:r w:rsidR="0095161B" w:rsidRPr="0078413D">
        <w:t>multiple recaptures of the same fish.</w:t>
      </w:r>
      <w:r w:rsidR="001759D2" w:rsidRPr="0078413D">
        <w:t xml:space="preserve"> These derived estimates were </w:t>
      </w:r>
      <w:r w:rsidR="001759D2" w:rsidRPr="0078413D">
        <w:rPr>
          <w:iCs/>
        </w:rPr>
        <w:t xml:space="preserve">5% for Area 3A charter-caught halibut, 6% for Area 2C charter and Area 3A </w:t>
      </w:r>
      <w:r w:rsidR="00A04F70" w:rsidRPr="0078413D">
        <w:rPr>
          <w:iCs/>
        </w:rPr>
        <w:t>unguided</w:t>
      </w:r>
      <w:r w:rsidR="001759D2" w:rsidRPr="0078413D">
        <w:rPr>
          <w:iCs/>
        </w:rPr>
        <w:t xml:space="preserve">, and 7% for Area 2C </w:t>
      </w:r>
      <w:r w:rsidR="00A04F70" w:rsidRPr="0078413D">
        <w:rPr>
          <w:iCs/>
        </w:rPr>
        <w:t>unguided</w:t>
      </w:r>
      <w:r w:rsidR="001759D2" w:rsidRPr="0078413D">
        <w:rPr>
          <w:iCs/>
        </w:rPr>
        <w:t xml:space="preserve"> halibut. Mortality rates </w:t>
      </w:r>
      <w:r w:rsidRPr="0078413D">
        <w:rPr>
          <w:iCs/>
        </w:rPr>
        <w:t>are periodically</w:t>
      </w:r>
      <w:r w:rsidR="001759D2" w:rsidRPr="0078413D">
        <w:rPr>
          <w:iCs/>
        </w:rPr>
        <w:t xml:space="preserve"> re-e</w:t>
      </w:r>
      <w:r w:rsidR="00C11132" w:rsidRPr="0078413D">
        <w:rPr>
          <w:iCs/>
        </w:rPr>
        <w:t xml:space="preserve">valuated using </w:t>
      </w:r>
      <w:r w:rsidRPr="0078413D">
        <w:rPr>
          <w:iCs/>
        </w:rPr>
        <w:t xml:space="preserve">available </w:t>
      </w:r>
      <w:r w:rsidR="00C11132" w:rsidRPr="0078413D">
        <w:rPr>
          <w:iCs/>
        </w:rPr>
        <w:t>hook data from more recent years</w:t>
      </w:r>
      <w:r w:rsidR="00491C58" w:rsidRPr="0078413D">
        <w:rPr>
          <w:iCs/>
        </w:rPr>
        <w:t>, along with</w:t>
      </w:r>
      <w:r w:rsidR="00C11132" w:rsidRPr="0078413D">
        <w:rPr>
          <w:iCs/>
        </w:rPr>
        <w:t xml:space="preserve"> logbook data </w:t>
      </w:r>
      <w:r w:rsidR="00491C58" w:rsidRPr="0078413D">
        <w:rPr>
          <w:iCs/>
        </w:rPr>
        <w:t>(charter) or SWHS estimates (</w:t>
      </w:r>
      <w:r w:rsidR="00A04F70" w:rsidRPr="0078413D">
        <w:rPr>
          <w:iCs/>
        </w:rPr>
        <w:t>unguided</w:t>
      </w:r>
      <w:r w:rsidR="00491C58" w:rsidRPr="0078413D">
        <w:rPr>
          <w:iCs/>
        </w:rPr>
        <w:t xml:space="preserve">) </w:t>
      </w:r>
      <w:r w:rsidR="00C11132" w:rsidRPr="0078413D">
        <w:rPr>
          <w:iCs/>
        </w:rPr>
        <w:t>for the weighting among subareas.</w:t>
      </w:r>
      <w:r w:rsidRPr="0078413D">
        <w:rPr>
          <w:iCs/>
        </w:rPr>
        <w:t xml:space="preserve"> To date, is has not led to any changes in the estimated mortality rates.</w:t>
      </w:r>
    </w:p>
    <w:p w14:paraId="43E0660F" w14:textId="77777777" w:rsidR="00254662" w:rsidRPr="0078413D" w:rsidRDefault="00254662" w:rsidP="00542AB6">
      <w:r w:rsidRPr="0078413D">
        <w:t>Estimating Mean Net Weight:</w:t>
      </w:r>
    </w:p>
    <w:p w14:paraId="12B8178E" w14:textId="74C7E0F5" w:rsidR="00C958B6" w:rsidRPr="00534FF2" w:rsidRDefault="00542AB6" w:rsidP="00542AB6">
      <w:pPr>
        <w:rPr>
          <w:highlight w:val="yellow"/>
        </w:rPr>
      </w:pPr>
      <w:r w:rsidRPr="0078413D">
        <w:t xml:space="preserve">There are no data available on the lengths of </w:t>
      </w:r>
      <w:r w:rsidR="00310D38" w:rsidRPr="0078413D">
        <w:t xml:space="preserve">individual </w:t>
      </w:r>
      <w:r w:rsidRPr="0078413D">
        <w:t xml:space="preserve">released halibut in sport fisheries in Alaska. </w:t>
      </w:r>
      <w:r w:rsidR="00491C58" w:rsidRPr="0078413D">
        <w:t xml:space="preserve">However, </w:t>
      </w:r>
      <w:r w:rsidR="00310D38" w:rsidRPr="0078413D">
        <w:t xml:space="preserve">the creel sampling program </w:t>
      </w:r>
      <w:r w:rsidR="00491C58" w:rsidRPr="0078413D">
        <w:t xml:space="preserve">in Southeast Alaska </w:t>
      </w:r>
      <w:r w:rsidR="00310D38" w:rsidRPr="0078413D">
        <w:t xml:space="preserve">has </w:t>
      </w:r>
      <w:r w:rsidR="0018721F" w:rsidRPr="0078413D">
        <w:t>collected data on the number of</w:t>
      </w:r>
      <w:r w:rsidR="00310D38" w:rsidRPr="0078413D">
        <w:t xml:space="preserve"> </w:t>
      </w:r>
      <w:r w:rsidR="00310D38" w:rsidRPr="009B511B">
        <w:lastRenderedPageBreak/>
        <w:t>release</w:t>
      </w:r>
      <w:r w:rsidR="0018721F" w:rsidRPr="009B511B">
        <w:t>d halibut</w:t>
      </w:r>
      <w:r w:rsidR="00310D38" w:rsidRPr="009B511B">
        <w:t xml:space="preserve"> by size category </w:t>
      </w:r>
      <w:r w:rsidR="00491C58" w:rsidRPr="009B511B">
        <w:t xml:space="preserve">in Area 2C </w:t>
      </w:r>
      <w:r w:rsidR="00310D38" w:rsidRPr="009B511B">
        <w:t>since 2012, the first year of the reverse slot size limit. The size categories in 201</w:t>
      </w:r>
      <w:r w:rsidR="00F75772">
        <w:t>8</w:t>
      </w:r>
      <w:r w:rsidR="00310D38" w:rsidRPr="009B511B">
        <w:t>, under a U</w:t>
      </w:r>
      <w:r w:rsidR="00F75772">
        <w:t>38</w:t>
      </w:r>
      <w:r w:rsidR="00310D38" w:rsidRPr="009B511B">
        <w:t>-O</w:t>
      </w:r>
      <w:r w:rsidR="00F75772">
        <w:t>80</w:t>
      </w:r>
      <w:r w:rsidR="00310D38" w:rsidRPr="009B511B">
        <w:t xml:space="preserve"> reverse slot limit were (1) ≤ </w:t>
      </w:r>
      <w:r w:rsidR="00F75772">
        <w:t>38</w:t>
      </w:r>
      <w:r w:rsidR="00310D38" w:rsidRPr="009B511B">
        <w:t xml:space="preserve"> inches, (2) greater than </w:t>
      </w:r>
      <w:r w:rsidR="00F75772">
        <w:t>38</w:t>
      </w:r>
      <w:r w:rsidR="00310D38" w:rsidRPr="009B511B">
        <w:t xml:space="preserve"> but </w:t>
      </w:r>
      <w:r w:rsidR="00916F51" w:rsidRPr="009B511B">
        <w:t xml:space="preserve">less than </w:t>
      </w:r>
      <w:r w:rsidR="00F75772">
        <w:t>80</w:t>
      </w:r>
      <w:r w:rsidR="00310D38" w:rsidRPr="009B511B">
        <w:t xml:space="preserve"> inches, and (3) ≥ </w:t>
      </w:r>
      <w:r w:rsidR="00F75772">
        <w:t>80</w:t>
      </w:r>
      <w:r w:rsidR="00310D38" w:rsidRPr="009B511B">
        <w:t xml:space="preserve"> inches. </w:t>
      </w:r>
      <w:r w:rsidR="0078413D" w:rsidRPr="009B511B">
        <w:t>T</w:t>
      </w:r>
      <w:r w:rsidR="00310D38" w:rsidRPr="009B511B">
        <w:t xml:space="preserve">he reverse slot limit </w:t>
      </w:r>
      <w:r w:rsidR="0078413D" w:rsidRPr="009B511B">
        <w:t>has changed most years since 2014 to maximize fishing opportunity while minimizing fishing overages</w:t>
      </w:r>
      <w:r w:rsidR="009B511B" w:rsidRPr="009B511B">
        <w:t>,</w:t>
      </w:r>
      <w:r w:rsidR="00C958B6" w:rsidRPr="009B511B">
        <w:t xml:space="preserve"> and size classes</w:t>
      </w:r>
      <w:r w:rsidR="00310D38" w:rsidRPr="009B511B">
        <w:t xml:space="preserve"> </w:t>
      </w:r>
      <w:r w:rsidR="009B511B" w:rsidRPr="009B511B">
        <w:t>a</w:t>
      </w:r>
      <w:r w:rsidR="00C958B6" w:rsidRPr="009B511B">
        <w:t>re adjusted accordingly. No size class information is collected in Area 3A.</w:t>
      </w:r>
    </w:p>
    <w:p w14:paraId="3B6C6EB7" w14:textId="77777777" w:rsidR="00C958B6" w:rsidRPr="009B511B" w:rsidRDefault="00C958B6" w:rsidP="00542AB6">
      <w:r w:rsidRPr="009B511B">
        <w:t>Since size data are not available on individual fish,</w:t>
      </w:r>
      <w:r w:rsidR="00310D38" w:rsidRPr="009B511B">
        <w:t xml:space="preserve"> reasonable estimate</w:t>
      </w:r>
      <w:r w:rsidRPr="009B511B">
        <w:t>s</w:t>
      </w:r>
      <w:r w:rsidR="00310D38" w:rsidRPr="009B511B">
        <w:t xml:space="preserve"> of the</w:t>
      </w:r>
      <w:r w:rsidR="00FD0CE5" w:rsidRPr="009B511B">
        <w:t xml:space="preserve"> average weight of released fish </w:t>
      </w:r>
      <w:r w:rsidR="00D91200" w:rsidRPr="009B511B">
        <w:t xml:space="preserve">for each sector </w:t>
      </w:r>
      <w:r w:rsidR="00FD0CE5" w:rsidRPr="009B511B">
        <w:t xml:space="preserve">in each </w:t>
      </w:r>
      <w:r w:rsidRPr="009B511B">
        <w:t xml:space="preserve">IPHC area and </w:t>
      </w:r>
      <w:r w:rsidR="00FD0CE5" w:rsidRPr="009B511B">
        <w:t xml:space="preserve">subarea </w:t>
      </w:r>
      <w:r w:rsidRPr="009B511B">
        <w:t>will be</w:t>
      </w:r>
      <w:r w:rsidR="00FD0CE5" w:rsidRPr="009B511B">
        <w:t xml:space="preserve"> </w:t>
      </w:r>
      <w:r w:rsidR="00310D38" w:rsidRPr="009B511B">
        <w:t>derived</w:t>
      </w:r>
      <w:r w:rsidR="00FD0CE5" w:rsidRPr="009B511B">
        <w:t xml:space="preserve"> using </w:t>
      </w:r>
      <w:r w:rsidR="00310D38" w:rsidRPr="009B511B">
        <w:t>a modeling</w:t>
      </w:r>
      <w:r w:rsidRPr="009B511B">
        <w:t xml:space="preserve"> approach </w:t>
      </w:r>
      <w:proofErr w:type="gramStart"/>
      <w:r w:rsidRPr="009B511B">
        <w:t>similar to</w:t>
      </w:r>
      <w:proofErr w:type="gramEnd"/>
      <w:r w:rsidRPr="009B511B">
        <w:t xml:space="preserve"> Meyer (2007). </w:t>
      </w:r>
      <w:r w:rsidR="001B7503" w:rsidRPr="009B511B">
        <w:t>Two slightly different approaches will be used to estimate average weight, depending on available data. For the</w:t>
      </w:r>
      <w:r w:rsidR="00491C58" w:rsidRPr="009B511B">
        <w:t xml:space="preserve"> </w:t>
      </w:r>
      <w:r w:rsidR="00A04F70" w:rsidRPr="009B511B">
        <w:t>unguided</w:t>
      </w:r>
      <w:r w:rsidR="00491C58" w:rsidRPr="009B511B">
        <w:t xml:space="preserve"> sector in </w:t>
      </w:r>
      <w:r w:rsidR="001B7503" w:rsidRPr="009B511B">
        <w:t>Area</w:t>
      </w:r>
      <w:r w:rsidR="00491C58" w:rsidRPr="009B511B">
        <w:t>s</w:t>
      </w:r>
      <w:r w:rsidR="001B7503" w:rsidRPr="009B511B">
        <w:t xml:space="preserve"> 2C and 3A</w:t>
      </w:r>
      <w:r w:rsidR="00491C58" w:rsidRPr="009B511B">
        <w:t xml:space="preserve"> and charter sector in Area 3A, </w:t>
      </w:r>
      <w:r w:rsidR="001B7503" w:rsidRPr="009B511B">
        <w:t>where no size data are available, the mean weight of released fish will be obtained entirely through modeling. First, a</w:t>
      </w:r>
      <w:r w:rsidR="00FD0CE5" w:rsidRPr="009B511B">
        <w:t xml:space="preserve"> logistic curve </w:t>
      </w:r>
      <w:r w:rsidR="001B7503" w:rsidRPr="009B511B">
        <w:t xml:space="preserve">will be constructed to </w:t>
      </w:r>
      <w:r w:rsidR="00FD0CE5" w:rsidRPr="009B511B">
        <w:t>represent the probability of retaining a halibut as a function of its length</w:t>
      </w:r>
      <w:r w:rsidR="00071425" w:rsidRPr="009B511B">
        <w:t xml:space="preserve">, or </w:t>
      </w:r>
      <w:proofErr w:type="spellStart"/>
      <w:r w:rsidR="00071425" w:rsidRPr="009B511B">
        <w:rPr>
          <w:i/>
        </w:rPr>
        <w:t>p</w:t>
      </w:r>
      <w:r w:rsidR="00071425" w:rsidRPr="009B511B">
        <w:rPr>
          <w:i/>
          <w:vertAlign w:val="subscript"/>
        </w:rPr>
        <w:t>L</w:t>
      </w:r>
      <w:proofErr w:type="spellEnd"/>
      <w:r w:rsidRPr="009B511B">
        <w:t>:</w:t>
      </w:r>
    </w:p>
    <w:tbl>
      <w:tblPr>
        <w:tblW w:w="0" w:type="auto"/>
        <w:tblLook w:val="00A0" w:firstRow="1" w:lastRow="0" w:firstColumn="1" w:lastColumn="0" w:noHBand="0" w:noVBand="0"/>
      </w:tblPr>
      <w:tblGrid>
        <w:gridCol w:w="8627"/>
        <w:gridCol w:w="733"/>
      </w:tblGrid>
      <w:tr w:rsidR="00C958B6" w:rsidRPr="009B511B" w14:paraId="0ECA7CA0" w14:textId="77777777" w:rsidTr="0018721F">
        <w:trPr>
          <w:trHeight w:val="648"/>
        </w:trPr>
        <w:tc>
          <w:tcPr>
            <w:tcW w:w="8838" w:type="dxa"/>
            <w:vAlign w:val="center"/>
          </w:tcPr>
          <w:p w14:paraId="49E02AF0" w14:textId="77777777" w:rsidR="00C958B6" w:rsidRPr="009B511B" w:rsidRDefault="000B0B97" w:rsidP="00916F51">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t>
                        </m:r>
                      </m:sub>
                    </m:sSub>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L-γ</m:t>
                                </m:r>
                              </m:e>
                            </m:d>
                          </m:e>
                        </m:d>
                        <m:ctrlPr>
                          <w:rPr>
                            <w:rFonts w:ascii="Cambria Math" w:hAnsi="Cambria Math"/>
                            <w:i/>
                          </w:rPr>
                        </m:ctrlPr>
                      </m:e>
                    </m:func>
                  </m:den>
                </m:f>
              </m:oMath>
            </m:oMathPara>
          </w:p>
        </w:tc>
        <w:tc>
          <w:tcPr>
            <w:tcW w:w="738" w:type="dxa"/>
            <w:vAlign w:val="center"/>
          </w:tcPr>
          <w:p w14:paraId="37DC0577" w14:textId="2A014309" w:rsidR="00C958B6" w:rsidRPr="009B511B" w:rsidRDefault="00C958B6" w:rsidP="00DD75C2">
            <w:r w:rsidRPr="009B511B">
              <w:rPr>
                <w:sz w:val="22"/>
              </w:rPr>
              <w:t>(</w:t>
            </w:r>
            <w:r w:rsidR="009B511B" w:rsidRPr="009B511B">
              <w:rPr>
                <w:sz w:val="22"/>
              </w:rPr>
              <w:t>1</w:t>
            </w:r>
            <w:r w:rsidR="00087E63">
              <w:rPr>
                <w:sz w:val="22"/>
              </w:rPr>
              <w:t>1</w:t>
            </w:r>
            <w:r w:rsidRPr="009B511B">
              <w:rPr>
                <w:sz w:val="22"/>
              </w:rPr>
              <w:t>)</w:t>
            </w:r>
          </w:p>
        </w:tc>
      </w:tr>
    </w:tbl>
    <w:p w14:paraId="091BCA2A" w14:textId="77777777" w:rsidR="00C958B6" w:rsidRPr="009B511B" w:rsidRDefault="00C958B6" w:rsidP="00C958B6">
      <w:pPr>
        <w:rPr>
          <w:bCs/>
        </w:rPr>
      </w:pPr>
      <w:r w:rsidRPr="009B511B">
        <w:rPr>
          <w:bCs/>
        </w:rPr>
        <w:t>where</w:t>
      </w:r>
    </w:p>
    <w:tbl>
      <w:tblPr>
        <w:tblW w:w="0" w:type="auto"/>
        <w:tblLook w:val="04A0" w:firstRow="1" w:lastRow="0" w:firstColumn="1" w:lastColumn="0" w:noHBand="0" w:noVBand="1"/>
      </w:tblPr>
      <w:tblGrid>
        <w:gridCol w:w="805"/>
        <w:gridCol w:w="8555"/>
      </w:tblGrid>
      <w:tr w:rsidR="00C958B6" w:rsidRPr="009B511B" w14:paraId="3787686C" w14:textId="77777777" w:rsidTr="0018721F">
        <w:tc>
          <w:tcPr>
            <w:tcW w:w="828" w:type="dxa"/>
            <w:shd w:val="clear" w:color="auto" w:fill="auto"/>
          </w:tcPr>
          <w:p w14:paraId="0A275E0A" w14:textId="77777777" w:rsidR="00C958B6" w:rsidRPr="009B511B" w:rsidRDefault="000B0B97" w:rsidP="00F35780">
            <w:pPr>
              <w:jc w:val="right"/>
              <w:rPr>
                <w:rFonts w:cs="Calibri"/>
                <w:bCs/>
              </w:rPr>
            </w:pPr>
            <m:oMathPara>
              <m:oMath>
                <m:sSub>
                  <m:sSubPr>
                    <m:ctrlPr>
                      <w:rPr>
                        <w:rFonts w:ascii="Cambria Math" w:hAnsi="Cambria Math" w:cs="Calibri"/>
                        <w:bCs/>
                        <w:i/>
                      </w:rPr>
                    </m:ctrlPr>
                  </m:sSubPr>
                  <m:e>
                    <m:r>
                      <w:rPr>
                        <w:rFonts w:ascii="Cambria Math" w:hAnsi="Cambria Math" w:cs="Calibri"/>
                      </w:rPr>
                      <m:t>p</m:t>
                    </m:r>
                  </m:e>
                  <m:sub>
                    <m:r>
                      <w:rPr>
                        <w:rFonts w:ascii="Cambria Math" w:hAnsi="Cambria Math" w:cs="Calibri"/>
                      </w:rPr>
                      <m:t>∞</m:t>
                    </m:r>
                  </m:sub>
                </m:sSub>
              </m:oMath>
            </m:oMathPara>
          </w:p>
        </w:tc>
        <w:tc>
          <w:tcPr>
            <w:tcW w:w="9108" w:type="dxa"/>
            <w:shd w:val="clear" w:color="auto" w:fill="auto"/>
          </w:tcPr>
          <w:p w14:paraId="234F62A0" w14:textId="77777777" w:rsidR="00C958B6" w:rsidRPr="009B511B" w:rsidRDefault="00071425" w:rsidP="00916F51">
            <w:pPr>
              <w:spacing w:after="0"/>
              <w:rPr>
                <w:rFonts w:cs="Calibri"/>
                <w:bCs/>
              </w:rPr>
            </w:pPr>
            <w:r w:rsidRPr="009B511B">
              <w:rPr>
                <w:rFonts w:cs="Calibri"/>
                <w:bCs/>
              </w:rPr>
              <w:t xml:space="preserve">= </w:t>
            </w:r>
            <w:r w:rsidR="00C958B6" w:rsidRPr="009B511B">
              <w:rPr>
                <w:rFonts w:cs="Calibri"/>
                <w:bCs/>
              </w:rPr>
              <w:t xml:space="preserve">the </w:t>
            </w:r>
            <w:r w:rsidRPr="009B511B">
              <w:rPr>
                <w:rFonts w:cs="Calibri"/>
                <w:bCs/>
              </w:rPr>
              <w:t>theoretical maximum retention probability</w:t>
            </w:r>
            <w:r w:rsidR="00F35780" w:rsidRPr="009B511B">
              <w:rPr>
                <w:rFonts w:cs="Calibri"/>
                <w:bCs/>
              </w:rPr>
              <w:t xml:space="preserve"> (</w:t>
            </w:r>
            <m:oMath>
              <m:sSub>
                <m:sSubPr>
                  <m:ctrlPr>
                    <w:rPr>
                      <w:rFonts w:ascii="Cambria Math" w:hAnsi="Cambria Math" w:cs="Calibri"/>
                      <w:bCs/>
                      <w:i/>
                    </w:rPr>
                  </m:ctrlPr>
                </m:sSubPr>
                <m:e>
                  <m:r>
                    <w:rPr>
                      <w:rFonts w:ascii="Cambria Math" w:hAnsi="Cambria Math" w:cs="Calibri"/>
                    </w:rPr>
                    <m:t>p</m:t>
                  </m:r>
                </m:e>
                <m:sub>
                  <m:r>
                    <w:rPr>
                      <w:rFonts w:ascii="Cambria Math" w:hAnsi="Cambria Math" w:cs="Calibri"/>
                    </w:rPr>
                    <m:t>∞</m:t>
                  </m:r>
                </m:sub>
              </m:sSub>
            </m:oMath>
            <w:r w:rsidR="00F35780" w:rsidRPr="009B511B">
              <w:rPr>
                <w:bCs/>
              </w:rPr>
              <w:t>≤</w:t>
            </w:r>
            <w:r w:rsidR="00F35780" w:rsidRPr="009B511B">
              <w:rPr>
                <w:rFonts w:cs="Calibri"/>
                <w:bCs/>
              </w:rPr>
              <w:t xml:space="preserve"> 1)</w:t>
            </w:r>
            <w:r w:rsidR="00F06DDC" w:rsidRPr="009B511B">
              <w:rPr>
                <w:rFonts w:cs="Calibri"/>
                <w:bCs/>
              </w:rPr>
              <w:t>,</w:t>
            </w:r>
          </w:p>
        </w:tc>
      </w:tr>
      <w:tr w:rsidR="00C958B6" w:rsidRPr="009B511B" w14:paraId="7C412A6B" w14:textId="77777777" w:rsidTr="0018721F">
        <w:tc>
          <w:tcPr>
            <w:tcW w:w="828" w:type="dxa"/>
            <w:shd w:val="clear" w:color="auto" w:fill="auto"/>
          </w:tcPr>
          <w:p w14:paraId="60BDB7F9" w14:textId="77777777" w:rsidR="00C958B6" w:rsidRPr="009B511B" w:rsidRDefault="00071425" w:rsidP="00071425">
            <w:pPr>
              <w:jc w:val="right"/>
              <w:rPr>
                <w:rFonts w:cs="Calibri"/>
                <w:bCs/>
              </w:rPr>
            </w:pPr>
            <m:oMathPara>
              <m:oMath>
                <m:r>
                  <w:rPr>
                    <w:rFonts w:ascii="Cambria Math" w:hAnsi="Cambria Math" w:cs="Calibri"/>
                  </w:rPr>
                  <m:t>κ</m:t>
                </m:r>
              </m:oMath>
            </m:oMathPara>
          </w:p>
        </w:tc>
        <w:tc>
          <w:tcPr>
            <w:tcW w:w="9108" w:type="dxa"/>
            <w:shd w:val="clear" w:color="auto" w:fill="auto"/>
          </w:tcPr>
          <w:p w14:paraId="6947A2E5" w14:textId="77777777" w:rsidR="00C958B6" w:rsidRPr="009B511B" w:rsidRDefault="00071425" w:rsidP="00071425">
            <w:pPr>
              <w:rPr>
                <w:bCs/>
              </w:rPr>
            </w:pPr>
            <w:r w:rsidRPr="009B511B">
              <w:t>= a slope parameter</w:t>
            </w:r>
            <w:r w:rsidR="00C958B6" w:rsidRPr="009B511B">
              <w:rPr>
                <w:bCs/>
                <w:iCs/>
              </w:rPr>
              <w:t xml:space="preserve">, and </w:t>
            </w:r>
          </w:p>
        </w:tc>
      </w:tr>
      <w:tr w:rsidR="00DA7914" w:rsidRPr="009B511B" w14:paraId="02BBC9E3" w14:textId="77777777" w:rsidTr="0018721F">
        <w:tc>
          <w:tcPr>
            <w:tcW w:w="828" w:type="dxa"/>
            <w:shd w:val="clear" w:color="auto" w:fill="auto"/>
          </w:tcPr>
          <w:p w14:paraId="6B05350B" w14:textId="77777777" w:rsidR="00DA7914" w:rsidRPr="009B511B" w:rsidRDefault="00DA7914" w:rsidP="00DA7914">
            <w:pPr>
              <w:jc w:val="center"/>
              <w:rPr>
                <w:bCs/>
                <w:i/>
              </w:rPr>
            </w:pPr>
            <w:r w:rsidRPr="009B511B">
              <w:rPr>
                <w:bCs/>
                <w:i/>
              </w:rPr>
              <w:t>L</w:t>
            </w:r>
          </w:p>
        </w:tc>
        <w:tc>
          <w:tcPr>
            <w:tcW w:w="9108" w:type="dxa"/>
            <w:shd w:val="clear" w:color="auto" w:fill="auto"/>
          </w:tcPr>
          <w:p w14:paraId="41D0CFAC" w14:textId="77777777" w:rsidR="00DA7914" w:rsidRPr="009B511B" w:rsidRDefault="00DA7914" w:rsidP="00DA7914">
            <w:r w:rsidRPr="009B511B">
              <w:t>= length to the nearest inch (for compatibility with size limits), and</w:t>
            </w:r>
          </w:p>
        </w:tc>
      </w:tr>
      <w:tr w:rsidR="00C958B6" w:rsidRPr="00534FF2" w14:paraId="12CAD1AE" w14:textId="77777777" w:rsidTr="0018721F">
        <w:tc>
          <w:tcPr>
            <w:tcW w:w="828" w:type="dxa"/>
            <w:shd w:val="clear" w:color="auto" w:fill="auto"/>
          </w:tcPr>
          <w:p w14:paraId="793CB91E" w14:textId="77777777" w:rsidR="00C958B6" w:rsidRPr="009B511B" w:rsidRDefault="00071425" w:rsidP="00071425">
            <w:pPr>
              <w:jc w:val="right"/>
              <w:rPr>
                <w:rFonts w:cs="Calibri"/>
                <w:bCs/>
              </w:rPr>
            </w:pPr>
            <m:oMathPara>
              <m:oMath>
                <m:r>
                  <w:rPr>
                    <w:rFonts w:ascii="Cambria Math" w:hAnsi="Cambria Math" w:cs="Calibri"/>
                  </w:rPr>
                  <m:t>γ</m:t>
                </m:r>
              </m:oMath>
            </m:oMathPara>
          </w:p>
        </w:tc>
        <w:tc>
          <w:tcPr>
            <w:tcW w:w="9108" w:type="dxa"/>
            <w:shd w:val="clear" w:color="auto" w:fill="auto"/>
          </w:tcPr>
          <w:p w14:paraId="2996A1D3" w14:textId="77777777" w:rsidR="00C958B6" w:rsidRPr="009B511B" w:rsidRDefault="00071425" w:rsidP="00071425">
            <w:pPr>
              <w:spacing w:after="0"/>
              <w:rPr>
                <w:rFonts w:cs="Calibri"/>
                <w:bCs/>
              </w:rPr>
            </w:pPr>
            <w:r w:rsidRPr="009B511B">
              <w:rPr>
                <w:rFonts w:cs="Calibri"/>
                <w:bCs/>
              </w:rPr>
              <w:t xml:space="preserve">= </w:t>
            </w:r>
            <w:r w:rsidR="00C958B6" w:rsidRPr="009B511B">
              <w:rPr>
                <w:rFonts w:cs="Calibri"/>
                <w:bCs/>
              </w:rPr>
              <w:t xml:space="preserve">the </w:t>
            </w:r>
            <w:r w:rsidRPr="009B511B">
              <w:rPr>
                <w:rFonts w:cs="Calibri"/>
                <w:bCs/>
              </w:rPr>
              <w:t>length at the inflection point of the curve.</w:t>
            </w:r>
            <w:r w:rsidR="00C958B6" w:rsidRPr="009B511B">
              <w:rPr>
                <w:rFonts w:cs="Calibri"/>
                <w:bCs/>
              </w:rPr>
              <w:t xml:space="preserve"> </w:t>
            </w:r>
          </w:p>
        </w:tc>
      </w:tr>
    </w:tbl>
    <w:p w14:paraId="09DAB244" w14:textId="7A753876" w:rsidR="00DA7914" w:rsidRPr="009B511B" w:rsidRDefault="00DA7914" w:rsidP="00542AB6">
      <w:r w:rsidRPr="009B511B">
        <w:t xml:space="preserve">This retention probability will be used to infer </w:t>
      </w:r>
      <w:r w:rsidR="00164258" w:rsidRPr="009B511B">
        <w:t>the average weight of released fish</w:t>
      </w:r>
      <w:r w:rsidR="00D91200" w:rsidRPr="009B511B">
        <w:t xml:space="preserve"> in each sector, IPHC area, and subarea</w:t>
      </w:r>
      <w:r w:rsidR="00164258" w:rsidRPr="009B511B">
        <w:t>. First the</w:t>
      </w:r>
      <w:r w:rsidRPr="009B511B">
        <w:t xml:space="preserve"> </w:t>
      </w:r>
      <w:r w:rsidR="00164258" w:rsidRPr="009B511B">
        <w:t xml:space="preserve">total harvest at length </w:t>
      </w:r>
      <w:r w:rsidR="00164258" w:rsidRPr="009B511B">
        <w:rPr>
          <w:i/>
        </w:rPr>
        <w:t>H</w:t>
      </w:r>
      <w:r w:rsidR="00164258" w:rsidRPr="009B511B">
        <w:rPr>
          <w:i/>
          <w:vertAlign w:val="subscript"/>
        </w:rPr>
        <w:t>L</w:t>
      </w:r>
      <w:r w:rsidR="00164258" w:rsidRPr="009B511B">
        <w:t xml:space="preserve"> (in numbers of fish) will be calculated as the product of the harvest estimate from either </w:t>
      </w:r>
      <w:r w:rsidR="00D91200" w:rsidRPr="009B511B">
        <w:t xml:space="preserve">the </w:t>
      </w:r>
      <w:r w:rsidR="00164258" w:rsidRPr="009B511B">
        <w:t xml:space="preserve">logbook </w:t>
      </w:r>
      <w:r w:rsidR="00D91200" w:rsidRPr="009B511B">
        <w:t xml:space="preserve">(charter) </w:t>
      </w:r>
      <w:r w:rsidR="00164258" w:rsidRPr="009B511B">
        <w:t>or SWHS</w:t>
      </w:r>
      <w:r w:rsidR="00D91200" w:rsidRPr="009B511B">
        <w:t xml:space="preserve"> (</w:t>
      </w:r>
      <w:r w:rsidR="00A04F70" w:rsidRPr="009B511B">
        <w:t>unguided</w:t>
      </w:r>
      <w:r w:rsidR="00164258" w:rsidRPr="009B511B">
        <w:t xml:space="preserve">) and the estimated length composition of the </w:t>
      </w:r>
      <w:r w:rsidR="00D91200" w:rsidRPr="009B511B">
        <w:t xml:space="preserve">charter or </w:t>
      </w:r>
      <w:r w:rsidR="00A04F70" w:rsidRPr="009B511B">
        <w:t>unguided</w:t>
      </w:r>
      <w:r w:rsidR="00D91200" w:rsidRPr="009B511B">
        <w:t xml:space="preserve"> </w:t>
      </w:r>
      <w:r w:rsidR="00164258" w:rsidRPr="009B511B">
        <w:t xml:space="preserve">harvest from creel </w:t>
      </w:r>
      <w:r w:rsidR="00164258" w:rsidRPr="00BE4A41">
        <w:t xml:space="preserve">sampling. </w:t>
      </w:r>
      <w:r w:rsidR="00BE4A41" w:rsidRPr="00BE4A41">
        <w:t xml:space="preserve">Due to a significant difference in the average weight of halibut cleaned at sea and cleaned in port in the charter fishery in Homer, average weights are estimated separately and interview data are used to apportion </w:t>
      </w:r>
      <w:r w:rsidR="00E55A8B">
        <w:t xml:space="preserve">numbers of </w:t>
      </w:r>
      <w:r w:rsidR="00BE4A41" w:rsidRPr="00BE4A41">
        <w:t>harvest</w:t>
      </w:r>
      <w:r w:rsidR="00E55A8B">
        <w:t>ed</w:t>
      </w:r>
      <w:r w:rsidR="00BE4A41" w:rsidRPr="00BE4A41">
        <w:t xml:space="preserve"> fish cleaned at sea and in port to estimate an overall average weight </w:t>
      </w:r>
      <w:r w:rsidR="00E55A8B">
        <w:t xml:space="preserve">for that subarea </w:t>
      </w:r>
      <w:r w:rsidR="00BE4A41" w:rsidRPr="00E55A8B">
        <w:t>(</w:t>
      </w:r>
      <w:proofErr w:type="spellStart"/>
      <w:r w:rsidR="00BE4A41" w:rsidRPr="00E55A8B">
        <w:t>Failor</w:t>
      </w:r>
      <w:proofErr w:type="spellEnd"/>
      <w:r w:rsidR="00BE4A41" w:rsidRPr="00E55A8B">
        <w:t xml:space="preserve"> 201</w:t>
      </w:r>
      <w:r w:rsidR="00787EA6" w:rsidRPr="00E55A8B">
        <w:t>6</w:t>
      </w:r>
      <w:r w:rsidR="00BE4A41" w:rsidRPr="00E55A8B">
        <w:t>).</w:t>
      </w:r>
      <w:r w:rsidR="00BE4A41" w:rsidRPr="00BE4A41">
        <w:t xml:space="preserve"> </w:t>
      </w:r>
      <w:r w:rsidR="00164258" w:rsidRPr="00BE4A41">
        <w:t>Catch</w:t>
      </w:r>
      <w:r w:rsidR="00164258" w:rsidRPr="009B511B">
        <w:t xml:space="preserve"> at length, which includes halibut kept and released, will be estimated as </w:t>
      </w:r>
      <w:r w:rsidR="00164258" w:rsidRPr="009B511B">
        <w:rPr>
          <w:i/>
        </w:rPr>
        <w:t>H</w:t>
      </w:r>
      <w:r w:rsidR="00164258" w:rsidRPr="009B511B">
        <w:rPr>
          <w:i/>
          <w:vertAlign w:val="subscript"/>
        </w:rPr>
        <w:t>L</w:t>
      </w:r>
      <w:r w:rsidR="00164258" w:rsidRPr="009B511B">
        <w:rPr>
          <w:i/>
        </w:rPr>
        <w:t>/</w:t>
      </w:r>
      <w:proofErr w:type="spellStart"/>
      <w:r w:rsidR="00164258" w:rsidRPr="009B511B">
        <w:rPr>
          <w:i/>
        </w:rPr>
        <w:t>p</w:t>
      </w:r>
      <w:r w:rsidR="00164258" w:rsidRPr="009B511B">
        <w:rPr>
          <w:i/>
          <w:vertAlign w:val="subscript"/>
        </w:rPr>
        <w:t>L</w:t>
      </w:r>
      <w:proofErr w:type="spellEnd"/>
      <w:r w:rsidR="00164258" w:rsidRPr="009B511B">
        <w:t xml:space="preserve">, and the number of fish released at length </w:t>
      </w:r>
      <w:r w:rsidR="00C2007F" w:rsidRPr="009B511B">
        <w:rPr>
          <w:i/>
        </w:rPr>
        <w:t>N</w:t>
      </w:r>
      <w:r w:rsidR="00164258" w:rsidRPr="009B511B">
        <w:rPr>
          <w:i/>
          <w:vertAlign w:val="subscript"/>
        </w:rPr>
        <w:t>L</w:t>
      </w:r>
      <w:r w:rsidR="00164258" w:rsidRPr="009B511B">
        <w:t xml:space="preserve"> will be obtained by subtraction:</w:t>
      </w:r>
    </w:p>
    <w:tbl>
      <w:tblPr>
        <w:tblW w:w="0" w:type="auto"/>
        <w:tblLook w:val="00A0" w:firstRow="1" w:lastRow="0" w:firstColumn="1" w:lastColumn="0" w:noHBand="0" w:noVBand="0"/>
      </w:tblPr>
      <w:tblGrid>
        <w:gridCol w:w="8626"/>
        <w:gridCol w:w="734"/>
      </w:tblGrid>
      <w:tr w:rsidR="00DA7914" w:rsidRPr="00534FF2" w14:paraId="7F3A4A2E" w14:textId="77777777" w:rsidTr="0018721F">
        <w:trPr>
          <w:trHeight w:val="648"/>
        </w:trPr>
        <w:tc>
          <w:tcPr>
            <w:tcW w:w="8838" w:type="dxa"/>
            <w:vAlign w:val="center"/>
          </w:tcPr>
          <w:p w14:paraId="25F59B12" w14:textId="77777777" w:rsidR="006A7053" w:rsidRPr="009B511B" w:rsidRDefault="000B0B97" w:rsidP="00C2007F">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m:t>
                            </m:r>
                          </m:sub>
                        </m:sSub>
                      </m:num>
                      <m:den>
                        <m:sSub>
                          <m:sSubPr>
                            <m:ctrlPr>
                              <w:rPr>
                                <w:rFonts w:ascii="Cambria Math" w:hAnsi="Cambria Math"/>
                                <w:i/>
                              </w:rPr>
                            </m:ctrlPr>
                          </m:sSubPr>
                          <m:e>
                            <m:r>
                              <w:rPr>
                                <w:rFonts w:ascii="Cambria Math" w:hAnsi="Cambria Math"/>
                              </w:rPr>
                              <m:t>p</m:t>
                            </m:r>
                          </m:e>
                          <m:sub>
                            <m:r>
                              <w:rPr>
                                <w:rFonts w:ascii="Cambria Math" w:hAnsi="Cambria Math"/>
                              </w:rPr>
                              <m:t>L</m:t>
                            </m:r>
                          </m:sub>
                        </m:sSub>
                      </m:den>
                    </m:f>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-1</m:t>
                    </m:r>
                  </m:e>
                </m:d>
              </m:oMath>
            </m:oMathPara>
          </w:p>
        </w:tc>
        <w:tc>
          <w:tcPr>
            <w:tcW w:w="738" w:type="dxa"/>
            <w:vAlign w:val="center"/>
          </w:tcPr>
          <w:p w14:paraId="5A4AB623" w14:textId="6FE4557D" w:rsidR="00DA7914" w:rsidRPr="009B511B" w:rsidRDefault="00DA7914" w:rsidP="00DD75C2">
            <w:r w:rsidRPr="009B511B">
              <w:rPr>
                <w:sz w:val="22"/>
              </w:rPr>
              <w:t>(</w:t>
            </w:r>
            <w:r w:rsidR="009B511B" w:rsidRPr="009B511B">
              <w:rPr>
                <w:sz w:val="22"/>
              </w:rPr>
              <w:t>1</w:t>
            </w:r>
            <w:r w:rsidR="00087E63">
              <w:rPr>
                <w:sz w:val="22"/>
              </w:rPr>
              <w:t>2</w:t>
            </w:r>
            <w:r w:rsidRPr="009B511B">
              <w:rPr>
                <w:sz w:val="22"/>
              </w:rPr>
              <w:t>)</w:t>
            </w:r>
          </w:p>
        </w:tc>
      </w:tr>
    </w:tbl>
    <w:p w14:paraId="7A3CD55F" w14:textId="77777777" w:rsidR="00DA7914" w:rsidRPr="009B511B" w:rsidRDefault="00E16946" w:rsidP="00542AB6">
      <w:r w:rsidRPr="009B511B">
        <w:t xml:space="preserve">Mean weight of </w:t>
      </w:r>
      <w:r w:rsidR="006A7053" w:rsidRPr="009B511B">
        <w:t xml:space="preserve">U26 and O26 </w:t>
      </w:r>
      <w:r w:rsidRPr="009B511B">
        <w:t xml:space="preserve">released </w:t>
      </w:r>
      <w:r w:rsidR="006A7053" w:rsidRPr="009B511B">
        <w:t>halibut</w:t>
      </w:r>
      <w:r w:rsidRPr="009B511B">
        <w:t xml:space="preserve"> will then be calculated</w:t>
      </w:r>
      <w:r w:rsidR="00E63505" w:rsidRPr="009B511B">
        <w:t xml:space="preserve"> separately for all fish &lt; 26 inches and fish ≥ 26 inches in length </w:t>
      </w:r>
      <w:r w:rsidR="006A7053" w:rsidRPr="009B511B">
        <w:t>as:</w:t>
      </w:r>
    </w:p>
    <w:tbl>
      <w:tblPr>
        <w:tblW w:w="0" w:type="auto"/>
        <w:tblLook w:val="00A0" w:firstRow="1" w:lastRow="0" w:firstColumn="1" w:lastColumn="0" w:noHBand="0" w:noVBand="0"/>
      </w:tblPr>
      <w:tblGrid>
        <w:gridCol w:w="8627"/>
        <w:gridCol w:w="733"/>
      </w:tblGrid>
      <w:tr w:rsidR="006A7053" w:rsidRPr="009B511B" w14:paraId="1C2D452D" w14:textId="77777777" w:rsidTr="0018721F">
        <w:trPr>
          <w:trHeight w:val="648"/>
        </w:trPr>
        <w:tc>
          <w:tcPr>
            <w:tcW w:w="8838" w:type="dxa"/>
            <w:vAlign w:val="center"/>
          </w:tcPr>
          <w:p w14:paraId="0AD297B9" w14:textId="77777777" w:rsidR="006A7053" w:rsidRPr="009B511B" w:rsidRDefault="000B0B97" w:rsidP="00C2007F">
            <m:oMathPara>
              <m:oMathParaPr>
                <m:jc m:val="left"/>
              </m:oMathParaPr>
              <m:oMath>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L</m:t>
                        </m:r>
                      </m:sub>
                    </m:sSub>
                  </m:den>
                </m:f>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N</m:t>
                        </m:r>
                      </m:e>
                      <m:sub>
                        <m:r>
                          <w:rPr>
                            <w:rFonts w:ascii="Cambria Math" w:hAnsi="Cambria Math"/>
                          </w:rPr>
                          <m:t>L</m:t>
                        </m:r>
                      </m:sub>
                    </m:sSub>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L</m:t>
                        </m:r>
                      </m:sub>
                    </m:sSub>
                  </m:e>
                </m:nary>
              </m:oMath>
            </m:oMathPara>
          </w:p>
        </w:tc>
        <w:tc>
          <w:tcPr>
            <w:tcW w:w="738" w:type="dxa"/>
            <w:vAlign w:val="center"/>
          </w:tcPr>
          <w:p w14:paraId="4C135193" w14:textId="0360E59E" w:rsidR="006A7053" w:rsidRPr="009B511B" w:rsidRDefault="006A7053" w:rsidP="00DD75C2">
            <w:r w:rsidRPr="009B511B">
              <w:rPr>
                <w:sz w:val="22"/>
              </w:rPr>
              <w:t>(1</w:t>
            </w:r>
            <w:r w:rsidR="00087E63">
              <w:rPr>
                <w:sz w:val="22"/>
              </w:rPr>
              <w:t>3</w:t>
            </w:r>
            <w:r w:rsidRPr="009B511B">
              <w:rPr>
                <w:sz w:val="22"/>
              </w:rPr>
              <w:t>)</w:t>
            </w:r>
          </w:p>
        </w:tc>
      </w:tr>
    </w:tbl>
    <w:p w14:paraId="0FC3A1D9" w14:textId="0D008C8A" w:rsidR="006A7053" w:rsidRPr="009B511B" w:rsidRDefault="00C2007F" w:rsidP="00542AB6">
      <w:r w:rsidRPr="009B511B">
        <w:t xml:space="preserve">where </w:t>
      </w:r>
      <m:oMath>
        <m:sSub>
          <m:sSubPr>
            <m:ctrlPr>
              <w:rPr>
                <w:rFonts w:ascii="Cambria Math" w:hAnsi="Cambria Math" w:cs="Calibri"/>
                <w:bCs/>
                <w:i/>
              </w:rPr>
            </m:ctrlPr>
          </m:sSubPr>
          <m:e>
            <m:acc>
              <m:accPr>
                <m:ctrlPr>
                  <w:rPr>
                    <w:rFonts w:ascii="Cambria Math" w:hAnsi="Cambria Math" w:cs="Calibri"/>
                    <w:bCs/>
                    <w:i/>
                  </w:rPr>
                </m:ctrlPr>
              </m:accPr>
              <m:e>
                <m:acc>
                  <m:accPr>
                    <m:chr m:val="̅"/>
                    <m:ctrlPr>
                      <w:rPr>
                        <w:rFonts w:ascii="Cambria Math" w:hAnsi="Cambria Math" w:cs="Calibri"/>
                        <w:bCs/>
                        <w:i/>
                      </w:rPr>
                    </m:ctrlPr>
                  </m:accPr>
                  <m:e>
                    <m:r>
                      <w:rPr>
                        <w:rFonts w:ascii="Cambria Math" w:hAnsi="Cambria Math" w:cs="Calibri"/>
                      </w:rPr>
                      <m:t>w</m:t>
                    </m:r>
                  </m:e>
                </m:acc>
              </m:e>
            </m:acc>
          </m:e>
          <m:sub>
            <m:r>
              <w:rPr>
                <w:rFonts w:ascii="Cambria Math" w:hAnsi="Cambria Math" w:cs="Calibri"/>
              </w:rPr>
              <m:t>L</m:t>
            </m:r>
          </m:sub>
        </m:sSub>
        <m:r>
          <w:rPr>
            <w:rFonts w:ascii="Cambria Math" w:hAnsi="Cambria Math" w:cs="Calibri"/>
          </w:rPr>
          <m:t>=6.921×</m:t>
        </m:r>
        <m:sSup>
          <m:sSupPr>
            <m:ctrlPr>
              <w:rPr>
                <w:rFonts w:ascii="Cambria Math" w:hAnsi="Cambria Math" w:cs="Calibri"/>
                <w:bCs/>
                <w:i/>
              </w:rPr>
            </m:ctrlPr>
          </m:sSupPr>
          <m:e>
            <m:r>
              <w:rPr>
                <w:rFonts w:ascii="Cambria Math" w:hAnsi="Cambria Math" w:cs="Calibri"/>
              </w:rPr>
              <m:t>10</m:t>
            </m:r>
          </m:e>
          <m:sup>
            <m:r>
              <w:rPr>
                <w:rFonts w:ascii="Cambria Math" w:hAnsi="Cambria Math" w:cs="Calibri"/>
              </w:rPr>
              <m:t>-6</m:t>
            </m:r>
          </m:sup>
        </m:sSup>
        <m:sSup>
          <m:sSupPr>
            <m:ctrlPr>
              <w:rPr>
                <w:rFonts w:ascii="Cambria Math" w:hAnsi="Cambria Math" w:cs="Calibri"/>
                <w:bCs/>
                <w:i/>
              </w:rPr>
            </m:ctrlPr>
          </m:sSupPr>
          <m:e>
            <m:r>
              <w:rPr>
                <w:rFonts w:ascii="Cambria Math" w:hAnsi="Cambria Math" w:cs="Calibri"/>
              </w:rPr>
              <m:t>L(cm)</m:t>
            </m:r>
          </m:e>
          <m:sup>
            <m:r>
              <w:rPr>
                <w:rFonts w:ascii="Cambria Math" w:hAnsi="Cambria Math" w:cs="Calibri"/>
              </w:rPr>
              <m:t>3.24</m:t>
            </m:r>
          </m:sup>
        </m:sSup>
      </m:oMath>
      <w:r w:rsidR="0030581B" w:rsidRPr="009B511B">
        <w:rPr>
          <w:bCs/>
        </w:rPr>
        <w:t>, the IPHC length-weight relationship (Clark 199</w:t>
      </w:r>
      <w:r w:rsidR="00220796">
        <w:rPr>
          <w:bCs/>
        </w:rPr>
        <w:t>2</w:t>
      </w:r>
      <w:r w:rsidR="0030581B" w:rsidRPr="009B511B">
        <w:rPr>
          <w:bCs/>
        </w:rPr>
        <w:t>).</w:t>
      </w:r>
    </w:p>
    <w:p w14:paraId="5CFE0CEB" w14:textId="44248D0B" w:rsidR="006F177D" w:rsidRDefault="00DA7914" w:rsidP="00542AB6">
      <w:r w:rsidRPr="009B511B">
        <w:t>Without length data on released halibut, th</w:t>
      </w:r>
      <w:r w:rsidR="00E16946" w:rsidRPr="009B511B">
        <w:t xml:space="preserve">e </w:t>
      </w:r>
      <w:proofErr w:type="spellStart"/>
      <w:r w:rsidR="00E16946" w:rsidRPr="009B511B">
        <w:rPr>
          <w:i/>
        </w:rPr>
        <w:t>p</w:t>
      </w:r>
      <w:r w:rsidR="00E16946" w:rsidRPr="009B511B">
        <w:rPr>
          <w:i/>
          <w:vertAlign w:val="subscript"/>
        </w:rPr>
        <w:t>L</w:t>
      </w:r>
      <w:proofErr w:type="spellEnd"/>
      <w:r w:rsidRPr="009B511B">
        <w:t xml:space="preserve"> curve </w:t>
      </w:r>
      <w:r w:rsidR="00003E46" w:rsidRPr="009B511B">
        <w:t>(Equation 1</w:t>
      </w:r>
      <w:r w:rsidR="00087E63">
        <w:t>1</w:t>
      </w:r>
      <w:r w:rsidR="00003E46" w:rsidRPr="009B511B">
        <w:t xml:space="preserve">) </w:t>
      </w:r>
      <w:r w:rsidR="00E16946" w:rsidRPr="009B511B">
        <w:t xml:space="preserve">cannot be </w:t>
      </w:r>
      <w:r w:rsidRPr="009B511B">
        <w:t xml:space="preserve">fit in the </w:t>
      </w:r>
      <w:r w:rsidR="0022205E" w:rsidRPr="009B511B">
        <w:t>usual</w:t>
      </w:r>
      <w:r w:rsidRPr="009B511B">
        <w:t xml:space="preserve"> </w:t>
      </w:r>
      <w:r w:rsidR="0022205E" w:rsidRPr="009B511B">
        <w:t>manner</w:t>
      </w:r>
      <w:r w:rsidRPr="009B511B">
        <w:t xml:space="preserve">. Instead, the curve will be fit </w:t>
      </w:r>
      <w:r w:rsidR="0018721F" w:rsidRPr="009B511B">
        <w:t xml:space="preserve">to </w:t>
      </w:r>
      <w:r w:rsidR="00D91200" w:rsidRPr="009B511B">
        <w:t xml:space="preserve">two </w:t>
      </w:r>
      <w:r w:rsidR="0018721F" w:rsidRPr="009B511B">
        <w:t xml:space="preserve">empirical data </w:t>
      </w:r>
      <w:r w:rsidR="00D91200" w:rsidRPr="009B511B">
        <w:t>points derived from fisheries for other species</w:t>
      </w:r>
      <w:r w:rsidR="00FD0CE5" w:rsidRPr="009B511B">
        <w:t xml:space="preserve"> where both retained and released fish were measured (or lengths were estimated)</w:t>
      </w:r>
      <w:r w:rsidR="00D91200" w:rsidRPr="009B511B">
        <w:t>. These data indicate a general pattern where</w:t>
      </w:r>
      <w:r w:rsidR="00FD0CE5" w:rsidRPr="009B511B">
        <w:t xml:space="preserve"> </w:t>
      </w:r>
      <w:r w:rsidR="00433199" w:rsidRPr="009B511B">
        <w:t xml:space="preserve">an average of </w:t>
      </w:r>
      <w:r w:rsidR="00FD0CE5" w:rsidRPr="009B511B">
        <w:t>about 2</w:t>
      </w:r>
      <w:r w:rsidR="00AD26BD" w:rsidRPr="009B511B">
        <w:t>2</w:t>
      </w:r>
      <w:r w:rsidR="00FD0CE5" w:rsidRPr="009B511B">
        <w:t>% of the catch was retained at the 10</w:t>
      </w:r>
      <w:r w:rsidR="00FD0CE5" w:rsidRPr="009B511B">
        <w:rPr>
          <w:vertAlign w:val="superscript"/>
        </w:rPr>
        <w:t>th</w:t>
      </w:r>
      <w:r w:rsidR="00FD0CE5" w:rsidRPr="009B511B">
        <w:t xml:space="preserve"> percentile for length in the harvest</w:t>
      </w:r>
      <w:r w:rsidR="00433199" w:rsidRPr="009B511B">
        <w:t>, and an average of 8</w:t>
      </w:r>
      <w:r w:rsidR="00AD26BD" w:rsidRPr="009B511B">
        <w:t>3</w:t>
      </w:r>
      <w:r w:rsidR="00433199" w:rsidRPr="009B511B">
        <w:t>% of the</w:t>
      </w:r>
      <w:r w:rsidR="00FD0CE5" w:rsidRPr="009B511B">
        <w:t xml:space="preserve"> catch was retained at the 90</w:t>
      </w:r>
      <w:r w:rsidR="00FD0CE5" w:rsidRPr="009B511B">
        <w:rPr>
          <w:vertAlign w:val="superscript"/>
        </w:rPr>
        <w:t>th</w:t>
      </w:r>
      <w:r w:rsidR="00FD0CE5" w:rsidRPr="009B511B">
        <w:t xml:space="preserve"> </w:t>
      </w:r>
      <w:r w:rsidR="00FD0CE5" w:rsidRPr="009B511B">
        <w:lastRenderedPageBreak/>
        <w:t xml:space="preserve">percentile for length of retained </w:t>
      </w:r>
      <w:r w:rsidR="00FD0CE5" w:rsidRPr="00177EDD">
        <w:t>fish</w:t>
      </w:r>
      <w:r w:rsidR="00433199" w:rsidRPr="00177EDD">
        <w:t xml:space="preserve"> (Figure </w:t>
      </w:r>
      <w:r w:rsidR="00F83405">
        <w:t>3</w:t>
      </w:r>
      <w:r w:rsidR="00433199" w:rsidRPr="00177EDD">
        <w:t>)</w:t>
      </w:r>
      <w:r w:rsidR="00FD0CE5" w:rsidRPr="00177EDD">
        <w:t>. The</w:t>
      </w:r>
      <w:r w:rsidR="00433199" w:rsidRPr="00177EDD">
        <w:t>se</w:t>
      </w:r>
      <w:r w:rsidR="00433199" w:rsidRPr="009B511B">
        <w:t xml:space="preserve"> percentages at the</w:t>
      </w:r>
      <w:r w:rsidR="00FD0CE5" w:rsidRPr="009B511B">
        <w:t xml:space="preserve"> 10</w:t>
      </w:r>
      <w:r w:rsidR="00FD0CE5" w:rsidRPr="009B511B">
        <w:rPr>
          <w:vertAlign w:val="superscript"/>
        </w:rPr>
        <w:t>th</w:t>
      </w:r>
      <w:r w:rsidR="00FD0CE5" w:rsidRPr="009B511B">
        <w:t xml:space="preserve"> and 90</w:t>
      </w:r>
      <w:r w:rsidR="00FD0CE5" w:rsidRPr="009B511B">
        <w:rPr>
          <w:vertAlign w:val="superscript"/>
        </w:rPr>
        <w:t>th</w:t>
      </w:r>
      <w:r w:rsidR="00FD0CE5" w:rsidRPr="009B511B">
        <w:t xml:space="preserve"> percentiles for length w</w:t>
      </w:r>
      <w:r w:rsidR="00433199" w:rsidRPr="009B511B">
        <w:t>ill be</w:t>
      </w:r>
      <w:r w:rsidR="00FD0CE5" w:rsidRPr="009B511B">
        <w:t xml:space="preserve"> used as targets to fit </w:t>
      </w:r>
      <w:r w:rsidR="00433199" w:rsidRPr="009B511B">
        <w:t>the logistic curve.</w:t>
      </w:r>
      <w:r w:rsidR="00FD0CE5" w:rsidRPr="009B511B">
        <w:t xml:space="preserve"> </w:t>
      </w:r>
      <w:r w:rsidR="00F06DDC" w:rsidRPr="009B511B">
        <w:t xml:space="preserve">The </w:t>
      </w:r>
      <w:r w:rsidR="00F06DDC" w:rsidRPr="009B511B">
        <w:rPr>
          <w:i/>
        </w:rPr>
        <w:sym w:font="Symbol" w:char="F06B"/>
      </w:r>
      <w:r w:rsidR="00F06DDC" w:rsidRPr="009B511B">
        <w:t xml:space="preserve"> and </w:t>
      </w:r>
      <w:r w:rsidR="00F06DDC" w:rsidRPr="009B511B">
        <w:rPr>
          <w:i/>
        </w:rPr>
        <w:sym w:font="Symbol" w:char="F067"/>
      </w:r>
      <w:r w:rsidR="00F06DDC" w:rsidRPr="009B511B">
        <w:t xml:space="preserve"> p</w:t>
      </w:r>
      <w:r w:rsidR="00FD0CE5" w:rsidRPr="009B511B">
        <w:t>arameters w</w:t>
      </w:r>
      <w:r w:rsidR="00433199" w:rsidRPr="009B511B">
        <w:t>ill be</w:t>
      </w:r>
      <w:r w:rsidR="00FD0CE5" w:rsidRPr="009B511B">
        <w:t xml:space="preserve"> </w:t>
      </w:r>
      <w:r w:rsidR="00433199" w:rsidRPr="009B511B">
        <w:t>obtained</w:t>
      </w:r>
      <w:r w:rsidR="00FD0CE5" w:rsidRPr="009B511B">
        <w:t xml:space="preserve"> using Excel Solver by minimizing the </w:t>
      </w:r>
      <w:r w:rsidR="00A13608" w:rsidRPr="009B511B">
        <w:t xml:space="preserve">sum of the </w:t>
      </w:r>
      <w:r w:rsidR="00433199" w:rsidRPr="009B511B">
        <w:t>absolute value</w:t>
      </w:r>
      <w:r w:rsidR="00A13608" w:rsidRPr="009B511B">
        <w:t>s</w:t>
      </w:r>
      <w:r w:rsidR="00433199" w:rsidRPr="009B511B">
        <w:t xml:space="preserve"> of the </w:t>
      </w:r>
      <w:r w:rsidR="00FD0CE5" w:rsidRPr="009B511B">
        <w:t>relative difference between the predicted and target proportions at the 10</w:t>
      </w:r>
      <w:r w:rsidR="00FD0CE5" w:rsidRPr="009B511B">
        <w:rPr>
          <w:vertAlign w:val="superscript"/>
        </w:rPr>
        <w:t>th</w:t>
      </w:r>
      <w:r w:rsidR="00FD0CE5" w:rsidRPr="009B511B">
        <w:t xml:space="preserve"> and 90</w:t>
      </w:r>
      <w:r w:rsidR="00FD0CE5" w:rsidRPr="009B511B">
        <w:rPr>
          <w:vertAlign w:val="superscript"/>
        </w:rPr>
        <w:t>th</w:t>
      </w:r>
      <w:r w:rsidR="00FD0CE5" w:rsidRPr="009B511B">
        <w:t xml:space="preserve"> percentiles, </w:t>
      </w:r>
      <w:r w:rsidR="00433199" w:rsidRPr="009B511B">
        <w:t>under the</w:t>
      </w:r>
      <w:r w:rsidR="00FD0CE5" w:rsidRPr="009B511B">
        <w:t xml:space="preserve"> constraint that the predicted number of released fish </w:t>
      </w:r>
      <w:r w:rsidR="00433199" w:rsidRPr="009B511B">
        <w:t>(</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L</m:t>
                </m:r>
              </m:sub>
            </m:sSub>
          </m:e>
        </m:nary>
      </m:oMath>
      <w:r w:rsidR="00433199" w:rsidRPr="009B511B">
        <w:t xml:space="preserve">) </w:t>
      </w:r>
      <w:r w:rsidR="00A13608" w:rsidRPr="009B511B">
        <w:t>equals</w:t>
      </w:r>
      <w:r w:rsidR="00FD0CE5" w:rsidRPr="009B511B">
        <w:t xml:space="preserve"> the </w:t>
      </w:r>
      <w:r w:rsidR="00D91200" w:rsidRPr="009B511B">
        <w:t>estimate of released fish from the logbook (charter) or SWHS (</w:t>
      </w:r>
      <w:r w:rsidR="00A04F70" w:rsidRPr="009B511B">
        <w:t>unguided</w:t>
      </w:r>
      <w:r w:rsidR="00D91200" w:rsidRPr="009B511B">
        <w:t>).</w:t>
      </w:r>
      <w:r w:rsidR="00F06DDC" w:rsidRPr="009B511B">
        <w:t xml:space="preserve"> </w:t>
      </w:r>
      <w:r w:rsidR="0022205E" w:rsidRPr="009B511B">
        <w:t>Lacking</w:t>
      </w:r>
      <w:r w:rsidR="004B0646" w:rsidRPr="009B511B">
        <w:t xml:space="preserve"> any size data, t</w:t>
      </w:r>
      <w:r w:rsidR="00F06DDC" w:rsidRPr="009B511B">
        <w:t xml:space="preserve">he asymptote parameter </w:t>
      </w:r>
      <w:r w:rsidR="00F35780" w:rsidRPr="009B511B">
        <w:rPr>
          <w:i/>
        </w:rPr>
        <w:t>p</w:t>
      </w:r>
      <w:r w:rsidR="00F06DDC" w:rsidRPr="009B511B">
        <w:rPr>
          <w:i/>
          <w:vertAlign w:val="subscript"/>
        </w:rPr>
        <w:sym w:font="Symbol" w:char="F0A5"/>
      </w:r>
      <w:r w:rsidR="00F06DDC" w:rsidRPr="009B511B">
        <w:t xml:space="preserve"> will be fixed arbitrarily at 0.95 to reflect the possibility that 5% of exceptionally large fish are released</w:t>
      </w:r>
      <w:r w:rsidR="003D1B6C" w:rsidRPr="009B511B">
        <w:t xml:space="preserve"> (s</w:t>
      </w:r>
      <w:r w:rsidR="00F06DDC" w:rsidRPr="009B511B">
        <w:t>ome anglers release large fish out of concern for meat quality or conservation of large females</w:t>
      </w:r>
      <w:r w:rsidR="003D1B6C" w:rsidRPr="00E356D1">
        <w:t>)</w:t>
      </w:r>
      <w:r w:rsidR="00F06DDC" w:rsidRPr="00E356D1">
        <w:t>.</w:t>
      </w:r>
      <w:r w:rsidR="003D1B6C" w:rsidRPr="00E356D1">
        <w:t xml:space="preserve"> </w:t>
      </w:r>
      <w:r w:rsidR="00A13608" w:rsidRPr="00E356D1">
        <w:t xml:space="preserve">Once the </w:t>
      </w:r>
      <w:r w:rsidR="00A13608" w:rsidRPr="00D1090E">
        <w:t>logistic curve is fit, the length frequency and average weight of released fish is calculated using Equation</w:t>
      </w:r>
      <w:r w:rsidR="00087E63">
        <w:t>s</w:t>
      </w:r>
      <w:r w:rsidR="00A13608" w:rsidRPr="00D1090E">
        <w:t xml:space="preserve"> 1</w:t>
      </w:r>
      <w:r w:rsidR="00087E63">
        <w:t>2 and 13</w:t>
      </w:r>
      <w:r w:rsidR="00A13608" w:rsidRPr="00D1090E">
        <w:t>.</w:t>
      </w:r>
      <w:r w:rsidR="003D1B6C" w:rsidRPr="00D1090E">
        <w:t xml:space="preserve"> Figure </w:t>
      </w:r>
      <w:r w:rsidR="00F83405">
        <w:t>4</w:t>
      </w:r>
      <w:r w:rsidR="003D1B6C" w:rsidRPr="00D1090E">
        <w:t xml:space="preserve"> </w:t>
      </w:r>
      <w:r w:rsidR="00E056DD" w:rsidRPr="00D1090E">
        <w:t>provides an example from the unguided fishery in Homer (Lower Cook Inlet) fit to data for 201</w:t>
      </w:r>
      <w:r w:rsidR="00D1090E" w:rsidRPr="00D1090E">
        <w:t>7</w:t>
      </w:r>
      <w:r w:rsidR="003D1B6C" w:rsidRPr="00D1090E">
        <w:t>.</w:t>
      </w:r>
      <w:r w:rsidR="00E056DD">
        <w:t xml:space="preserve"> </w:t>
      </w:r>
    </w:p>
    <w:p w14:paraId="1E384A47" w14:textId="66352B2E" w:rsidR="0022205E" w:rsidRPr="00FC53D2" w:rsidRDefault="001B7503" w:rsidP="009817A6">
      <w:r w:rsidRPr="00E356D1">
        <w:t xml:space="preserve">The logistic curve that predicts the probability of keeping a fish based on its size cannot be used for all charter-caught halibut in Area 2C because </w:t>
      </w:r>
      <w:r w:rsidR="00491C58" w:rsidRPr="00E356D1">
        <w:t xml:space="preserve">regulations require that </w:t>
      </w:r>
      <w:r w:rsidRPr="00E356D1">
        <w:t xml:space="preserve">all </w:t>
      </w:r>
      <w:r w:rsidR="00F06DDC" w:rsidRPr="00E356D1">
        <w:t>halibut</w:t>
      </w:r>
      <w:r w:rsidRPr="00E356D1">
        <w:t xml:space="preserve"> </w:t>
      </w:r>
      <w:r w:rsidR="00FC53D2">
        <w:t xml:space="preserve">within the protected slot </w:t>
      </w:r>
      <w:r w:rsidRPr="00E356D1">
        <w:t xml:space="preserve">be released. </w:t>
      </w:r>
      <w:r w:rsidR="00491C58" w:rsidRPr="00E356D1">
        <w:t xml:space="preserve">However, </w:t>
      </w:r>
      <w:r w:rsidR="00F06DDC" w:rsidRPr="00E356D1">
        <w:t xml:space="preserve">size class information </w:t>
      </w:r>
      <w:r w:rsidR="00491C58" w:rsidRPr="00E356D1">
        <w:t xml:space="preserve">described earlier </w:t>
      </w:r>
      <w:r w:rsidR="00F06DDC" w:rsidRPr="00E356D1">
        <w:t xml:space="preserve">is available for halibut released in the Area 2C charter fishery. This information can be integrated with the modeling approach to improve the estimates of </w:t>
      </w:r>
      <w:r w:rsidR="0022205E" w:rsidRPr="00E356D1">
        <w:t>average weight</w:t>
      </w:r>
      <w:r w:rsidR="00F06DDC" w:rsidRPr="00E356D1">
        <w:t xml:space="preserve">. </w:t>
      </w:r>
      <w:r w:rsidR="00491C58" w:rsidRPr="00E356D1">
        <w:t>First, t</w:t>
      </w:r>
      <w:r w:rsidR="0022205E" w:rsidRPr="00E356D1">
        <w:t xml:space="preserve">he </w:t>
      </w:r>
      <w:r w:rsidR="00491C58" w:rsidRPr="00E356D1">
        <w:t xml:space="preserve">observed </w:t>
      </w:r>
      <w:r w:rsidR="0022205E" w:rsidRPr="00E356D1">
        <w:t xml:space="preserve">proportions of released fish in each size category will be used to apportion the total estimated number of releases by size. </w:t>
      </w:r>
      <w:r w:rsidR="00F35780" w:rsidRPr="00E356D1">
        <w:t xml:space="preserve">The logistic curve procedure described above will be used to estimate mean weight of released halibut </w:t>
      </w:r>
      <w:r w:rsidR="00FC53D2">
        <w:t>below the lower protected slot limit</w:t>
      </w:r>
      <w:r w:rsidR="00F35780" w:rsidRPr="00E356D1">
        <w:t xml:space="preserve">. </w:t>
      </w:r>
      <w:r w:rsidR="009817A6" w:rsidRPr="00FC53D2">
        <w:t xml:space="preserve">For halibut </w:t>
      </w:r>
      <w:r w:rsidR="00FC53D2" w:rsidRPr="00FC53D2">
        <w:t>in the protected slot</w:t>
      </w:r>
      <w:r w:rsidR="00F35780" w:rsidRPr="00FC53D2">
        <w:t xml:space="preserve">, and </w:t>
      </w:r>
      <w:r w:rsidR="009817A6" w:rsidRPr="00FC53D2">
        <w:t xml:space="preserve">halibut </w:t>
      </w:r>
      <w:r w:rsidR="00FC53D2" w:rsidRPr="00FC53D2">
        <w:t>above the protected slot</w:t>
      </w:r>
      <w:r w:rsidR="009817A6" w:rsidRPr="00FC53D2">
        <w:t>, the mean</w:t>
      </w:r>
      <w:r w:rsidR="0022205E" w:rsidRPr="00FC53D2">
        <w:t xml:space="preserve"> weight will be assumed to equal the average weight of halibut in this length range in 2010, the last year for which there was no size limit.</w:t>
      </w:r>
      <w:r w:rsidR="00DC32C9" w:rsidRPr="00DC32C9">
        <w:t xml:space="preserve"> </w:t>
      </w:r>
      <w:r w:rsidR="00DC32C9">
        <w:t>Both estimation procedures are</w:t>
      </w:r>
      <w:r w:rsidR="00DC32C9" w:rsidRPr="00E356D1">
        <w:t xml:space="preserve"> possible </w:t>
      </w:r>
      <w:r w:rsidR="00DC32C9" w:rsidRPr="00DC32C9">
        <w:t xml:space="preserve">because in prior years, the predicted percentage of halibut kept at the lower slot was close to the maximum of 0.95.  </w:t>
      </w:r>
    </w:p>
    <w:p w14:paraId="708655AA" w14:textId="77777777" w:rsidR="0004374C" w:rsidRPr="00E356D1" w:rsidRDefault="0004374C" w:rsidP="0004374C">
      <w:r w:rsidRPr="00E356D1">
        <w:t>Because the logistic modeling is done as a function of length, it allows for calculations of release mortality for fish less than 26 inches (U26) and fish ≥26 inches (O26). This will allow for equal treatment of these components in the sport, commercial, and bycatch sectors.</w:t>
      </w:r>
    </w:p>
    <w:p w14:paraId="6C914CB9" w14:textId="77777777" w:rsidR="00FD0CE5" w:rsidRPr="00A86564" w:rsidRDefault="00F35780" w:rsidP="00542AB6">
      <w:r w:rsidRPr="00A86564">
        <w:t xml:space="preserve">The estimates of mean weight using these methods may be conservative (high). </w:t>
      </w:r>
      <w:r w:rsidR="00A22E78" w:rsidRPr="00A86564">
        <w:t>T</w:t>
      </w:r>
      <w:r w:rsidR="004B0646" w:rsidRPr="00A86564">
        <w:t xml:space="preserve">he numbers of released fish are predicted </w:t>
      </w:r>
      <w:r w:rsidR="00A22E78" w:rsidRPr="00A86564">
        <w:t xml:space="preserve">directly </w:t>
      </w:r>
      <w:r w:rsidR="004B0646" w:rsidRPr="00A86564">
        <w:t>from the numbers of harvested fish</w:t>
      </w:r>
      <w:r w:rsidR="00A22E78" w:rsidRPr="00A86564">
        <w:t xml:space="preserve"> using the curve representing the proportion of catch retained.</w:t>
      </w:r>
      <w:r w:rsidR="004B0646" w:rsidRPr="00A86564">
        <w:t xml:space="preserve"> </w:t>
      </w:r>
      <w:r w:rsidRPr="00A86564">
        <w:t>Therefore</w:t>
      </w:r>
      <w:r w:rsidR="00A22E78" w:rsidRPr="00A86564">
        <w:t>,</w:t>
      </w:r>
      <w:r w:rsidR="004B0646" w:rsidRPr="00A86564">
        <w:t xml:space="preserve"> </w:t>
      </w:r>
      <w:r w:rsidRPr="00A86564">
        <w:t xml:space="preserve">the minimum size of released fish cannot be less than the minimum size of harvested fish. </w:t>
      </w:r>
      <w:r w:rsidR="00FD0CE5" w:rsidRPr="00A86564">
        <w:t xml:space="preserve">Undoubtedly, some halibut are released that are smaller than the smallest halibut retained and measured. Therefore, </w:t>
      </w:r>
      <w:r w:rsidRPr="00A86564">
        <w:t>use of the logistic curve</w:t>
      </w:r>
      <w:r w:rsidR="00FD0CE5" w:rsidRPr="00A86564">
        <w:t xml:space="preserve"> may underestimate the numbers of U26 fish released and overestimate the</w:t>
      </w:r>
      <w:r w:rsidR="00491C58" w:rsidRPr="00A86564">
        <w:t>ir</w:t>
      </w:r>
      <w:r w:rsidR="00FD0CE5" w:rsidRPr="00A86564">
        <w:t xml:space="preserve"> average weight. </w:t>
      </w:r>
      <w:r w:rsidRPr="00A86564">
        <w:t xml:space="preserve">Fixing </w:t>
      </w:r>
      <w:proofErr w:type="spellStart"/>
      <w:r w:rsidRPr="00A86564">
        <w:rPr>
          <w:i/>
        </w:rPr>
        <w:t>p</w:t>
      </w:r>
      <w:proofErr w:type="spellEnd"/>
      <w:r w:rsidRPr="00A86564">
        <w:rPr>
          <w:i/>
          <w:vertAlign w:val="subscript"/>
        </w:rPr>
        <w:sym w:font="Symbol" w:char="F0A5"/>
      </w:r>
      <w:r w:rsidRPr="00A86564">
        <w:rPr>
          <w:i/>
          <w:vertAlign w:val="subscript"/>
        </w:rPr>
        <w:t xml:space="preserve"> </w:t>
      </w:r>
      <w:r w:rsidRPr="00A86564">
        <w:t xml:space="preserve">at 0.95 may </w:t>
      </w:r>
      <w:r w:rsidR="001E6F7C" w:rsidRPr="00A86564">
        <w:t>result in</w:t>
      </w:r>
      <w:r w:rsidRPr="00A86564">
        <w:t xml:space="preserve"> </w:t>
      </w:r>
      <w:r w:rsidR="001E6F7C" w:rsidRPr="00A86564">
        <w:t>underestimation or overestimation of</w:t>
      </w:r>
      <w:r w:rsidRPr="00A86564">
        <w:t xml:space="preserve"> the average weight of released fish</w:t>
      </w:r>
      <w:r w:rsidR="001E6F7C" w:rsidRPr="00A86564">
        <w:t>, but this would likely be a small effect because relatively few exceptionally large fish would be released.</w:t>
      </w:r>
      <w:r w:rsidRPr="00A86564">
        <w:t xml:space="preserve"> </w:t>
      </w:r>
    </w:p>
    <w:p w14:paraId="1D3939B0" w14:textId="60A441E2" w:rsidR="00177EDD" w:rsidRDefault="00D731D9" w:rsidP="00D731D9">
      <w:r w:rsidRPr="00A86564">
        <w:t>Without ample size data on individual released fish, t</w:t>
      </w:r>
      <w:r w:rsidR="00491C58" w:rsidRPr="00A86564">
        <w:t xml:space="preserve">his modeling approach </w:t>
      </w:r>
      <w:r w:rsidRPr="00A86564">
        <w:t xml:space="preserve">is approximate and depends on </w:t>
      </w:r>
      <w:proofErr w:type="gramStart"/>
      <w:r w:rsidRPr="00A86564">
        <w:t>a number of</w:t>
      </w:r>
      <w:proofErr w:type="gramEnd"/>
      <w:r w:rsidRPr="00A86564">
        <w:t xml:space="preserve"> </w:t>
      </w:r>
      <w:commentRangeStart w:id="41"/>
      <w:r w:rsidRPr="00A86564">
        <w:t>assumptions</w:t>
      </w:r>
      <w:commentRangeEnd w:id="41"/>
      <w:r w:rsidR="007D151A">
        <w:rPr>
          <w:rStyle w:val="CommentReference"/>
        </w:rPr>
        <w:commentReference w:id="41"/>
      </w:r>
      <w:r w:rsidRPr="00A86564">
        <w:t xml:space="preserve">. The methods, assumptions, hook type data, and literature on survival rates will be reviewed annually and revisions will be made as appropriate in order to provide the most realistic estimates of release mortality possible. In addition, changes in annual management measures, such as size limits, may force revision of calculation methods. </w:t>
      </w:r>
    </w:p>
    <w:p w14:paraId="0249B4A8" w14:textId="10BFEDC7" w:rsidR="00CB7F6B" w:rsidRPr="00A86564" w:rsidRDefault="00177EDD" w:rsidP="00177EDD">
      <w:pPr>
        <w:spacing w:after="200" w:line="276" w:lineRule="auto"/>
        <w:jc w:val="left"/>
      </w:pPr>
      <w:r>
        <w:br w:type="page"/>
      </w:r>
    </w:p>
    <w:p w14:paraId="0D807572" w14:textId="77777777" w:rsidR="002E0BD4" w:rsidRPr="00534FF2" w:rsidRDefault="002E0BD4" w:rsidP="00D731D9">
      <w:pPr>
        <w:rPr>
          <w:highlight w:val="yellow"/>
        </w:rPr>
      </w:pPr>
    </w:p>
    <w:p w14:paraId="3F856A7D" w14:textId="77777777" w:rsidR="00E056DD" w:rsidRPr="00534FF2" w:rsidRDefault="00E056DD" w:rsidP="00D1090E">
      <w:pPr>
        <w:jc w:val="left"/>
        <w:rPr>
          <w:highlight w:val="yellow"/>
        </w:rPr>
      </w:pPr>
      <w:r w:rsidRPr="00177EDD">
        <w:rPr>
          <w:noProof/>
        </w:rPr>
        <w:drawing>
          <wp:inline distT="0" distB="0" distL="0" distR="0" wp14:anchorId="1AF7A0B1" wp14:editId="4F6F0350">
            <wp:extent cx="5486400" cy="4114133"/>
            <wp:effectExtent l="0" t="0" r="0"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grayscl/>
                    </a:blip>
                    <a:srcRect/>
                    <a:stretch>
                      <a:fillRect/>
                    </a:stretch>
                  </pic:blipFill>
                  <pic:spPr bwMode="auto">
                    <a:xfrm>
                      <a:off x="0" y="0"/>
                      <a:ext cx="5486400" cy="4114133"/>
                    </a:xfrm>
                    <a:prstGeom prst="rect">
                      <a:avLst/>
                    </a:prstGeom>
                    <a:noFill/>
                    <a:ln w="9525">
                      <a:noFill/>
                      <a:miter lim="800000"/>
                      <a:headEnd/>
                      <a:tailEnd/>
                    </a:ln>
                  </pic:spPr>
                </pic:pic>
              </a:graphicData>
            </a:graphic>
          </wp:inline>
        </w:drawing>
      </w:r>
    </w:p>
    <w:p w14:paraId="142656C8" w14:textId="74DB33E0" w:rsidR="003D1B6C" w:rsidRPr="00D1090E" w:rsidRDefault="00E056DD" w:rsidP="00177EDD">
      <w:pPr>
        <w:pStyle w:val="Caption"/>
        <w:ind w:firstLine="0"/>
        <w:rPr>
          <w:sz w:val="20"/>
        </w:rPr>
      </w:pPr>
      <w:bookmarkStart w:id="42" w:name="_Toc400572425"/>
      <w:r w:rsidRPr="00D1090E">
        <w:rPr>
          <w:sz w:val="20"/>
        </w:rPr>
        <w:t xml:space="preserve">Figure </w:t>
      </w:r>
      <w:r w:rsidR="00F83405">
        <w:rPr>
          <w:sz w:val="20"/>
        </w:rPr>
        <w:t>3</w:t>
      </w:r>
      <w:r w:rsidRPr="00D1090E">
        <w:rPr>
          <w:sz w:val="20"/>
        </w:rPr>
        <w:t>. Estimates of the proportions of the catch that was kept (</w:t>
      </w:r>
      <w:proofErr w:type="spellStart"/>
      <w:r w:rsidRPr="00D1090E">
        <w:rPr>
          <w:sz w:val="20"/>
        </w:rPr>
        <w:t>pKept</w:t>
      </w:r>
      <w:proofErr w:type="spellEnd"/>
      <w:r w:rsidRPr="00D1090E">
        <w:rPr>
          <w:sz w:val="20"/>
        </w:rPr>
        <w:t>) corresponding with the 10</w:t>
      </w:r>
      <w:r w:rsidRPr="00D1090E">
        <w:rPr>
          <w:sz w:val="20"/>
          <w:vertAlign w:val="superscript"/>
        </w:rPr>
        <w:t>th</w:t>
      </w:r>
      <w:r w:rsidRPr="00D1090E">
        <w:rPr>
          <w:sz w:val="20"/>
        </w:rPr>
        <w:t xml:space="preserve"> and 90</w:t>
      </w:r>
      <w:r w:rsidRPr="00D1090E">
        <w:rPr>
          <w:sz w:val="20"/>
          <w:vertAlign w:val="superscript"/>
        </w:rPr>
        <w:t>th</w:t>
      </w:r>
      <w:r w:rsidRPr="00D1090E">
        <w:rPr>
          <w:sz w:val="20"/>
        </w:rPr>
        <w:t xml:space="preserve"> percentiles for length (cm) in the harvest. Mean values for </w:t>
      </w:r>
      <w:proofErr w:type="spellStart"/>
      <w:r w:rsidRPr="00D1090E">
        <w:rPr>
          <w:sz w:val="20"/>
        </w:rPr>
        <w:t>pKept</w:t>
      </w:r>
      <w:proofErr w:type="spellEnd"/>
      <w:r w:rsidRPr="00D1090E">
        <w:rPr>
          <w:sz w:val="20"/>
        </w:rPr>
        <w:t xml:space="preserve"> are 0.221 at the 10</w:t>
      </w:r>
      <w:r w:rsidRPr="00D1090E">
        <w:rPr>
          <w:sz w:val="20"/>
          <w:vertAlign w:val="superscript"/>
        </w:rPr>
        <w:t>th</w:t>
      </w:r>
      <w:r w:rsidRPr="00D1090E">
        <w:rPr>
          <w:sz w:val="20"/>
        </w:rPr>
        <w:t xml:space="preserve"> percentile, and 0.834 at the 90</w:t>
      </w:r>
      <w:r w:rsidRPr="00D1090E">
        <w:rPr>
          <w:sz w:val="20"/>
          <w:vertAlign w:val="superscript"/>
        </w:rPr>
        <w:t>th</w:t>
      </w:r>
      <w:r w:rsidRPr="00D1090E">
        <w:rPr>
          <w:sz w:val="20"/>
        </w:rPr>
        <w:t xml:space="preserve"> percentile, indicated by dotted reference lines. Data are from creel surveys where length of released fish was recorded from measurements or angler estimates. Data were included for fisheries without size limits, or fisheries where the minimum size limit was well below the smallest fish retained (didn’t have a significant effect on the proportions kept). Species include red snapper </w:t>
      </w:r>
      <w:proofErr w:type="spellStart"/>
      <w:r w:rsidRPr="00D1090E">
        <w:rPr>
          <w:rStyle w:val="kno-fv"/>
          <w:sz w:val="20"/>
        </w:rPr>
        <w:t>Lutjanus</w:t>
      </w:r>
      <w:proofErr w:type="spellEnd"/>
      <w:r w:rsidRPr="00D1090E">
        <w:rPr>
          <w:rStyle w:val="kno-fv"/>
          <w:sz w:val="20"/>
        </w:rPr>
        <w:t xml:space="preserve"> </w:t>
      </w:r>
      <w:proofErr w:type="spellStart"/>
      <w:r w:rsidRPr="00D1090E">
        <w:rPr>
          <w:rStyle w:val="kno-fv"/>
          <w:i/>
          <w:sz w:val="20"/>
        </w:rPr>
        <w:t>campechanus</w:t>
      </w:r>
      <w:proofErr w:type="spellEnd"/>
      <w:r w:rsidRPr="00D1090E">
        <w:rPr>
          <w:sz w:val="20"/>
        </w:rPr>
        <w:t xml:space="preserve"> (RS), striped bass </w:t>
      </w:r>
      <w:proofErr w:type="spellStart"/>
      <w:r w:rsidRPr="00D1090E">
        <w:rPr>
          <w:i/>
          <w:sz w:val="20"/>
        </w:rPr>
        <w:t>Morone</w:t>
      </w:r>
      <w:proofErr w:type="spellEnd"/>
      <w:r w:rsidRPr="00D1090E">
        <w:rPr>
          <w:i/>
          <w:sz w:val="20"/>
        </w:rPr>
        <w:t xml:space="preserve"> </w:t>
      </w:r>
      <w:proofErr w:type="spellStart"/>
      <w:r w:rsidRPr="00D1090E">
        <w:rPr>
          <w:i/>
          <w:sz w:val="20"/>
        </w:rPr>
        <w:t>saxatilis</w:t>
      </w:r>
      <w:proofErr w:type="spellEnd"/>
      <w:r w:rsidRPr="00D1090E">
        <w:rPr>
          <w:sz w:val="20"/>
        </w:rPr>
        <w:t xml:space="preserve"> (SB), northern pike </w:t>
      </w:r>
      <w:proofErr w:type="spellStart"/>
      <w:r w:rsidRPr="00D1090E">
        <w:rPr>
          <w:i/>
          <w:sz w:val="20"/>
        </w:rPr>
        <w:t>Esox</w:t>
      </w:r>
      <w:proofErr w:type="spellEnd"/>
      <w:r w:rsidRPr="00D1090E">
        <w:rPr>
          <w:i/>
          <w:sz w:val="20"/>
        </w:rPr>
        <w:t xml:space="preserve"> </w:t>
      </w:r>
      <w:proofErr w:type="spellStart"/>
      <w:r w:rsidRPr="00D1090E">
        <w:rPr>
          <w:i/>
          <w:sz w:val="20"/>
        </w:rPr>
        <w:t>lucius</w:t>
      </w:r>
      <w:proofErr w:type="spellEnd"/>
      <w:r w:rsidRPr="00D1090E">
        <w:rPr>
          <w:sz w:val="20"/>
        </w:rPr>
        <w:t xml:space="preserve"> (NP), yellow perch </w:t>
      </w:r>
      <w:proofErr w:type="spellStart"/>
      <w:r w:rsidRPr="00D1090E">
        <w:rPr>
          <w:i/>
          <w:sz w:val="20"/>
        </w:rPr>
        <w:t>Perca</w:t>
      </w:r>
      <w:proofErr w:type="spellEnd"/>
      <w:r w:rsidRPr="00D1090E">
        <w:rPr>
          <w:i/>
          <w:sz w:val="20"/>
        </w:rPr>
        <w:t xml:space="preserve"> </w:t>
      </w:r>
      <w:proofErr w:type="spellStart"/>
      <w:r w:rsidRPr="00D1090E">
        <w:rPr>
          <w:i/>
          <w:sz w:val="20"/>
        </w:rPr>
        <w:t>flavacens</w:t>
      </w:r>
      <w:proofErr w:type="spellEnd"/>
      <w:r w:rsidRPr="00D1090E">
        <w:rPr>
          <w:sz w:val="20"/>
        </w:rPr>
        <w:t xml:space="preserve"> (YP), walleye </w:t>
      </w:r>
      <w:r w:rsidRPr="00D1090E">
        <w:rPr>
          <w:i/>
          <w:sz w:val="20"/>
        </w:rPr>
        <w:t xml:space="preserve">Sander </w:t>
      </w:r>
      <w:proofErr w:type="spellStart"/>
      <w:r w:rsidRPr="00D1090E">
        <w:rPr>
          <w:i/>
          <w:sz w:val="20"/>
        </w:rPr>
        <w:t>vitreus</w:t>
      </w:r>
      <w:proofErr w:type="spellEnd"/>
      <w:r w:rsidRPr="00D1090E">
        <w:rPr>
          <w:sz w:val="20"/>
        </w:rPr>
        <w:t xml:space="preserve"> (WE), black crappie </w:t>
      </w:r>
      <w:proofErr w:type="spellStart"/>
      <w:r w:rsidRPr="00D1090E">
        <w:rPr>
          <w:rStyle w:val="Emphasis"/>
          <w:sz w:val="20"/>
        </w:rPr>
        <w:t>Pomoxis</w:t>
      </w:r>
      <w:proofErr w:type="spellEnd"/>
      <w:r w:rsidRPr="00D1090E">
        <w:rPr>
          <w:rStyle w:val="st"/>
          <w:i/>
          <w:sz w:val="20"/>
        </w:rPr>
        <w:t xml:space="preserve"> </w:t>
      </w:r>
      <w:proofErr w:type="spellStart"/>
      <w:r w:rsidRPr="00D1090E">
        <w:rPr>
          <w:rStyle w:val="st"/>
          <w:i/>
          <w:sz w:val="20"/>
        </w:rPr>
        <w:t>nigromaculatus</w:t>
      </w:r>
      <w:proofErr w:type="spellEnd"/>
      <w:r w:rsidRPr="00D1090E">
        <w:rPr>
          <w:sz w:val="20"/>
        </w:rPr>
        <w:t xml:space="preserve"> (</w:t>
      </w:r>
      <w:r w:rsidRPr="00E13ECB">
        <w:rPr>
          <w:sz w:val="20"/>
        </w:rPr>
        <w:t xml:space="preserve">BC), sunfish </w:t>
      </w:r>
      <w:proofErr w:type="spellStart"/>
      <w:r w:rsidRPr="00E13ECB">
        <w:rPr>
          <w:i/>
          <w:sz w:val="20"/>
        </w:rPr>
        <w:t>Lepomis</w:t>
      </w:r>
      <w:proofErr w:type="spellEnd"/>
      <w:r w:rsidRPr="00E13ECB">
        <w:rPr>
          <w:sz w:val="20"/>
        </w:rPr>
        <w:t xml:space="preserve"> spp. (SF), and channel catfish </w:t>
      </w:r>
      <w:proofErr w:type="spellStart"/>
      <w:r w:rsidRPr="00E13ECB">
        <w:rPr>
          <w:i/>
          <w:sz w:val="20"/>
        </w:rPr>
        <w:t>Ictalurus</w:t>
      </w:r>
      <w:proofErr w:type="spellEnd"/>
      <w:r w:rsidRPr="00E13ECB">
        <w:rPr>
          <w:i/>
          <w:sz w:val="20"/>
        </w:rPr>
        <w:t xml:space="preserve"> punctatus</w:t>
      </w:r>
      <w:r w:rsidRPr="00E13ECB">
        <w:rPr>
          <w:sz w:val="20"/>
        </w:rPr>
        <w:t xml:space="preserve"> (CC). Sources include Chapman (2001), Donaldson et al. (20</w:t>
      </w:r>
      <w:r w:rsidR="00E13ECB" w:rsidRPr="00E13ECB">
        <w:rPr>
          <w:sz w:val="20"/>
        </w:rPr>
        <w:t>13</w:t>
      </w:r>
      <w:r w:rsidRPr="00E13ECB">
        <w:rPr>
          <w:sz w:val="20"/>
        </w:rPr>
        <w:t xml:space="preserve">), Jensen (2012), Jensen (2013), </w:t>
      </w:r>
      <w:proofErr w:type="spellStart"/>
      <w:r w:rsidRPr="00E13ECB">
        <w:rPr>
          <w:sz w:val="20"/>
        </w:rPr>
        <w:t>Meerbeek</w:t>
      </w:r>
      <w:proofErr w:type="spellEnd"/>
      <w:r w:rsidRPr="00E13ECB">
        <w:rPr>
          <w:sz w:val="20"/>
        </w:rPr>
        <w:t xml:space="preserve"> (2006), Minnesota DNR (no date), and Pelham (2004).</w:t>
      </w:r>
      <w:bookmarkEnd w:id="42"/>
      <w:r w:rsidR="003D1B6C" w:rsidRPr="00D1090E">
        <w:rPr>
          <w:sz w:val="20"/>
        </w:rPr>
        <w:br w:type="page"/>
      </w:r>
    </w:p>
    <w:p w14:paraId="1DDBEB42" w14:textId="77777777" w:rsidR="00AD26BD" w:rsidRPr="00534FF2" w:rsidRDefault="00AD26BD" w:rsidP="00D731D9">
      <w:pPr>
        <w:rPr>
          <w:highlight w:val="yellow"/>
        </w:rPr>
      </w:pPr>
    </w:p>
    <w:p w14:paraId="18DD0A16" w14:textId="09635B2B" w:rsidR="003D1B6C" w:rsidRPr="00534FF2" w:rsidRDefault="00D1090E" w:rsidP="00D1090E">
      <w:pPr>
        <w:spacing w:after="200" w:line="276" w:lineRule="auto"/>
        <w:jc w:val="left"/>
        <w:rPr>
          <w:highlight w:val="yellow"/>
        </w:rPr>
      </w:pPr>
      <w:r w:rsidRPr="00D1090E">
        <w:rPr>
          <w:noProof/>
        </w:rPr>
        <w:drawing>
          <wp:inline distT="0" distB="0" distL="0" distR="0" wp14:anchorId="413EE03C" wp14:editId="770FEDC7">
            <wp:extent cx="5339751" cy="62723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1558" cy="6286206"/>
                    </a:xfrm>
                    <a:prstGeom prst="rect">
                      <a:avLst/>
                    </a:prstGeom>
                    <a:noFill/>
                  </pic:spPr>
                </pic:pic>
              </a:graphicData>
            </a:graphic>
          </wp:inline>
        </w:drawing>
      </w:r>
    </w:p>
    <w:p w14:paraId="72D8AFED" w14:textId="1FAEF909" w:rsidR="003D1B6C" w:rsidRPr="00D1090E" w:rsidRDefault="00D32F0E" w:rsidP="00177EDD">
      <w:pPr>
        <w:pStyle w:val="Caption"/>
        <w:ind w:firstLine="0"/>
        <w:rPr>
          <w:sz w:val="20"/>
        </w:rPr>
      </w:pPr>
      <w:bookmarkStart w:id="43" w:name="_Toc400572424"/>
      <w:r w:rsidRPr="00D1090E">
        <w:rPr>
          <w:sz w:val="20"/>
        </w:rPr>
        <w:t xml:space="preserve">Figure </w:t>
      </w:r>
      <w:r w:rsidR="00F83405">
        <w:rPr>
          <w:sz w:val="20"/>
        </w:rPr>
        <w:t>4</w:t>
      </w:r>
      <w:r w:rsidRPr="00D1090E">
        <w:rPr>
          <w:sz w:val="20"/>
        </w:rPr>
        <w:t>. Example using 201</w:t>
      </w:r>
      <w:r w:rsidR="00D1090E" w:rsidRPr="00D1090E">
        <w:rPr>
          <w:sz w:val="20"/>
        </w:rPr>
        <w:t>7</w:t>
      </w:r>
      <w:r w:rsidRPr="00D1090E">
        <w:rPr>
          <w:sz w:val="20"/>
        </w:rPr>
        <w:t xml:space="preserve"> length data from halibut harvested </w:t>
      </w:r>
      <w:r w:rsidR="00D1090E" w:rsidRPr="00D1090E">
        <w:rPr>
          <w:sz w:val="20"/>
        </w:rPr>
        <w:t>by unguided anglers in</w:t>
      </w:r>
      <w:r w:rsidRPr="00D1090E">
        <w:rPr>
          <w:sz w:val="20"/>
        </w:rPr>
        <w:t xml:space="preserve"> Homer to predict the length frequency of released halibut. In the upper figure, a logistic curve was fit to empirical points representing 2</w:t>
      </w:r>
      <w:r w:rsidR="00D1090E" w:rsidRPr="00D1090E">
        <w:rPr>
          <w:sz w:val="20"/>
        </w:rPr>
        <w:t>2</w:t>
      </w:r>
      <w:r w:rsidRPr="00D1090E">
        <w:rPr>
          <w:sz w:val="20"/>
        </w:rPr>
        <w:t>% retention at the 10th percentile for length (2</w:t>
      </w:r>
      <w:r w:rsidR="00D1090E" w:rsidRPr="00D1090E">
        <w:rPr>
          <w:sz w:val="20"/>
        </w:rPr>
        <w:t>4</w:t>
      </w:r>
      <w:r w:rsidRPr="00D1090E">
        <w:rPr>
          <w:sz w:val="20"/>
        </w:rPr>
        <w:t xml:space="preserve"> inches) and 8</w:t>
      </w:r>
      <w:r w:rsidR="00D1090E" w:rsidRPr="00D1090E">
        <w:rPr>
          <w:sz w:val="20"/>
        </w:rPr>
        <w:t>3</w:t>
      </w:r>
      <w:r w:rsidRPr="00D1090E">
        <w:rPr>
          <w:sz w:val="20"/>
        </w:rPr>
        <w:t>% retention at the 90</w:t>
      </w:r>
      <w:r w:rsidRPr="00D1090E">
        <w:rPr>
          <w:sz w:val="20"/>
          <w:vertAlign w:val="superscript"/>
        </w:rPr>
        <w:t>th</w:t>
      </w:r>
      <w:r w:rsidRPr="00D1090E">
        <w:rPr>
          <w:sz w:val="20"/>
        </w:rPr>
        <w:t xml:space="preserve"> percentile for length (3</w:t>
      </w:r>
      <w:r w:rsidR="00D1090E" w:rsidRPr="00D1090E">
        <w:rPr>
          <w:sz w:val="20"/>
        </w:rPr>
        <w:t>8</w:t>
      </w:r>
      <w:r w:rsidRPr="00D1090E">
        <w:rPr>
          <w:sz w:val="20"/>
        </w:rPr>
        <w:t xml:space="preserve"> inches), subject to the condition that the predicted number of released fish (sum over length frequency in the lower figure) equals the </w:t>
      </w:r>
      <w:r w:rsidR="00854384">
        <w:rPr>
          <w:sz w:val="20"/>
        </w:rPr>
        <w:t>final</w:t>
      </w:r>
      <w:r w:rsidRPr="00D1090E">
        <w:rPr>
          <w:sz w:val="20"/>
        </w:rPr>
        <w:t xml:space="preserve"> estimate of released fish for 201</w:t>
      </w:r>
      <w:r w:rsidR="00854384">
        <w:rPr>
          <w:sz w:val="20"/>
        </w:rPr>
        <w:t>7</w:t>
      </w:r>
      <w:r w:rsidRPr="00D1090E">
        <w:rPr>
          <w:sz w:val="20"/>
        </w:rPr>
        <w:t>. The mean weight of released fish is calculated from the release length frequency in the lower figure using the IPHC length-weight relationship.</w:t>
      </w:r>
      <w:bookmarkEnd w:id="43"/>
    </w:p>
    <w:p w14:paraId="24B311A5" w14:textId="581BD9F5" w:rsidR="00C209C1" w:rsidRPr="00534FF2" w:rsidRDefault="00C209C1">
      <w:pPr>
        <w:spacing w:after="200" w:line="276" w:lineRule="auto"/>
        <w:jc w:val="left"/>
        <w:rPr>
          <w:highlight w:val="yellow"/>
        </w:rPr>
      </w:pPr>
      <w:r w:rsidRPr="00534FF2">
        <w:rPr>
          <w:highlight w:val="yellow"/>
        </w:rPr>
        <w:br w:type="page"/>
      </w:r>
    </w:p>
    <w:p w14:paraId="57604D27" w14:textId="77777777" w:rsidR="00E056DD" w:rsidRPr="00A86564" w:rsidRDefault="00E056DD" w:rsidP="00E056DD">
      <w:pPr>
        <w:pStyle w:val="Heading3"/>
      </w:pPr>
      <w:bookmarkStart w:id="44" w:name="_Toc398217614"/>
      <w:r>
        <w:lastRenderedPageBreak/>
        <w:t>Secondary Objective 3</w:t>
      </w:r>
      <w:r w:rsidRPr="00A86564">
        <w:t>: Produce preliminary estimates, or projections, of charter and unguided halibut discard mortality in Areas 2C and 3A for the current year.</w:t>
      </w:r>
      <w:bookmarkEnd w:id="44"/>
    </w:p>
    <w:p w14:paraId="247CC1F0" w14:textId="77777777" w:rsidR="00E056DD" w:rsidRPr="00A86564" w:rsidRDefault="00E056DD" w:rsidP="00E056DD">
      <w:r w:rsidRPr="00A86564">
        <w:t>These estimates will use the same methods as for Objective 4, replacing final estimates of harvest and release (in numbers of fish) with preliminary estimates for the current year. Preliminary estimates of harvest and release for the current year will be obtained as described under Objective 3.</w:t>
      </w:r>
    </w:p>
    <w:p w14:paraId="6128D5D3" w14:textId="77777777" w:rsidR="00E056DD" w:rsidRPr="00A86564" w:rsidRDefault="00E056DD" w:rsidP="00E056DD">
      <w:pPr>
        <w:pStyle w:val="Heading3"/>
      </w:pPr>
      <w:bookmarkStart w:id="45" w:name="_Toc398217615"/>
      <w:r>
        <w:t xml:space="preserve">Secondary </w:t>
      </w:r>
      <w:r w:rsidRPr="00A86564">
        <w:t xml:space="preserve">Objective </w:t>
      </w:r>
      <w:r>
        <w:t>4</w:t>
      </w:r>
      <w:r w:rsidRPr="00A86564">
        <w:t xml:space="preserve">. Estimate the proportions of charter and unguided harvest (in numbers of fish) taken in Areas 2C and 3A prior to the average IPHC longline survey date during the </w:t>
      </w:r>
      <w:r>
        <w:t>previous</w:t>
      </w:r>
      <w:r w:rsidRPr="00A86564">
        <w:t xml:space="preserve"> year.</w:t>
      </w:r>
      <w:bookmarkEnd w:id="45"/>
    </w:p>
    <w:p w14:paraId="769FDDFC" w14:textId="7A800F7A" w:rsidR="00E056DD" w:rsidRPr="00E52E98" w:rsidRDefault="00E056DD" w:rsidP="00E056DD">
      <w:r w:rsidRPr="00DA3624">
        <w:t xml:space="preserve">The IPHC conducts a longline survey of the halibut population from California to the Bering Sea. </w:t>
      </w:r>
      <w:r w:rsidR="004C3579">
        <w:t xml:space="preserve">Modelled survey </w:t>
      </w:r>
      <w:r w:rsidRPr="00DA3624">
        <w:t xml:space="preserve">WPUE </w:t>
      </w:r>
      <w:r w:rsidR="004C3579">
        <w:t>is</w:t>
      </w:r>
      <w:r w:rsidRPr="00DA3624">
        <w:t xml:space="preserve"> used as</w:t>
      </w:r>
      <w:r w:rsidR="004C3579">
        <w:t xml:space="preserve"> an</w:t>
      </w:r>
      <w:r w:rsidRPr="00DA3624">
        <w:t xml:space="preserve"> ind</w:t>
      </w:r>
      <w:r w:rsidR="004C3579">
        <w:t>ex</w:t>
      </w:r>
      <w:r w:rsidRPr="00DA3624">
        <w:t xml:space="preserve"> of </w:t>
      </w:r>
      <w:r w:rsidR="00183B64">
        <w:t>relative stock trends</w:t>
      </w:r>
      <w:r w:rsidRPr="00DA3624">
        <w:t xml:space="preserve"> in the stock assessment model. Th</w:t>
      </w:r>
      <w:r w:rsidR="004C3579">
        <w:t>is index</w:t>
      </w:r>
      <w:r w:rsidRPr="00DA3624">
        <w:t xml:space="preserve">, when weighted by the area of halibut habitat and adjusted for other factors, </w:t>
      </w:r>
      <w:r w:rsidR="004C3579">
        <w:t>is</w:t>
      </w:r>
      <w:r w:rsidRPr="00DA3624">
        <w:t xml:space="preserve"> also used </w:t>
      </w:r>
      <w:r w:rsidR="004C3579">
        <w:t>to produce the best available estimates of the stock distribution by biological region</w:t>
      </w:r>
      <w:r w:rsidRPr="00DA3624">
        <w:t xml:space="preserve">. The IPHC adjusts </w:t>
      </w:r>
      <w:r w:rsidR="004C3579">
        <w:t>the survey WPUE</w:t>
      </w:r>
      <w:r w:rsidRPr="00DA3624">
        <w:t xml:space="preserve"> for fishery removals that occur before the middle of the survey (</w:t>
      </w:r>
      <w:r w:rsidR="004C3579">
        <w:t>Stewart and Webster 2018</w:t>
      </w:r>
      <w:r w:rsidRPr="00DA3624">
        <w:t>).</w:t>
      </w:r>
      <w:r w:rsidRPr="00E52E98">
        <w:t xml:space="preserve"> </w:t>
      </w:r>
    </w:p>
    <w:p w14:paraId="429E4BBC" w14:textId="77777777" w:rsidR="00EC618A" w:rsidRPr="00534FF2" w:rsidRDefault="00EC618A" w:rsidP="00EC618A">
      <w:pPr>
        <w:rPr>
          <w:highlight w:val="yellow"/>
        </w:rPr>
      </w:pPr>
      <w:r w:rsidRPr="00E52E98">
        <w:t xml:space="preserve">Therefore, the IPHC annually requests estimates of the proportions of sport harvest taken before the average date of the longline survey in Area 2C and Area 3A. The average dates of the longline survey are provided by the IPHC after the surveys are complete. The IPHC has stated that there is no need to partition reported harvest by size class or base the estimated proportions on biomass units (R. Webster., IPHC, personal communication). Therefore, estimates of the proportion of harvest will be based on numbers of fish, </w:t>
      </w:r>
      <w:proofErr w:type="gramStart"/>
      <w:r w:rsidRPr="00E52E98">
        <w:t>assuming that</w:t>
      </w:r>
      <w:proofErr w:type="gramEnd"/>
      <w:r w:rsidRPr="00E52E98">
        <w:t xml:space="preserve"> the size composition of the harvest is constant over the course of the fishing season.</w:t>
      </w:r>
    </w:p>
    <w:p w14:paraId="04B8BC24" w14:textId="5E427C32" w:rsidR="00A8418B" w:rsidRPr="00BB5A78" w:rsidRDefault="00A8418B" w:rsidP="009B03F1">
      <w:r w:rsidRPr="00EC618A">
        <w:t xml:space="preserve">The charter and </w:t>
      </w:r>
      <w:r w:rsidR="00A04F70" w:rsidRPr="00EC618A">
        <w:t>unguided</w:t>
      </w:r>
      <w:r w:rsidRPr="00EC618A">
        <w:t xml:space="preserve"> proportions of harvest prior to the average survey date will be estimated using different meth</w:t>
      </w:r>
      <w:r w:rsidRPr="00B06ACF">
        <w:t xml:space="preserve">ods. </w:t>
      </w:r>
      <w:r w:rsidR="00B06ACF" w:rsidRPr="00B06ACF">
        <w:t>C</w:t>
      </w:r>
      <w:r w:rsidRPr="00B06ACF">
        <w:t xml:space="preserve">omplete charter logbook data </w:t>
      </w:r>
      <w:r w:rsidR="00B06ACF" w:rsidRPr="00B06ACF">
        <w:t xml:space="preserve">for the previous year </w:t>
      </w:r>
      <w:r w:rsidRPr="00B06ACF">
        <w:t xml:space="preserve">are available </w:t>
      </w:r>
      <w:r w:rsidR="00B06ACF" w:rsidRPr="00B06ACF">
        <w:t>by</w:t>
      </w:r>
      <w:r w:rsidR="00174A46" w:rsidRPr="00B06ACF">
        <w:t xml:space="preserve"> October</w:t>
      </w:r>
      <w:r w:rsidR="00B06ACF" w:rsidRPr="00B06ACF">
        <w:t>; therefore,</w:t>
      </w:r>
      <w:r w:rsidRPr="00B06ACF">
        <w:t xml:space="preserve"> the charter before</w:t>
      </w:r>
      <w:r w:rsidR="00174A46" w:rsidRPr="00B06ACF">
        <w:t>-</w:t>
      </w:r>
      <w:r w:rsidRPr="00B06ACF">
        <w:t>survey</w:t>
      </w:r>
      <w:r w:rsidR="00174A46" w:rsidRPr="00B06ACF">
        <w:t xml:space="preserve"> (BS) harvest</w:t>
      </w:r>
      <w:r w:rsidRPr="00B06ACF">
        <w:t xml:space="preserve"> proportion </w:t>
      </w:r>
      <w:r w:rsidR="00B06ACF" w:rsidRPr="00B06ACF">
        <w:t>is calculated</w:t>
      </w:r>
      <w:r w:rsidRPr="00B06ACF">
        <w:t xml:space="preserve"> for each IPHC area </w:t>
      </w:r>
      <w:r w:rsidR="00B06ACF" w:rsidRPr="00B06ACF">
        <w:t>using charter logbook harvest information.</w:t>
      </w:r>
      <w:r w:rsidRPr="00B06ACF">
        <w:t xml:space="preserve"> For the </w:t>
      </w:r>
      <w:r w:rsidR="00A04F70" w:rsidRPr="00B06ACF">
        <w:t>unguided</w:t>
      </w:r>
      <w:r w:rsidRPr="00B06ACF">
        <w:t xml:space="preserve"> fishery, creel survey interview data are the only source of information on the timing of </w:t>
      </w:r>
      <w:r w:rsidRPr="001859D5">
        <w:t xml:space="preserve">harvest. The marine fishery monitoring programs in Southeast region will provide estimates of the BS proportions of </w:t>
      </w:r>
      <w:r w:rsidR="00A04F70" w:rsidRPr="001859D5">
        <w:t>unguided</w:t>
      </w:r>
      <w:r w:rsidRPr="001859D5">
        <w:t xml:space="preserve"> harvest for each port, with the procedures for estimation described in the program</w:t>
      </w:r>
      <w:r w:rsidR="00C35968">
        <w:t>’</w:t>
      </w:r>
      <w:r w:rsidRPr="001859D5">
        <w:t>s</w:t>
      </w:r>
      <w:r w:rsidR="00C35968">
        <w:t xml:space="preserve"> </w:t>
      </w:r>
      <w:r w:rsidRPr="001859D5">
        <w:t xml:space="preserve">operational </w:t>
      </w:r>
      <w:r w:rsidRPr="00540D29">
        <w:t>plan</w:t>
      </w:r>
      <w:r w:rsidR="00C35968">
        <w:t xml:space="preserve"> </w:t>
      </w:r>
      <w:r w:rsidR="006727D4" w:rsidRPr="00540D29">
        <w:t>(Jaenicke</w:t>
      </w:r>
      <w:r w:rsidR="006727D4" w:rsidRPr="00BB5A78">
        <w:t xml:space="preserve"> et </w:t>
      </w:r>
      <w:r w:rsidR="006727D4" w:rsidRPr="00C35968">
        <w:t xml:space="preserve">al. </w:t>
      </w:r>
      <w:r w:rsidR="00C35968" w:rsidRPr="00C35968">
        <w:t>2019</w:t>
      </w:r>
      <w:r w:rsidR="006727D4" w:rsidRPr="00C35968">
        <w:t xml:space="preserve">). </w:t>
      </w:r>
      <w:r w:rsidR="00540D29" w:rsidRPr="00C35968">
        <w:t>The</w:t>
      </w:r>
      <w:r w:rsidR="00540D29" w:rsidRPr="00787EA6">
        <w:t xml:space="preserve"> Southcentral Groundfish Harvest</w:t>
      </w:r>
      <w:r w:rsidR="00540D29">
        <w:t xml:space="preserve"> Assessment Program will collect information on the numbers of fish harvested by date during angler interviews as described in the program’s operational </w:t>
      </w:r>
      <w:r w:rsidR="00540D29" w:rsidRPr="00787EA6">
        <w:t>plan (</w:t>
      </w:r>
      <w:proofErr w:type="spellStart"/>
      <w:r w:rsidR="00540D29" w:rsidRPr="00787EA6">
        <w:t>Failor</w:t>
      </w:r>
      <w:proofErr w:type="spellEnd"/>
      <w:r w:rsidR="00540D29" w:rsidRPr="00787EA6">
        <w:t xml:space="preserve"> 2016).</w:t>
      </w:r>
      <w:r w:rsidR="00540D29">
        <w:t xml:space="preserve"> These interview data will be used to calculate the proportion of harvest prior to the mean survey date in each port. </w:t>
      </w:r>
      <w:r w:rsidRPr="00BB5A78">
        <w:t xml:space="preserve">The </w:t>
      </w:r>
      <w:r w:rsidR="00A04F70" w:rsidRPr="00BB5A78">
        <w:t>unguided</w:t>
      </w:r>
      <w:r w:rsidRPr="00BB5A78">
        <w:t xml:space="preserve"> proportions for each port will then be weighted by the </w:t>
      </w:r>
      <w:r w:rsidR="002261BE">
        <w:t xml:space="preserve">estimated </w:t>
      </w:r>
      <w:r w:rsidR="00A04F70" w:rsidRPr="00BB5A78">
        <w:t>unguided</w:t>
      </w:r>
      <w:r w:rsidRPr="00BB5A78">
        <w:t xml:space="preserve"> harvest for each halibut reporting area (from Objective </w:t>
      </w:r>
      <w:r w:rsidR="002261BE">
        <w:t>1</w:t>
      </w:r>
      <w:r w:rsidRPr="00BB5A78">
        <w:t>) to estimate the overall proportion for each IPHC area.</w:t>
      </w:r>
    </w:p>
    <w:p w14:paraId="3E165259" w14:textId="735DB89D" w:rsidR="00A8418B" w:rsidRPr="002261BE" w:rsidRDefault="00A8418B" w:rsidP="009B03F1">
      <w:r w:rsidRPr="002261BE">
        <w:t xml:space="preserve">Finally, the BS proportions for the sport fishery </w:t>
      </w:r>
      <w:proofErr w:type="gramStart"/>
      <w:r w:rsidRPr="002261BE">
        <w:t>as a whole will</w:t>
      </w:r>
      <w:proofErr w:type="gramEnd"/>
      <w:r w:rsidRPr="002261BE">
        <w:t xml:space="preserve"> be computed as a weighted mean of the charter and </w:t>
      </w:r>
      <w:r w:rsidR="00A04F70" w:rsidRPr="002261BE">
        <w:t>unguided</w:t>
      </w:r>
      <w:r w:rsidRPr="002261BE">
        <w:t xml:space="preserve"> BS proportions, using charter and </w:t>
      </w:r>
      <w:r w:rsidR="00A04F70" w:rsidRPr="002261BE">
        <w:t>unguided</w:t>
      </w:r>
      <w:r w:rsidRPr="002261BE">
        <w:t xml:space="preserve"> harvests (from Objective</w:t>
      </w:r>
      <w:r w:rsidR="002261BE" w:rsidRPr="002261BE">
        <w:t>s 1 and 2</w:t>
      </w:r>
      <w:r w:rsidRPr="002261BE">
        <w:t>) as weighting factors. Because the IPHC will use these point estimates only as one component of an adjustment to survey WPUE, no effort will be made to evaluate the uncertainty of these estimates and no values are established for desired precision.</w:t>
      </w:r>
    </w:p>
    <w:p w14:paraId="7961ECAE" w14:textId="19F63E60" w:rsidR="00A8418B" w:rsidRPr="003C4138" w:rsidRDefault="008824EB" w:rsidP="00A8418B">
      <w:pPr>
        <w:pStyle w:val="Heading3"/>
      </w:pPr>
      <w:bookmarkStart w:id="46" w:name="_Toc398217616"/>
      <w:r>
        <w:lastRenderedPageBreak/>
        <w:t xml:space="preserve">Secondary </w:t>
      </w:r>
      <w:r w:rsidR="00A8418B" w:rsidRPr="003C4138">
        <w:t xml:space="preserve">Objective </w:t>
      </w:r>
      <w:r>
        <w:t>6</w:t>
      </w:r>
      <w:r w:rsidR="00A8418B" w:rsidRPr="003C4138">
        <w:t xml:space="preserve">: Estimate overall sport halibut harvest (charter and </w:t>
      </w:r>
      <w:r w:rsidR="00A04F70" w:rsidRPr="003C4138">
        <w:t>unguided</w:t>
      </w:r>
      <w:r w:rsidR="00A8418B" w:rsidRPr="003C4138">
        <w:t xml:space="preserve"> combined) in Areas 3B and 4 </w:t>
      </w:r>
      <w:r w:rsidR="00D94AA8">
        <w:t xml:space="preserve">(A – E combined) </w:t>
      </w:r>
      <w:r w:rsidR="00A8418B" w:rsidRPr="003C4138">
        <w:t>through the most recent year for which SWHS estimates are available.</w:t>
      </w:r>
      <w:bookmarkEnd w:id="46"/>
    </w:p>
    <w:p w14:paraId="51869EE7" w14:textId="32DBFA8D" w:rsidR="003C4138" w:rsidRPr="00D94AA8" w:rsidRDefault="00A8418B" w:rsidP="003C4138">
      <w:r w:rsidRPr="003C4138">
        <w:t xml:space="preserve">These estimates will be obtained by summing site-specific halibut harvest estimates from SWHS Area R (Naknek River Drainage-Alaska Peninsula). The site-specific estimates are found in detailed harvest printouts available on the ADF&amp;G </w:t>
      </w:r>
      <w:proofErr w:type="spellStart"/>
      <w:r w:rsidRPr="003C4138">
        <w:t>Docushare</w:t>
      </w:r>
      <w:proofErr w:type="spellEnd"/>
      <w:r w:rsidRPr="003C4138">
        <w:t xml:space="preserve"> site. Each site code will be classified into IPHC Area 3B or Area 4, and estimates summed by area. </w:t>
      </w:r>
      <w:r w:rsidR="00D94AA8">
        <w:t xml:space="preserve">Area 4 is not currently broken out by Regulatory Area (A – E) due to the extremely low harvest and low response rate in this region (estimated 368 fish, 6,000 </w:t>
      </w:r>
      <w:proofErr w:type="spellStart"/>
      <w:r w:rsidR="00D94AA8">
        <w:t>lbs</w:t>
      </w:r>
      <w:proofErr w:type="spellEnd"/>
      <w:r w:rsidR="00D94AA8">
        <w:t xml:space="preserve"> in 2017). The majority of harvest in Area 4 is in Regulatory Area 4A. Areas 4B and 4E typically have very small amounts of reported harvest and in most years no harvest is reported in area 4C or 4D. </w:t>
      </w:r>
      <w:r w:rsidRPr="003C4138">
        <w:t xml:space="preserve">Charter and </w:t>
      </w:r>
      <w:r w:rsidR="00A04F70" w:rsidRPr="003C4138">
        <w:t>unguided</w:t>
      </w:r>
      <w:r w:rsidRPr="003C4138">
        <w:t xml:space="preserve"> harvest will be combined because the numbers of survey responses are </w:t>
      </w:r>
      <w:r w:rsidR="00EE0647" w:rsidRPr="003C4138">
        <w:t>typically</w:t>
      </w:r>
      <w:r w:rsidRPr="003C4138">
        <w:t xml:space="preserve"> insufficient to generate reliable estimates for each sector (</w:t>
      </w:r>
      <w:r w:rsidRPr="003C4138">
        <w:rPr>
          <w:highlight w:val="yellow"/>
        </w:rPr>
        <w:t xml:space="preserve">K. </w:t>
      </w:r>
      <w:proofErr w:type="spellStart"/>
      <w:r w:rsidRPr="003C4138">
        <w:rPr>
          <w:highlight w:val="yellow"/>
        </w:rPr>
        <w:t>Sundet</w:t>
      </w:r>
      <w:proofErr w:type="spellEnd"/>
      <w:r w:rsidRPr="003C4138">
        <w:t>, ADF&amp;G RTS, personal communication)</w:t>
      </w:r>
      <w:r w:rsidR="00EE0647" w:rsidRPr="003C4138">
        <w:t>, and because there are no separate catch limits or regulations for the charter sector in these areas</w:t>
      </w:r>
      <w:r w:rsidRPr="003C4138">
        <w:t xml:space="preserve">. Variances of harvest estimates are not available at the site specific </w:t>
      </w:r>
      <w:proofErr w:type="gramStart"/>
      <w:r w:rsidRPr="003C4138">
        <w:t>level, and</w:t>
      </w:r>
      <w:proofErr w:type="gramEnd"/>
      <w:r w:rsidRPr="003C4138">
        <w:t xml:space="preserve"> will not be presented to the IPHC. </w:t>
      </w:r>
      <w:bookmarkStart w:id="47" w:name="_Toc398217617"/>
      <w:r w:rsidR="003C4138" w:rsidRPr="00A479BE">
        <w:rPr>
          <w:szCs w:val="22"/>
        </w:rPr>
        <w:t>Because ADF&amp;G does not sample the sport harvest in these areas, the average weight of Kodiak sport harvest</w:t>
      </w:r>
      <w:r w:rsidR="003C4138">
        <w:rPr>
          <w:szCs w:val="22"/>
        </w:rPr>
        <w:t xml:space="preserve"> will be used</w:t>
      </w:r>
      <w:r w:rsidR="003C4138" w:rsidRPr="00A479BE">
        <w:rPr>
          <w:szCs w:val="22"/>
        </w:rPr>
        <w:t xml:space="preserve"> as a proxy for average weight in Areas 3B and 4</w:t>
      </w:r>
      <w:r w:rsidR="003C4138">
        <w:rPr>
          <w:szCs w:val="22"/>
        </w:rPr>
        <w:t xml:space="preserve"> to estimate yield in each Regulatory Area</w:t>
      </w:r>
      <w:r w:rsidR="007C6C9B">
        <w:rPr>
          <w:szCs w:val="22"/>
        </w:rPr>
        <w:t xml:space="preserve"> using the same methods outlined in Primary Objective 1 (Equation 1)</w:t>
      </w:r>
      <w:r w:rsidR="003C4138" w:rsidRPr="00A479BE">
        <w:rPr>
          <w:szCs w:val="22"/>
        </w:rPr>
        <w:t xml:space="preserve">. Specifically, average weight from the </w:t>
      </w:r>
      <w:r w:rsidR="003C4138">
        <w:rPr>
          <w:szCs w:val="22"/>
        </w:rPr>
        <w:t>unguided</w:t>
      </w:r>
      <w:r w:rsidR="003C4138" w:rsidRPr="00A479BE">
        <w:rPr>
          <w:szCs w:val="22"/>
        </w:rPr>
        <w:t xml:space="preserve"> sector </w:t>
      </w:r>
      <w:r w:rsidR="007C6C9B">
        <w:rPr>
          <w:szCs w:val="22"/>
        </w:rPr>
        <w:t xml:space="preserve">in Kodiak </w:t>
      </w:r>
      <w:r w:rsidR="003C4138">
        <w:rPr>
          <w:szCs w:val="22"/>
        </w:rPr>
        <w:t xml:space="preserve">will be used </w:t>
      </w:r>
      <w:r w:rsidR="003C4138" w:rsidRPr="003C4138">
        <w:rPr>
          <w:szCs w:val="22"/>
        </w:rPr>
        <w:t xml:space="preserve">because it is unaffected by size limits. </w:t>
      </w:r>
    </w:p>
    <w:p w14:paraId="72C60140" w14:textId="58F4B1CC" w:rsidR="00A8418B" w:rsidRPr="0038148D" w:rsidRDefault="008824EB" w:rsidP="003C4138">
      <w:pPr>
        <w:rPr>
          <w:b/>
          <w:sz w:val="26"/>
          <w:szCs w:val="26"/>
        </w:rPr>
      </w:pPr>
      <w:r w:rsidRPr="0038148D">
        <w:rPr>
          <w:b/>
          <w:sz w:val="26"/>
          <w:szCs w:val="26"/>
        </w:rPr>
        <w:t xml:space="preserve">Secondary </w:t>
      </w:r>
      <w:r w:rsidR="00A8418B" w:rsidRPr="0038148D">
        <w:rPr>
          <w:b/>
          <w:sz w:val="26"/>
          <w:szCs w:val="26"/>
        </w:rPr>
        <w:t xml:space="preserve">Objective </w:t>
      </w:r>
      <w:r w:rsidRPr="0038148D">
        <w:rPr>
          <w:b/>
          <w:sz w:val="26"/>
          <w:szCs w:val="26"/>
        </w:rPr>
        <w:t>6</w:t>
      </w:r>
      <w:r w:rsidR="00A8418B" w:rsidRPr="0038148D">
        <w:rPr>
          <w:b/>
          <w:sz w:val="26"/>
          <w:szCs w:val="26"/>
        </w:rPr>
        <w:t xml:space="preserve">: Produce preliminary estimates, or projections, of overall sport halibut harvest in Areas 3B and 4 </w:t>
      </w:r>
      <w:r w:rsidR="00D94AA8" w:rsidRPr="00D94AA8">
        <w:rPr>
          <w:b/>
          <w:sz w:val="26"/>
          <w:szCs w:val="26"/>
        </w:rPr>
        <w:t>(A – E combined)</w:t>
      </w:r>
      <w:r w:rsidR="00D94AA8">
        <w:rPr>
          <w:b/>
          <w:sz w:val="26"/>
          <w:szCs w:val="26"/>
        </w:rPr>
        <w:t xml:space="preserve"> </w:t>
      </w:r>
      <w:r w:rsidR="00A8418B" w:rsidRPr="0038148D">
        <w:rPr>
          <w:b/>
          <w:sz w:val="26"/>
          <w:szCs w:val="26"/>
        </w:rPr>
        <w:t>for the current year.</w:t>
      </w:r>
      <w:bookmarkEnd w:id="47"/>
    </w:p>
    <w:p w14:paraId="312AD9B4" w14:textId="0BC772C8" w:rsidR="00A8418B" w:rsidRPr="003C4138" w:rsidRDefault="00A8418B" w:rsidP="009B03F1">
      <w:r w:rsidRPr="003C4138">
        <w:t>Preliminary harvest projections f</w:t>
      </w:r>
      <w:r w:rsidR="003C4138" w:rsidRPr="003C4138">
        <w:t xml:space="preserve">or </w:t>
      </w:r>
      <w:r w:rsidRPr="003C4138">
        <w:t xml:space="preserve">the current year </w:t>
      </w:r>
      <w:r w:rsidR="003C4138" w:rsidRPr="003C4138">
        <w:t xml:space="preserve">in areas 3B and 4 </w:t>
      </w:r>
      <w:r w:rsidRPr="003C4138">
        <w:t xml:space="preserve">are needed by the IPHC for inclusion in the current year’s stock assessment model. The total sport harvest (charter and </w:t>
      </w:r>
      <w:r w:rsidR="00A04F70" w:rsidRPr="003C4138">
        <w:t>unguided</w:t>
      </w:r>
      <w:r w:rsidRPr="003C4138">
        <w:t xml:space="preserve"> combined) will be projected in numbers of fish using </w:t>
      </w:r>
      <w:r w:rsidR="00EE0647" w:rsidRPr="003C4138">
        <w:t>the Box</w:t>
      </w:r>
      <w:r w:rsidR="00AB083A" w:rsidRPr="003C4138">
        <w:t xml:space="preserve"> and </w:t>
      </w:r>
      <w:r w:rsidR="00EE0647" w:rsidRPr="003C4138">
        <w:t xml:space="preserve">Jenkins </w:t>
      </w:r>
      <w:r w:rsidR="00C95BDE" w:rsidRPr="003C4138">
        <w:t xml:space="preserve">(1976) </w:t>
      </w:r>
      <w:r w:rsidR="00EE0647" w:rsidRPr="003C4138">
        <w:t xml:space="preserve">ARIMA </w:t>
      </w:r>
      <w:r w:rsidRPr="003C4138">
        <w:t xml:space="preserve">time series method as described </w:t>
      </w:r>
      <w:r w:rsidR="00EE0647" w:rsidRPr="003C4138">
        <w:t>under</w:t>
      </w:r>
      <w:r w:rsidRPr="003C4138">
        <w:t xml:space="preserve"> </w:t>
      </w:r>
      <w:r w:rsidR="0092775A">
        <w:t xml:space="preserve">Secondary </w:t>
      </w:r>
      <w:r w:rsidRPr="003C4138">
        <w:t xml:space="preserve">Objective </w:t>
      </w:r>
      <w:r w:rsidR="0092775A">
        <w:t>1</w:t>
      </w:r>
      <w:r w:rsidRPr="003C4138">
        <w:t xml:space="preserve">. The time series of available harvest estimates stretches back to 1991 for both areas. Harvest has been relatively small, on the order of a few thousand fish in each area, and highly variable from year to year. </w:t>
      </w:r>
      <w:r w:rsidR="00EE0647" w:rsidRPr="003C4138">
        <w:t>Because of this variability, the Box</w:t>
      </w:r>
      <w:r w:rsidR="00AB083A" w:rsidRPr="003C4138">
        <w:t xml:space="preserve"> and </w:t>
      </w:r>
      <w:r w:rsidR="00EE0647" w:rsidRPr="003C4138">
        <w:t xml:space="preserve">Jenkins procedure typically finds no significant autoregressive or moving average components and identifies a naïve model </w:t>
      </w:r>
      <w:r w:rsidR="00C95BDE" w:rsidRPr="003C4138">
        <w:t xml:space="preserve">(forecast = previous year’s harvest) </w:t>
      </w:r>
      <w:r w:rsidR="00EE0647" w:rsidRPr="003C4138">
        <w:t>as the best.</w:t>
      </w:r>
    </w:p>
    <w:p w14:paraId="53EEA621" w14:textId="77777777" w:rsidR="00A8418B" w:rsidRPr="00D559FC" w:rsidRDefault="00A8418B" w:rsidP="00A8418B">
      <w:pPr>
        <w:pStyle w:val="Heading1"/>
      </w:pPr>
      <w:bookmarkStart w:id="48" w:name="_Toc398217618"/>
      <w:r w:rsidRPr="00D559FC">
        <w:t>Schedules and deliverables</w:t>
      </w:r>
      <w:bookmarkEnd w:id="48"/>
    </w:p>
    <w:p w14:paraId="056834BB" w14:textId="3C983DC3" w:rsidR="00A8418B" w:rsidRPr="00AB3FBB" w:rsidRDefault="00A8418B" w:rsidP="009B03F1">
      <w:r w:rsidRPr="00EE0E70">
        <w:t>Most of the estimates and projections in</w:t>
      </w:r>
      <w:r w:rsidRPr="00D559FC">
        <w:t xml:space="preserve"> this plan are intended to be delivered on an annual basis. Many of the objectives address information needs for the annual halibut stock assessment by the </w:t>
      </w:r>
      <w:r w:rsidRPr="00AB3FBB">
        <w:t>IPHC. These elements are delivered in an annual letter to the IPHC, usually sent in late October</w:t>
      </w:r>
      <w:r w:rsidR="0092775A">
        <w:t>, and presented at the IPHC annual meeting in January</w:t>
      </w:r>
      <w:r w:rsidRPr="00AB3FBB">
        <w:t xml:space="preserve">. </w:t>
      </w:r>
      <w:r w:rsidR="00C95BDE" w:rsidRPr="00AB3FBB">
        <w:t xml:space="preserve">Finalized harvest </w:t>
      </w:r>
      <w:r w:rsidRPr="00AB3FBB">
        <w:t xml:space="preserve">estimates </w:t>
      </w:r>
      <w:r w:rsidR="00C95BDE" w:rsidRPr="00AB3FBB">
        <w:t>for the previous year a</w:t>
      </w:r>
      <w:r w:rsidRPr="00AB3FBB">
        <w:t xml:space="preserve">re </w:t>
      </w:r>
      <w:r w:rsidR="00C95BDE" w:rsidRPr="00AB3FBB">
        <w:t xml:space="preserve">typically </w:t>
      </w:r>
      <w:r w:rsidR="006727D4" w:rsidRPr="00AB3FBB">
        <w:t xml:space="preserve">posted on the NPFMC website and </w:t>
      </w:r>
      <w:r w:rsidRPr="00AB3FBB">
        <w:t xml:space="preserve">presented </w:t>
      </w:r>
      <w:r w:rsidR="006727D4" w:rsidRPr="00AB3FBB">
        <w:t xml:space="preserve">at the October </w:t>
      </w:r>
      <w:r w:rsidR="00AB3FBB" w:rsidRPr="00AB3FBB">
        <w:t>Charter Halibut Management Committee meeting (subsidiary body of the NPFMC) and the</w:t>
      </w:r>
      <w:r w:rsidR="006727D4" w:rsidRPr="00AB3FBB">
        <w:t xml:space="preserve"> December NPFMC meeting. </w:t>
      </w:r>
    </w:p>
    <w:p w14:paraId="09BB9D43" w14:textId="65B18710" w:rsidR="00A8418B" w:rsidRPr="00955E19" w:rsidRDefault="00A8418B" w:rsidP="009B03F1">
      <w:r w:rsidRPr="00EE0E70">
        <w:t xml:space="preserve">Reports documenting final SWHS-based estimates of halibut harvest and yield, length composition, and spatial distribution of harvest are prepared on an intermittent basis in cooperation with staff from Region 1 and </w:t>
      </w:r>
      <w:r w:rsidRPr="00955E19">
        <w:t xml:space="preserve">Region 2. Halibut sampling and estimation is supported by General Funds, so there are no Federal Aid contract requirements for reports. These reports have been published as ADF&amp;G Special Publications or as NOAA grant reports. The </w:t>
      </w:r>
      <w:r w:rsidR="00AB3FBB" w:rsidRPr="00955E19">
        <w:t xml:space="preserve">most recent </w:t>
      </w:r>
      <w:r w:rsidRPr="00955E19">
        <w:t xml:space="preserve">version of </w:t>
      </w:r>
      <w:r w:rsidRPr="00955E19">
        <w:lastRenderedPageBreak/>
        <w:t>this report include</w:t>
      </w:r>
      <w:r w:rsidR="00AB3FBB" w:rsidRPr="00955E19">
        <w:t>d</w:t>
      </w:r>
      <w:r w:rsidRPr="00955E19">
        <w:t xml:space="preserve"> final harvest estimates for the years 2008-201</w:t>
      </w:r>
      <w:r w:rsidR="006727D4" w:rsidRPr="00955E19">
        <w:t>3</w:t>
      </w:r>
      <w:r w:rsidRPr="00955E19">
        <w:t xml:space="preserve"> and </w:t>
      </w:r>
      <w:r w:rsidR="00AB3FBB" w:rsidRPr="00955E19">
        <w:t>was</w:t>
      </w:r>
      <w:r w:rsidRPr="00955E19">
        <w:t xml:space="preserve"> published as an ADF&amp;G Special Publication. </w:t>
      </w:r>
    </w:p>
    <w:p w14:paraId="7D8CD712" w14:textId="319DB8F3" w:rsidR="00A8418B" w:rsidRPr="00534FF2" w:rsidRDefault="00A8418B" w:rsidP="009B03F1">
      <w:pPr>
        <w:rPr>
          <w:highlight w:val="yellow"/>
        </w:rPr>
      </w:pPr>
      <w:r w:rsidRPr="00AB3FBB">
        <w:t xml:space="preserve">The estimation and projection methods documented in this plan will also be incorporated, as needed, into evaluations of alternative harvest strategies identified for analysis by the </w:t>
      </w:r>
      <w:r w:rsidR="00AB3FBB">
        <w:t>Charter Halibut Management Committee</w:t>
      </w:r>
      <w:r w:rsidR="00E13ECB">
        <w:t xml:space="preserve"> (e.g. Webster and Powers 2018)</w:t>
      </w:r>
      <w:r w:rsidRPr="00AB3FBB">
        <w:t xml:space="preserve">. </w:t>
      </w:r>
      <w:r w:rsidR="00AB3FBB" w:rsidRPr="00610240">
        <w:t>M</w:t>
      </w:r>
      <w:r w:rsidRPr="00610240">
        <w:t>anagement alternatives selected for analysis</w:t>
      </w:r>
      <w:r w:rsidR="00AB3FBB" w:rsidRPr="00610240">
        <w:t xml:space="preserve"> vary on an annual basis</w:t>
      </w:r>
      <w:r w:rsidR="00610240">
        <w:t>, are not known in advance</w:t>
      </w:r>
      <w:r w:rsidR="00EE0E70">
        <w:t>,</w:t>
      </w:r>
      <w:r w:rsidR="00AB3FBB" w:rsidRPr="00610240">
        <w:t xml:space="preserve"> and are therefore not documented in this Operational Plan</w:t>
      </w:r>
      <w:r w:rsidR="00610240">
        <w:t>.</w:t>
      </w:r>
      <w:r w:rsidR="00E13ECB">
        <w:t xml:space="preserve"> </w:t>
      </w:r>
      <w:r w:rsidR="00610240">
        <w:t>A</w:t>
      </w:r>
      <w:r w:rsidRPr="00610240">
        <w:t xml:space="preserve">nalysis </w:t>
      </w:r>
      <w:r w:rsidR="00610240">
        <w:t xml:space="preserve">of alternative management measures </w:t>
      </w:r>
      <w:r w:rsidRPr="00610240">
        <w:t>will proceed with guidance from the project biometrician and</w:t>
      </w:r>
      <w:r w:rsidR="00610240" w:rsidRPr="00610240">
        <w:t>, as necessary,</w:t>
      </w:r>
      <w:r w:rsidRPr="00610240">
        <w:t xml:space="preserve"> review by the Council’s SSC.</w:t>
      </w:r>
    </w:p>
    <w:p w14:paraId="1F23D589" w14:textId="77777777" w:rsidR="00D32F0E" w:rsidRPr="00534FF2" w:rsidRDefault="00D32F0E" w:rsidP="009B03F1">
      <w:pPr>
        <w:rPr>
          <w:highlight w:val="yellow"/>
        </w:rPr>
      </w:pPr>
    </w:p>
    <w:p w14:paraId="3CC3B652" w14:textId="05C308A6" w:rsidR="00A8418B" w:rsidRPr="0038148D" w:rsidRDefault="00D32F0E" w:rsidP="0038148D">
      <w:pPr>
        <w:pStyle w:val="Caption"/>
        <w:keepNext/>
        <w:ind w:firstLine="0"/>
        <w:rPr>
          <w:sz w:val="20"/>
        </w:rPr>
      </w:pPr>
      <w:bookmarkStart w:id="49" w:name="_Toc398217624"/>
      <w:r w:rsidRPr="0038148D">
        <w:rPr>
          <w:sz w:val="20"/>
        </w:rPr>
        <w:t xml:space="preserve">Table </w:t>
      </w:r>
      <w:r w:rsidR="0038148D" w:rsidRPr="0038148D">
        <w:rPr>
          <w:sz w:val="20"/>
        </w:rPr>
        <w:t>3</w:t>
      </w:r>
      <w:r w:rsidRPr="0038148D">
        <w:rPr>
          <w:sz w:val="20"/>
        </w:rPr>
        <w:t>. Approximate annual timeline of estimation and reporting tasks associated with halibut.</w:t>
      </w:r>
      <w:bookmarkEnd w:id="49"/>
    </w:p>
    <w:tbl>
      <w:tblPr>
        <w:tblW w:w="0" w:type="auto"/>
        <w:tblInd w:w="108" w:type="dxa"/>
        <w:tblLook w:val="00A0" w:firstRow="1" w:lastRow="0" w:firstColumn="1" w:lastColumn="0" w:noHBand="0" w:noVBand="0"/>
      </w:tblPr>
      <w:tblGrid>
        <w:gridCol w:w="1252"/>
        <w:gridCol w:w="8000"/>
      </w:tblGrid>
      <w:tr w:rsidR="00A8418B" w:rsidRPr="00534FF2" w14:paraId="0FBA8766" w14:textId="77777777" w:rsidTr="00E0165C">
        <w:trPr>
          <w:trHeight w:val="216"/>
        </w:trPr>
        <w:tc>
          <w:tcPr>
            <w:tcW w:w="1260" w:type="dxa"/>
            <w:tcBorders>
              <w:top w:val="single" w:sz="4" w:space="0" w:color="auto"/>
              <w:bottom w:val="single" w:sz="4" w:space="0" w:color="auto"/>
            </w:tcBorders>
            <w:shd w:val="clear" w:color="auto" w:fill="auto"/>
            <w:vAlign w:val="bottom"/>
          </w:tcPr>
          <w:p w14:paraId="3B36418E" w14:textId="77777777" w:rsidR="00A8418B" w:rsidRPr="00E0165C" w:rsidRDefault="00A8418B" w:rsidP="002E0BD4">
            <w:pPr>
              <w:pStyle w:val="tablerow0"/>
              <w:keepNext/>
            </w:pPr>
            <w:r w:rsidRPr="00E0165C">
              <w:t>Time frame</w:t>
            </w:r>
          </w:p>
        </w:tc>
        <w:tc>
          <w:tcPr>
            <w:tcW w:w="8100" w:type="dxa"/>
            <w:tcBorders>
              <w:top w:val="single" w:sz="4" w:space="0" w:color="auto"/>
              <w:bottom w:val="single" w:sz="4" w:space="0" w:color="auto"/>
            </w:tcBorders>
            <w:shd w:val="clear" w:color="auto" w:fill="auto"/>
            <w:vAlign w:val="bottom"/>
          </w:tcPr>
          <w:p w14:paraId="2B7DAF4B" w14:textId="77777777" w:rsidR="00A8418B" w:rsidRPr="00E0165C" w:rsidRDefault="00A8418B" w:rsidP="002E0BD4">
            <w:pPr>
              <w:pStyle w:val="tablerow0"/>
              <w:keepNext/>
            </w:pPr>
            <w:r w:rsidRPr="00E0165C">
              <w:t>Task</w:t>
            </w:r>
          </w:p>
        </w:tc>
      </w:tr>
      <w:tr w:rsidR="00C95BDE" w:rsidRPr="00534FF2" w14:paraId="3AD0B027" w14:textId="77777777" w:rsidTr="00A8418B">
        <w:trPr>
          <w:trHeight w:val="216"/>
        </w:trPr>
        <w:tc>
          <w:tcPr>
            <w:tcW w:w="1260" w:type="dxa"/>
          </w:tcPr>
          <w:p w14:paraId="01E8FB8C" w14:textId="77777777" w:rsidR="00C95BDE" w:rsidRPr="00E0165C" w:rsidRDefault="00AF4B4F" w:rsidP="002E0BD4">
            <w:pPr>
              <w:pStyle w:val="tablerow0"/>
              <w:keepNext/>
            </w:pPr>
            <w:r>
              <w:t>Jul - Aug</w:t>
            </w:r>
          </w:p>
        </w:tc>
        <w:tc>
          <w:tcPr>
            <w:tcW w:w="8100" w:type="dxa"/>
            <w:vAlign w:val="bottom"/>
          </w:tcPr>
          <w:p w14:paraId="6206D2C5" w14:textId="77777777" w:rsidR="00C95BDE" w:rsidRPr="00E0165C" w:rsidRDefault="00C95BDE" w:rsidP="002E0BD4">
            <w:pPr>
              <w:pStyle w:val="tablerow0"/>
              <w:keepNext/>
            </w:pPr>
            <w:r w:rsidRPr="00E0165C">
              <w:t xml:space="preserve">Review SWHS preliminary estimates of halibut harvest for </w:t>
            </w:r>
            <w:r w:rsidR="00E0165C" w:rsidRPr="00E0165C">
              <w:t>previous year</w:t>
            </w:r>
            <w:r w:rsidRPr="00E0165C">
              <w:t>.</w:t>
            </w:r>
          </w:p>
        </w:tc>
      </w:tr>
      <w:tr w:rsidR="00C95BDE" w:rsidRPr="00534FF2" w14:paraId="6896F976" w14:textId="77777777" w:rsidTr="00E0165C">
        <w:trPr>
          <w:trHeight w:val="216"/>
        </w:trPr>
        <w:tc>
          <w:tcPr>
            <w:tcW w:w="1260" w:type="dxa"/>
            <w:vMerge w:val="restart"/>
            <w:shd w:val="clear" w:color="auto" w:fill="auto"/>
          </w:tcPr>
          <w:p w14:paraId="730297D0" w14:textId="77777777" w:rsidR="00C95BDE" w:rsidRPr="00E0165C" w:rsidRDefault="00C95BDE" w:rsidP="002E0BD4">
            <w:pPr>
              <w:pStyle w:val="tablerow0"/>
              <w:keepNext/>
            </w:pPr>
            <w:r w:rsidRPr="00E0165C">
              <w:t>Sep</w:t>
            </w:r>
            <w:r w:rsidR="00AF4B4F">
              <w:t xml:space="preserve">t </w:t>
            </w:r>
            <w:r w:rsidRPr="00E0165C">
              <w:t>-</w:t>
            </w:r>
            <w:r w:rsidR="00AF4B4F">
              <w:t xml:space="preserve"> </w:t>
            </w:r>
            <w:r w:rsidRPr="00E0165C">
              <w:t>Oct</w:t>
            </w:r>
          </w:p>
        </w:tc>
        <w:tc>
          <w:tcPr>
            <w:tcW w:w="8100" w:type="dxa"/>
            <w:shd w:val="clear" w:color="auto" w:fill="auto"/>
            <w:vAlign w:val="bottom"/>
          </w:tcPr>
          <w:p w14:paraId="458709FD" w14:textId="77777777" w:rsidR="00C95BDE" w:rsidRPr="00E0165C" w:rsidRDefault="00C95BDE" w:rsidP="002E0BD4">
            <w:pPr>
              <w:pStyle w:val="tablerow0"/>
              <w:keepNext/>
            </w:pPr>
            <w:r w:rsidRPr="00E0165C">
              <w:t>Finalize previous year’s harvest and release mortality estimates.</w:t>
            </w:r>
          </w:p>
        </w:tc>
      </w:tr>
      <w:tr w:rsidR="00C95BDE" w:rsidRPr="00534FF2" w14:paraId="75667DFC" w14:textId="77777777" w:rsidTr="00E0165C">
        <w:trPr>
          <w:trHeight w:val="216"/>
        </w:trPr>
        <w:tc>
          <w:tcPr>
            <w:tcW w:w="1260" w:type="dxa"/>
            <w:vMerge/>
            <w:shd w:val="clear" w:color="auto" w:fill="auto"/>
          </w:tcPr>
          <w:p w14:paraId="02ED19CF" w14:textId="77777777" w:rsidR="00C95BDE" w:rsidRPr="00E0165C" w:rsidRDefault="00C95BDE" w:rsidP="002E0BD4">
            <w:pPr>
              <w:pStyle w:val="tablerow0"/>
              <w:keepNext/>
            </w:pPr>
          </w:p>
        </w:tc>
        <w:tc>
          <w:tcPr>
            <w:tcW w:w="8100" w:type="dxa"/>
            <w:shd w:val="clear" w:color="auto" w:fill="auto"/>
            <w:vAlign w:val="bottom"/>
          </w:tcPr>
          <w:p w14:paraId="5D03C9ED" w14:textId="77777777" w:rsidR="00C95BDE" w:rsidRPr="00E0165C" w:rsidRDefault="00C95BDE" w:rsidP="002E0BD4">
            <w:pPr>
              <w:pStyle w:val="tablerow0"/>
              <w:keepNext/>
            </w:pPr>
            <w:r w:rsidRPr="00E0165C">
              <w:t>Calculate harvest and release mortality projections for current year.</w:t>
            </w:r>
          </w:p>
        </w:tc>
      </w:tr>
      <w:tr w:rsidR="00C95BDE" w:rsidRPr="00534FF2" w14:paraId="4F5C7FBC" w14:textId="77777777" w:rsidTr="00E0165C">
        <w:trPr>
          <w:trHeight w:val="216"/>
        </w:trPr>
        <w:tc>
          <w:tcPr>
            <w:tcW w:w="1260" w:type="dxa"/>
            <w:vMerge/>
            <w:shd w:val="clear" w:color="auto" w:fill="auto"/>
          </w:tcPr>
          <w:p w14:paraId="77FC2B2C" w14:textId="77777777" w:rsidR="00C95BDE" w:rsidRPr="00E0165C" w:rsidRDefault="00C95BDE" w:rsidP="002E0BD4">
            <w:pPr>
              <w:pStyle w:val="tablerow0"/>
              <w:keepNext/>
            </w:pPr>
          </w:p>
        </w:tc>
        <w:tc>
          <w:tcPr>
            <w:tcW w:w="8100" w:type="dxa"/>
            <w:shd w:val="clear" w:color="auto" w:fill="auto"/>
            <w:vAlign w:val="bottom"/>
          </w:tcPr>
          <w:p w14:paraId="2011364A" w14:textId="77777777" w:rsidR="00C95BDE" w:rsidRPr="00E0165C" w:rsidRDefault="00C95BDE" w:rsidP="002E0BD4">
            <w:pPr>
              <w:pStyle w:val="tablerow0"/>
              <w:keepNext/>
            </w:pPr>
            <w:r w:rsidRPr="00E0165C">
              <w:t xml:space="preserve">Estimate charter and </w:t>
            </w:r>
            <w:r w:rsidR="00A04F70" w:rsidRPr="00E0165C">
              <w:t>unguided</w:t>
            </w:r>
            <w:r w:rsidRPr="00E0165C">
              <w:t xml:space="preserve"> harvest prior to the mean IPHC survey date</w:t>
            </w:r>
            <w:r w:rsidR="00E0165C" w:rsidRPr="00E0165C">
              <w:t xml:space="preserve"> for the previous year</w:t>
            </w:r>
            <w:r w:rsidRPr="00E0165C">
              <w:t>.</w:t>
            </w:r>
          </w:p>
        </w:tc>
      </w:tr>
      <w:tr w:rsidR="00C95BDE" w:rsidRPr="00534FF2" w14:paraId="6D58E4A8" w14:textId="77777777" w:rsidTr="00E0165C">
        <w:trPr>
          <w:trHeight w:val="216"/>
        </w:trPr>
        <w:tc>
          <w:tcPr>
            <w:tcW w:w="1260" w:type="dxa"/>
            <w:vMerge/>
            <w:shd w:val="clear" w:color="auto" w:fill="auto"/>
            <w:vAlign w:val="bottom"/>
          </w:tcPr>
          <w:p w14:paraId="2A9D3ABF" w14:textId="77777777" w:rsidR="00C95BDE" w:rsidRPr="00E0165C" w:rsidRDefault="00C95BDE" w:rsidP="002E0BD4">
            <w:pPr>
              <w:pStyle w:val="tablerow0"/>
              <w:keepNext/>
            </w:pPr>
          </w:p>
        </w:tc>
        <w:tc>
          <w:tcPr>
            <w:tcW w:w="8100" w:type="dxa"/>
            <w:shd w:val="clear" w:color="auto" w:fill="auto"/>
            <w:vAlign w:val="bottom"/>
          </w:tcPr>
          <w:p w14:paraId="6CE376FE" w14:textId="77777777" w:rsidR="00C95BDE" w:rsidRPr="00E0165C" w:rsidRDefault="00C95BDE" w:rsidP="002E0BD4">
            <w:pPr>
              <w:pStyle w:val="tablerow0"/>
              <w:keepNext/>
            </w:pPr>
            <w:r w:rsidRPr="00E0165C">
              <w:t xml:space="preserve">Submit annual letter to IPHC containing </w:t>
            </w:r>
            <w:r w:rsidR="00B0487C" w:rsidRPr="00E0165C">
              <w:t>information needed for stock assessment.</w:t>
            </w:r>
          </w:p>
        </w:tc>
      </w:tr>
      <w:tr w:rsidR="00C95BDE" w:rsidRPr="00534FF2" w14:paraId="09BD094B" w14:textId="77777777" w:rsidTr="00E0165C">
        <w:trPr>
          <w:trHeight w:val="216"/>
        </w:trPr>
        <w:tc>
          <w:tcPr>
            <w:tcW w:w="1260" w:type="dxa"/>
            <w:vMerge/>
            <w:shd w:val="clear" w:color="auto" w:fill="auto"/>
            <w:vAlign w:val="bottom"/>
          </w:tcPr>
          <w:p w14:paraId="064900F0" w14:textId="77777777" w:rsidR="00C95BDE" w:rsidRPr="00E0165C" w:rsidRDefault="00C95BDE" w:rsidP="002E0BD4">
            <w:pPr>
              <w:pStyle w:val="tablerow0"/>
              <w:keepNext/>
            </w:pPr>
          </w:p>
        </w:tc>
        <w:tc>
          <w:tcPr>
            <w:tcW w:w="8100" w:type="dxa"/>
            <w:shd w:val="clear" w:color="auto" w:fill="auto"/>
            <w:vAlign w:val="bottom"/>
          </w:tcPr>
          <w:p w14:paraId="39B5AD10" w14:textId="77777777" w:rsidR="00C95BDE" w:rsidRPr="00E0165C" w:rsidRDefault="00B0487C" w:rsidP="002E0BD4">
            <w:pPr>
              <w:pStyle w:val="tablerow0"/>
              <w:keepNext/>
            </w:pPr>
            <w:r w:rsidRPr="00E0165C">
              <w:t xml:space="preserve">Meet with Halibut Charter </w:t>
            </w:r>
            <w:r w:rsidR="00E0165C" w:rsidRPr="00E0165C">
              <w:t>Management</w:t>
            </w:r>
            <w:r w:rsidRPr="00E0165C">
              <w:t xml:space="preserve"> Committee to present </w:t>
            </w:r>
            <w:r w:rsidR="00E0165C" w:rsidRPr="00E0165C">
              <w:t xml:space="preserve">removals </w:t>
            </w:r>
            <w:r w:rsidRPr="00E0165C">
              <w:t>estimates and solicit candidate management measures to analyze for the coming year.</w:t>
            </w:r>
          </w:p>
        </w:tc>
      </w:tr>
      <w:tr w:rsidR="00C95BDE" w:rsidRPr="00534FF2" w14:paraId="43A9F54B" w14:textId="77777777" w:rsidTr="00E0165C">
        <w:trPr>
          <w:trHeight w:val="216"/>
        </w:trPr>
        <w:tc>
          <w:tcPr>
            <w:tcW w:w="1260" w:type="dxa"/>
            <w:shd w:val="clear" w:color="auto" w:fill="auto"/>
            <w:vAlign w:val="bottom"/>
          </w:tcPr>
          <w:p w14:paraId="341A4ADA" w14:textId="77777777" w:rsidR="00C95BDE" w:rsidRPr="00E0165C" w:rsidRDefault="00C95BDE" w:rsidP="002E0BD4">
            <w:pPr>
              <w:pStyle w:val="tablerow0"/>
              <w:keepNext/>
            </w:pPr>
          </w:p>
        </w:tc>
        <w:tc>
          <w:tcPr>
            <w:tcW w:w="8100" w:type="dxa"/>
            <w:shd w:val="clear" w:color="auto" w:fill="auto"/>
            <w:vAlign w:val="bottom"/>
          </w:tcPr>
          <w:p w14:paraId="6FB66768" w14:textId="77777777" w:rsidR="00C95BDE" w:rsidRPr="00E0165C" w:rsidRDefault="00B0487C" w:rsidP="002E0BD4">
            <w:pPr>
              <w:pStyle w:val="tablerow0"/>
              <w:keepNext/>
            </w:pPr>
            <w:r w:rsidRPr="00E0165C">
              <w:t>Commence analysis of management measures, including harvest forecasts under each alternative scenario.</w:t>
            </w:r>
          </w:p>
        </w:tc>
      </w:tr>
      <w:tr w:rsidR="00B0487C" w:rsidRPr="00534FF2" w14:paraId="04BDAAC9" w14:textId="77777777" w:rsidTr="00A8418B">
        <w:trPr>
          <w:trHeight w:val="216"/>
        </w:trPr>
        <w:tc>
          <w:tcPr>
            <w:tcW w:w="1260" w:type="dxa"/>
          </w:tcPr>
          <w:p w14:paraId="6A342977" w14:textId="77777777" w:rsidR="00B0487C" w:rsidRPr="00253809" w:rsidRDefault="00B0487C" w:rsidP="002E0BD4">
            <w:pPr>
              <w:pStyle w:val="tablerow0"/>
              <w:keepNext/>
            </w:pPr>
            <w:r w:rsidRPr="00253809">
              <w:t>Nov</w:t>
            </w:r>
            <w:r w:rsidR="00AF4B4F">
              <w:t xml:space="preserve"> </w:t>
            </w:r>
            <w:r w:rsidRPr="00253809">
              <w:t>-</w:t>
            </w:r>
            <w:r w:rsidR="00AF4B4F">
              <w:t xml:space="preserve"> </w:t>
            </w:r>
            <w:r w:rsidRPr="00253809">
              <w:t>Dec</w:t>
            </w:r>
          </w:p>
        </w:tc>
        <w:tc>
          <w:tcPr>
            <w:tcW w:w="8100" w:type="dxa"/>
            <w:vAlign w:val="bottom"/>
          </w:tcPr>
          <w:p w14:paraId="6E27B7A8" w14:textId="77777777" w:rsidR="00B0487C" w:rsidRPr="00253809" w:rsidRDefault="00B0487C" w:rsidP="002E0BD4">
            <w:pPr>
              <w:pStyle w:val="tablerow0"/>
              <w:keepNext/>
            </w:pPr>
            <w:r w:rsidRPr="00253809">
              <w:t>Finalize analysis of management measures. Attend IPHC Interim meeting to obtain harvest targets</w:t>
            </w:r>
            <w:r w:rsidR="00253809" w:rsidRPr="00253809">
              <w:t xml:space="preserve"> and provide details on </w:t>
            </w:r>
            <w:r w:rsidR="00253809">
              <w:t xml:space="preserve">recreational </w:t>
            </w:r>
            <w:r w:rsidR="00253809" w:rsidRPr="00253809">
              <w:t>harvest information, upon request</w:t>
            </w:r>
            <w:r w:rsidRPr="00253809">
              <w:t>.</w:t>
            </w:r>
          </w:p>
        </w:tc>
      </w:tr>
      <w:tr w:rsidR="00C95BDE" w:rsidRPr="00534FF2" w14:paraId="712D758E" w14:textId="77777777" w:rsidTr="00B0487C">
        <w:trPr>
          <w:trHeight w:val="216"/>
        </w:trPr>
        <w:tc>
          <w:tcPr>
            <w:tcW w:w="1260" w:type="dxa"/>
          </w:tcPr>
          <w:p w14:paraId="7B4D9325" w14:textId="77777777" w:rsidR="00C95BDE" w:rsidRPr="00AF4B4F" w:rsidRDefault="00C95BDE" w:rsidP="002E0BD4">
            <w:pPr>
              <w:pStyle w:val="tablerow0"/>
              <w:keepNext/>
            </w:pPr>
          </w:p>
        </w:tc>
        <w:tc>
          <w:tcPr>
            <w:tcW w:w="8100" w:type="dxa"/>
            <w:vAlign w:val="bottom"/>
          </w:tcPr>
          <w:p w14:paraId="6A12E022" w14:textId="77777777" w:rsidR="00C95BDE" w:rsidRPr="00AF4B4F" w:rsidRDefault="00B0487C" w:rsidP="002E0BD4">
            <w:pPr>
              <w:pStyle w:val="tablerow0"/>
              <w:keepNext/>
            </w:pPr>
            <w:r w:rsidRPr="00AF4B4F">
              <w:t xml:space="preserve">Attend </w:t>
            </w:r>
            <w:r w:rsidR="00AF4B4F" w:rsidRPr="00AF4B4F">
              <w:t>NPFMC</w:t>
            </w:r>
            <w:r w:rsidRPr="00AF4B4F">
              <w:t xml:space="preserve"> meeting to present finalized harvest estimates, harvest projections for the current year, and analysis of </w:t>
            </w:r>
            <w:r w:rsidR="00AF4B4F" w:rsidRPr="00AF4B4F">
              <w:t xml:space="preserve">alternative </w:t>
            </w:r>
            <w:r w:rsidRPr="00AF4B4F">
              <w:t>management</w:t>
            </w:r>
            <w:r w:rsidR="00AF4B4F" w:rsidRPr="00AF4B4F">
              <w:t xml:space="preserve"> measures</w:t>
            </w:r>
            <w:r w:rsidRPr="00AF4B4F">
              <w:t>.</w:t>
            </w:r>
          </w:p>
        </w:tc>
      </w:tr>
      <w:tr w:rsidR="00C95BDE" w:rsidRPr="00534FF2" w14:paraId="1362BE15" w14:textId="77777777" w:rsidTr="006727D4">
        <w:trPr>
          <w:trHeight w:val="216"/>
        </w:trPr>
        <w:tc>
          <w:tcPr>
            <w:tcW w:w="1260" w:type="dxa"/>
          </w:tcPr>
          <w:p w14:paraId="7803B66D" w14:textId="77777777" w:rsidR="00C95BDE" w:rsidRPr="00AF4B4F" w:rsidRDefault="00C95BDE" w:rsidP="002E0BD4">
            <w:pPr>
              <w:pStyle w:val="tablerow0"/>
              <w:keepNext/>
              <w:jc w:val="left"/>
            </w:pPr>
            <w:r w:rsidRPr="00AF4B4F">
              <w:t>Jan</w:t>
            </w:r>
          </w:p>
        </w:tc>
        <w:tc>
          <w:tcPr>
            <w:tcW w:w="8100" w:type="dxa"/>
            <w:vAlign w:val="bottom"/>
          </w:tcPr>
          <w:p w14:paraId="417A7EE4" w14:textId="77777777" w:rsidR="00C95BDE" w:rsidRPr="00AF4B4F" w:rsidRDefault="00B0487C" w:rsidP="002E0BD4">
            <w:pPr>
              <w:pStyle w:val="tablerow0"/>
              <w:keepNext/>
            </w:pPr>
            <w:r w:rsidRPr="00AF4B4F">
              <w:t xml:space="preserve">Attend IPHC Annual Meeting, present </w:t>
            </w:r>
            <w:r w:rsidR="00AF4B4F" w:rsidRPr="00AF4B4F">
              <w:t>recreational</w:t>
            </w:r>
            <w:r w:rsidRPr="00AF4B4F">
              <w:t xml:space="preserve"> fishery information and analysis of </w:t>
            </w:r>
            <w:r w:rsidR="00AF4B4F" w:rsidRPr="00AF4B4F">
              <w:t xml:space="preserve">alternative </w:t>
            </w:r>
            <w:r w:rsidRPr="00AF4B4F">
              <w:t>management measures.</w:t>
            </w:r>
          </w:p>
        </w:tc>
      </w:tr>
      <w:tr w:rsidR="00C95BDE" w:rsidRPr="00534FF2" w14:paraId="04C54109" w14:textId="77777777" w:rsidTr="00AF4B4F">
        <w:trPr>
          <w:trHeight w:val="216"/>
        </w:trPr>
        <w:tc>
          <w:tcPr>
            <w:tcW w:w="1260" w:type="dxa"/>
            <w:tcBorders>
              <w:bottom w:val="single" w:sz="4" w:space="0" w:color="auto"/>
            </w:tcBorders>
          </w:tcPr>
          <w:p w14:paraId="4E22E985" w14:textId="77777777" w:rsidR="00C95BDE" w:rsidRPr="00AF4B4F" w:rsidRDefault="00C95BDE" w:rsidP="00AF4B4F">
            <w:pPr>
              <w:pStyle w:val="tablerow0"/>
              <w:jc w:val="left"/>
            </w:pPr>
            <w:r w:rsidRPr="00AF4B4F">
              <w:t>Feb</w:t>
            </w:r>
            <w:r w:rsidR="00AF4B4F">
              <w:t xml:space="preserve"> </w:t>
            </w:r>
            <w:r w:rsidRPr="00AF4B4F">
              <w:t>-</w:t>
            </w:r>
            <w:r w:rsidR="00AF4B4F">
              <w:t xml:space="preserve"> </w:t>
            </w:r>
            <w:r w:rsidRPr="00AF4B4F">
              <w:t>Jun</w:t>
            </w:r>
          </w:p>
        </w:tc>
        <w:tc>
          <w:tcPr>
            <w:tcW w:w="8100" w:type="dxa"/>
            <w:tcBorders>
              <w:bottom w:val="single" w:sz="4" w:space="0" w:color="auto"/>
            </w:tcBorders>
          </w:tcPr>
          <w:p w14:paraId="2C656E81" w14:textId="77777777" w:rsidR="00C95BDE" w:rsidRDefault="00B0487C" w:rsidP="00AF4B4F">
            <w:pPr>
              <w:pStyle w:val="tablerow0"/>
              <w:jc w:val="left"/>
            </w:pPr>
            <w:r w:rsidRPr="00AF4B4F">
              <w:t>Project planning, report completion.</w:t>
            </w:r>
          </w:p>
          <w:p w14:paraId="4A4D26E0" w14:textId="77777777" w:rsidR="00AF4B4F" w:rsidRDefault="00AF4B4F" w:rsidP="00AF4B4F">
            <w:pPr>
              <w:pStyle w:val="tablerow0"/>
              <w:jc w:val="left"/>
            </w:pPr>
            <w:r>
              <w:t>Revise operational plan, including review of estimations methods and data inputs.</w:t>
            </w:r>
          </w:p>
          <w:p w14:paraId="0CD93B51" w14:textId="77777777" w:rsidR="00AF4B4F" w:rsidRPr="00AF4B4F" w:rsidRDefault="00AF4B4F" w:rsidP="00AF4B4F">
            <w:pPr>
              <w:pStyle w:val="tablerow0"/>
              <w:jc w:val="left"/>
            </w:pPr>
            <w:r>
              <w:t>Assist NPFMC and NMFS staff with analyses related to pending halibut actions.</w:t>
            </w:r>
          </w:p>
        </w:tc>
      </w:tr>
    </w:tbl>
    <w:p w14:paraId="1E5CA900" w14:textId="77777777" w:rsidR="00A8418B" w:rsidRPr="00534FF2" w:rsidRDefault="00A8418B" w:rsidP="00A8418B">
      <w:pPr>
        <w:rPr>
          <w:sz w:val="22"/>
          <w:szCs w:val="22"/>
          <w:highlight w:val="yellow"/>
        </w:rPr>
      </w:pPr>
    </w:p>
    <w:p w14:paraId="63CC175A" w14:textId="77777777" w:rsidR="00A8418B" w:rsidRPr="00AF4B4F" w:rsidRDefault="00A8418B" w:rsidP="00A8418B">
      <w:pPr>
        <w:pStyle w:val="Heading1"/>
      </w:pPr>
      <w:bookmarkStart w:id="50" w:name="_Toc398217619"/>
      <w:r w:rsidRPr="00AF4B4F">
        <w:t>Responsibilities</w:t>
      </w:r>
      <w:bookmarkEnd w:id="50"/>
    </w:p>
    <w:p w14:paraId="27A8B3EF" w14:textId="77777777" w:rsidR="00A8418B" w:rsidRPr="00AF4B4F" w:rsidRDefault="00AF4B4F" w:rsidP="009B03F1">
      <w:r w:rsidRPr="00AF4B4F">
        <w:t xml:space="preserve">Sarah Webster </w:t>
      </w:r>
      <w:r w:rsidR="00A8418B" w:rsidRPr="00AF4B4F">
        <w:t>(Fishery Biologist):</w:t>
      </w:r>
    </w:p>
    <w:p w14:paraId="0E0BA24E" w14:textId="77777777" w:rsidR="00A8418B" w:rsidRPr="00AF4B4F" w:rsidRDefault="00A8418B" w:rsidP="009B03F1">
      <w:r w:rsidRPr="00AF4B4F">
        <w:t xml:space="preserve">Primarily responsible for coordination of operational planning, development of methods, coordination and compilation of data components, producing estimates, and reporting. </w:t>
      </w:r>
    </w:p>
    <w:p w14:paraId="6F5E52F0" w14:textId="77777777" w:rsidR="00A8418B" w:rsidRPr="00AF4B4F" w:rsidRDefault="00A8418B" w:rsidP="009B03F1">
      <w:r w:rsidRPr="00AF4B4F">
        <w:t>In coordination with the Commissioner’s office, serves as principal Sport Fish Division contact to the IPHC, NPFMC, and NMFS on technical issues concerning halibut catch estimation and other analyses needed for allocation and management of halibut. Reviews ADF&amp;G marine fishery monitoring programs to ensure collection of appropriate data for federal assessments and management, produces estimates of recreational halibut harvest and analyzes alternative management measures for the charter fishery. Presents sport fishery information at regular meetings of the NPFMC and IPHC, and coordinates responses to routine information requests from various stakeholders.</w:t>
      </w:r>
    </w:p>
    <w:p w14:paraId="10A0C1C5" w14:textId="2C758C74" w:rsidR="00A8418B" w:rsidRPr="00955E19" w:rsidRDefault="00087E63" w:rsidP="009B03F1">
      <w:r w:rsidRPr="00087E63">
        <w:t>Benjamin Buzzee</w:t>
      </w:r>
      <w:r w:rsidR="00A8418B" w:rsidRPr="00087E63">
        <w:t xml:space="preserve"> (</w:t>
      </w:r>
      <w:r w:rsidR="00A8418B" w:rsidRPr="00955E19">
        <w:t>Biometrician):</w:t>
      </w:r>
    </w:p>
    <w:p w14:paraId="02364A5C" w14:textId="77777777" w:rsidR="00A8418B" w:rsidRPr="00955E19" w:rsidRDefault="00A8418B" w:rsidP="009B03F1">
      <w:r w:rsidRPr="00955E19">
        <w:lastRenderedPageBreak/>
        <w:t xml:space="preserve">Serves as primary consulting biometrician, providing technical advice and assistance with methods of estimation, forecasting, and modeling. Assists with preparation of the operational plan as well as letters, reports, or presentations of halibut harvest estimates and projections. </w:t>
      </w:r>
    </w:p>
    <w:p w14:paraId="77CF49D7" w14:textId="77777777" w:rsidR="00A8418B" w:rsidRPr="001E2818" w:rsidRDefault="00A8418B" w:rsidP="009B03F1">
      <w:r w:rsidRPr="001E2818">
        <w:t xml:space="preserve">Michael Jaenicke (Fishery Biologist), Diana Tersteeg (Research Analyst), </w:t>
      </w:r>
      <w:r w:rsidR="00AF4B4F" w:rsidRPr="001E2818">
        <w:t>Martin Schuster</w:t>
      </w:r>
      <w:r w:rsidRPr="001E2818">
        <w:t xml:space="preserve"> (Fishery Biologist)</w:t>
      </w:r>
      <w:r w:rsidR="00AF4B4F" w:rsidRPr="001E2818">
        <w:t xml:space="preserve"> and Marian Ford (Fishery Biologist):</w:t>
      </w:r>
    </w:p>
    <w:p w14:paraId="6650B391" w14:textId="77777777" w:rsidR="00A8418B" w:rsidRPr="00955E19" w:rsidRDefault="00A8418B" w:rsidP="009B03F1">
      <w:r w:rsidRPr="001E2818">
        <w:t xml:space="preserve">Oversee collection of halibut fishery data from the Southeast and Southcentral region catch monitoring programs. Provide raw and summarized </w:t>
      </w:r>
      <w:r w:rsidRPr="00955E19">
        <w:t xml:space="preserve">data as </w:t>
      </w:r>
      <w:proofErr w:type="gramStart"/>
      <w:r w:rsidRPr="00955E19">
        <w:t>needed, and</w:t>
      </w:r>
      <w:proofErr w:type="gramEnd"/>
      <w:r w:rsidRPr="00955E19">
        <w:t xml:space="preserve"> provide estimates of average weight and the proportion of harvest taken prior to the average survey date, by port. Assist with final report preparation, attend meetings of federal management agencies, and assist with presentation of data. </w:t>
      </w:r>
    </w:p>
    <w:p w14:paraId="4105B930" w14:textId="77777777" w:rsidR="00A8418B" w:rsidRPr="00C160DD" w:rsidRDefault="00C160DD" w:rsidP="009B03F1">
      <w:r w:rsidRPr="00C160DD">
        <w:t>Mike Martz</w:t>
      </w:r>
      <w:r w:rsidR="00A8418B" w:rsidRPr="00C160DD">
        <w:t xml:space="preserve"> (Research Analyst)</w:t>
      </w:r>
      <w:r w:rsidR="00B8249B" w:rsidRPr="00C160DD">
        <w:t>:</w:t>
      </w:r>
    </w:p>
    <w:p w14:paraId="139E356A" w14:textId="77777777" w:rsidR="00A8418B" w:rsidRPr="00C160DD" w:rsidRDefault="00A8418B" w:rsidP="009B03F1">
      <w:r w:rsidRPr="00C160DD">
        <w:t xml:space="preserve">Provides annual summaries of SWHS estimates of charter and </w:t>
      </w:r>
      <w:r w:rsidR="00A04F70" w:rsidRPr="00C160DD">
        <w:t>unguided</w:t>
      </w:r>
      <w:r w:rsidRPr="00C160DD">
        <w:t xml:space="preserve"> sport halibut harvest (and standard error) by halibut reporting area. May provide special analyses or summaries as part of broader efforts to evaluate the quality of logbook or mail survey estimates.</w:t>
      </w:r>
    </w:p>
    <w:p w14:paraId="3773E838" w14:textId="77777777" w:rsidR="00A8418B" w:rsidRPr="00C160DD" w:rsidRDefault="00A8418B" w:rsidP="009B03F1">
      <w:r w:rsidRPr="00C160DD">
        <w:t>Robert Powers (</w:t>
      </w:r>
      <w:r w:rsidR="00C160DD" w:rsidRPr="00C160DD">
        <w:t>Program Coordinator</w:t>
      </w:r>
      <w:r w:rsidRPr="00C160DD">
        <w:t>)</w:t>
      </w:r>
      <w:r w:rsidR="00B8249B" w:rsidRPr="00C160DD">
        <w:t>:</w:t>
      </w:r>
    </w:p>
    <w:p w14:paraId="74A07579" w14:textId="58395C1C" w:rsidR="00A8418B" w:rsidRPr="00C160DD" w:rsidRDefault="00A8418B" w:rsidP="009B03F1">
      <w:r w:rsidRPr="00C160DD">
        <w:t xml:space="preserve">Provides </w:t>
      </w:r>
      <w:r w:rsidR="00C160DD" w:rsidRPr="00C160DD">
        <w:t xml:space="preserve">annual summaries of </w:t>
      </w:r>
      <w:r w:rsidRPr="00C160DD">
        <w:t>charter logbook data</w:t>
      </w:r>
      <w:r w:rsidR="00C160DD" w:rsidRPr="00C160DD">
        <w:t xml:space="preserve"> on harvest, releases, and effort</w:t>
      </w:r>
      <w:r w:rsidRPr="00C160DD">
        <w:t>.</w:t>
      </w:r>
      <w:r w:rsidR="00C160DD" w:rsidRPr="00C160DD">
        <w:t xml:space="preserve"> Provides information, upon requests, o</w:t>
      </w:r>
      <w:r w:rsidR="000D2BB9">
        <w:t>n</w:t>
      </w:r>
      <w:r w:rsidR="00C160DD" w:rsidRPr="00C160DD">
        <w:t xml:space="preserve"> businesses, vessels, and guides from registration programs. Provides additional summaries or analyses for evaluation of alternative charter management measures.</w:t>
      </w:r>
    </w:p>
    <w:p w14:paraId="4AC78796" w14:textId="77777777" w:rsidR="00A8418B" w:rsidRPr="00534FF2" w:rsidRDefault="00A8418B" w:rsidP="00A8418B">
      <w:pPr>
        <w:rPr>
          <w:sz w:val="22"/>
          <w:szCs w:val="22"/>
          <w:highlight w:val="yellow"/>
        </w:rPr>
      </w:pPr>
    </w:p>
    <w:p w14:paraId="63A95D3B" w14:textId="77777777" w:rsidR="00A8418B" w:rsidRPr="00E61089" w:rsidRDefault="00A8418B" w:rsidP="00A8418B">
      <w:pPr>
        <w:pStyle w:val="Heading1"/>
      </w:pPr>
      <w:bookmarkStart w:id="51" w:name="_Toc398217620"/>
      <w:r w:rsidRPr="00E61089">
        <w:t>Literature Cited</w:t>
      </w:r>
      <w:bookmarkEnd w:id="51"/>
    </w:p>
    <w:p w14:paraId="736A952B" w14:textId="77777777" w:rsidR="00C209C1" w:rsidRPr="00E61089" w:rsidRDefault="00C209C1" w:rsidP="00C209C1">
      <w:pPr>
        <w:pStyle w:val="Lit-Cited"/>
      </w:pPr>
      <w:r w:rsidRPr="00E61089">
        <w:t>Box, G. E. P. and G. M. Jenkins. 1976. Time series analysis: forecasting and control. Holden-Day, San Francisco.</w:t>
      </w:r>
    </w:p>
    <w:p w14:paraId="5AE992AC" w14:textId="77777777" w:rsidR="00C209C1" w:rsidRPr="00E61089" w:rsidRDefault="00C209C1" w:rsidP="00C209C1">
      <w:pPr>
        <w:pStyle w:val="Lit-Cited"/>
      </w:pPr>
      <w:r w:rsidRPr="00E61089">
        <w:t xml:space="preserve">Chapman, B. 2001. Angler creel survey of a </w:t>
      </w:r>
      <w:proofErr w:type="gramStart"/>
      <w:r w:rsidRPr="00E61089">
        <w:t>110 mile</w:t>
      </w:r>
      <w:proofErr w:type="gramEnd"/>
      <w:r w:rsidRPr="00E61089">
        <w:t xml:space="preserve"> segment of the Minnesota River, 1 May 1998-31 October 1998. Minnesota Department of Natural Resources, Division of Fisheries, Federal Aid Sport Fish Restoration Act Completion Report, F29-R(P)-18.</w:t>
      </w:r>
    </w:p>
    <w:p w14:paraId="4DACBAA8" w14:textId="77777777" w:rsidR="00C209C1" w:rsidRPr="00E61089" w:rsidRDefault="00C209C1" w:rsidP="00C209C1">
      <w:pPr>
        <w:pStyle w:val="Lit-Cited"/>
      </w:pPr>
      <w:r w:rsidRPr="00E61089">
        <w:t>Clark, W. G. 1992. Validation of the IPHC length-weight relationship for halibut. International Pacific Halibut Commission, Report of Assessment and Research Activities 1991, pp. 113-116.</w:t>
      </w:r>
    </w:p>
    <w:p w14:paraId="7681A7A1" w14:textId="77777777" w:rsidR="00C209C1" w:rsidRPr="00E13ECB" w:rsidRDefault="00C209C1" w:rsidP="00C209C1">
      <w:pPr>
        <w:pStyle w:val="Lit-Cited"/>
      </w:pPr>
      <w:r w:rsidRPr="00E13ECB">
        <w:t xml:space="preserve">Donaldson, D. et al. 2013. For-hire electronic logbook pilot study in the Gulf of Mexico, Final Report. Report to the Marine Recreational Information Program Operations Team, July 2012. </w:t>
      </w:r>
      <w:hyperlink r:id="rId30" w:history="1">
        <w:r w:rsidRPr="00E13ECB">
          <w:rPr>
            <w:rStyle w:val="Hyperlink"/>
            <w:color w:val="auto"/>
            <w:u w:val="none"/>
          </w:rPr>
          <w:t>http://www.st.nmfs.noaa.gov/</w:t>
        </w:r>
        <w:r w:rsidRPr="00E13ECB">
          <w:rPr>
            <w:rStyle w:val="Hyperlink"/>
            <w:color w:val="auto"/>
            <w:u w:val="none"/>
          </w:rPr>
          <w:br/>
          <w:t>Assets/recreational/pdf/Charter_Boat_Logbook_Project_report.pdf</w:t>
        </w:r>
      </w:hyperlink>
      <w:r w:rsidRPr="00E13ECB">
        <w:t>, accessed September 2014.</w:t>
      </w:r>
    </w:p>
    <w:p w14:paraId="6708BB34" w14:textId="63D57E2F" w:rsidR="006727D4" w:rsidRPr="006052DF" w:rsidRDefault="006727D4" w:rsidP="00C209C1">
      <w:pPr>
        <w:pStyle w:val="Lit-Cited"/>
      </w:pPr>
      <w:proofErr w:type="spellStart"/>
      <w:r w:rsidRPr="006052DF">
        <w:t>Failor</w:t>
      </w:r>
      <w:proofErr w:type="spellEnd"/>
      <w:r w:rsidRPr="006052DF">
        <w:t xml:space="preserve">, B. </w:t>
      </w:r>
      <w:r w:rsidR="00024598" w:rsidRPr="006052DF">
        <w:t xml:space="preserve">2016. Operational Plan: </w:t>
      </w:r>
      <w:r w:rsidRPr="006052DF">
        <w:t xml:space="preserve">Assessment of </w:t>
      </w:r>
      <w:r w:rsidR="00024598" w:rsidRPr="006052DF">
        <w:t>Pacific</w:t>
      </w:r>
      <w:r w:rsidRPr="006052DF">
        <w:t xml:space="preserve"> halibut and groundfish harvest in Southcentral Alaska, 201</w:t>
      </w:r>
      <w:r w:rsidR="00024598" w:rsidRPr="006052DF">
        <w:t>6</w:t>
      </w:r>
      <w:r w:rsidRPr="006052DF">
        <w:t>-201</w:t>
      </w:r>
      <w:r w:rsidR="00024598" w:rsidRPr="006052DF">
        <w:t>8</w:t>
      </w:r>
      <w:r w:rsidRPr="006052DF">
        <w:t xml:space="preserve">. Alaska Department of Fish and Game, Division of Sport Fish, Regional Operational Plan </w:t>
      </w:r>
      <w:r w:rsidR="006052DF" w:rsidRPr="006052DF">
        <w:t>ROP.</w:t>
      </w:r>
      <w:r w:rsidRPr="006052DF">
        <w:t>SF.</w:t>
      </w:r>
      <w:r w:rsidR="00024598" w:rsidRPr="006052DF">
        <w:t>2A.2016.20, Anchorage</w:t>
      </w:r>
      <w:r w:rsidRPr="006052DF">
        <w:t>.</w:t>
      </w:r>
    </w:p>
    <w:p w14:paraId="63AD07C5" w14:textId="435B8E37" w:rsidR="009A72AC" w:rsidRPr="00024598" w:rsidRDefault="009A72AC" w:rsidP="00C209C1">
      <w:pPr>
        <w:pStyle w:val="Lit-Cited"/>
      </w:pPr>
      <w:r w:rsidRPr="00024598">
        <w:t xml:space="preserve">Jaenicke. M., D, Tersteeg, and </w:t>
      </w:r>
      <w:r w:rsidR="00024598" w:rsidRPr="00024598">
        <w:t>J. Huang</w:t>
      </w:r>
      <w:r w:rsidRPr="00024598">
        <w:t>. 201</w:t>
      </w:r>
      <w:r w:rsidR="00024598" w:rsidRPr="00024598">
        <w:t>9.</w:t>
      </w:r>
      <w:r w:rsidRPr="00024598">
        <w:t xml:space="preserve"> </w:t>
      </w:r>
      <w:r w:rsidR="00024598" w:rsidRPr="00024598">
        <w:t xml:space="preserve">Operational Plan: </w:t>
      </w:r>
      <w:r w:rsidRPr="00024598">
        <w:t>Southeast Alaska marine boat sport fishery harvest studies</w:t>
      </w:r>
      <w:r w:rsidR="00024598" w:rsidRPr="00024598">
        <w:t>, 2019</w:t>
      </w:r>
      <w:r w:rsidRPr="00024598">
        <w:t xml:space="preserve">. Alaska Department of Fish and Game, Division of Sport Fish, Regional Operational Plan, </w:t>
      </w:r>
      <w:r w:rsidR="00024598" w:rsidRPr="00024598">
        <w:t>SF.1J.2019.05, Anchorage</w:t>
      </w:r>
      <w:r w:rsidRPr="00024598">
        <w:t xml:space="preserve">. </w:t>
      </w:r>
    </w:p>
    <w:p w14:paraId="000FFB58" w14:textId="77777777" w:rsidR="00C209C1" w:rsidRPr="00E61089" w:rsidRDefault="00C209C1" w:rsidP="00C209C1">
      <w:pPr>
        <w:pStyle w:val="Lit-Cited"/>
      </w:pPr>
      <w:r w:rsidRPr="00E61089">
        <w:t>Jensen, E. 2012. Completion report: Mille Lacs Lake creel survey report for open water season of 2011 and winter season of 2010-2011. Minnesota Department of Natural Resources. Federal Aid by the Sport Fish Restoration Act to Minnesota F-29R(P)-29,30.</w:t>
      </w:r>
    </w:p>
    <w:p w14:paraId="002A0C3B" w14:textId="77777777" w:rsidR="00C209C1" w:rsidRPr="00E61089" w:rsidRDefault="00C209C1" w:rsidP="00C209C1">
      <w:pPr>
        <w:pStyle w:val="Lit-Cited"/>
      </w:pPr>
      <w:r w:rsidRPr="00E61089">
        <w:t>Jensen, E. 2013. Completion report: Mille Lacs Lake creel survey report for open water season of 2012 and winter season of 2011-2012. Minnesota Department of Natural Resources. Federal Aid by the Sport Fish Restoration Act to Minnesota F11AF00174.</w:t>
      </w:r>
      <w:r w:rsidRPr="00E61089">
        <w:tab/>
      </w:r>
    </w:p>
    <w:p w14:paraId="6823DBD2" w14:textId="77777777" w:rsidR="00C209C1" w:rsidRPr="00E61089" w:rsidRDefault="00C209C1" w:rsidP="00C209C1">
      <w:pPr>
        <w:pStyle w:val="Lit-Cited"/>
      </w:pPr>
      <w:proofErr w:type="spellStart"/>
      <w:r w:rsidRPr="00E61089">
        <w:rPr>
          <w:rStyle w:val="apple-style-span"/>
          <w:szCs w:val="22"/>
        </w:rPr>
        <w:lastRenderedPageBreak/>
        <w:t>Kaimmer</w:t>
      </w:r>
      <w:proofErr w:type="spellEnd"/>
      <w:r w:rsidRPr="00E61089">
        <w:rPr>
          <w:rStyle w:val="apple-style-span"/>
          <w:szCs w:val="22"/>
        </w:rPr>
        <w:t xml:space="preserve">, S. M. and R. J. </w:t>
      </w:r>
      <w:proofErr w:type="spellStart"/>
      <w:r w:rsidRPr="00E61089">
        <w:rPr>
          <w:rStyle w:val="apple-style-span"/>
          <w:szCs w:val="22"/>
        </w:rPr>
        <w:t>Trumble</w:t>
      </w:r>
      <w:proofErr w:type="spellEnd"/>
      <w:r w:rsidRPr="00E61089">
        <w:rPr>
          <w:rStyle w:val="apple-style-span"/>
          <w:szCs w:val="22"/>
        </w:rPr>
        <w:t>. 1998. Injury, condition, and mortality of Pacific halibut following careful release by Pacific cod and sablefish longline fisheries. Fisheries Research 38:131-144.</w:t>
      </w:r>
    </w:p>
    <w:p w14:paraId="42B4EB1D" w14:textId="77777777" w:rsidR="00C209C1" w:rsidRPr="00E61089" w:rsidRDefault="00C209C1" w:rsidP="00C209C1">
      <w:pPr>
        <w:pStyle w:val="Lit-Cited"/>
      </w:pPr>
      <w:proofErr w:type="spellStart"/>
      <w:r w:rsidRPr="00E61089">
        <w:t>Meerbeek</w:t>
      </w:r>
      <w:proofErr w:type="spellEnd"/>
      <w:r w:rsidRPr="00E61089">
        <w:t>, J. R. 2006. Estimating angler pressure, catch rates, structure of catch, recreation use, and walleye exploitation on Fish Lake reservoir, St. Louis County, Minnesota using a stratified random, roving creel survey. Influence of fishing location choice on fishing success during the early 2005-06 ice-fishing season on Fish Lake Reservoir. Minnesota Department of Natural Resources, Section of Fisheries. Federal Aid Sportfish Restoration Program, Completion Report, Grant No. U-4-NA-1.</w:t>
      </w:r>
    </w:p>
    <w:p w14:paraId="31AC8490" w14:textId="77777777" w:rsidR="00C209C1" w:rsidRPr="00E61089" w:rsidRDefault="00C209C1" w:rsidP="00C209C1">
      <w:pPr>
        <w:pStyle w:val="Lit-Cited"/>
      </w:pPr>
      <w:r w:rsidRPr="00E61089">
        <w:t xml:space="preserve">Meyer, S. 2007. Halibut discard mortality in recreational fisheries in IPHC Areas 2C and 3A. Unpublished discussion paper for North Pacific Fishery Management Council, October 2007 meeting. </w:t>
      </w:r>
      <w:hyperlink r:id="rId31" w:history="1">
        <w:r w:rsidRPr="00E61089">
          <w:rPr>
            <w:rStyle w:val="Hyperlink"/>
            <w:color w:val="auto"/>
            <w:u w:val="none"/>
          </w:rPr>
          <w:t>http://www.fakr.noaa.gov/npfmc/PDFdocuments/halibut/HalibutDiscards907.pdf</w:t>
        </w:r>
      </w:hyperlink>
      <w:r w:rsidRPr="00E61089">
        <w:t xml:space="preserve">. </w:t>
      </w:r>
    </w:p>
    <w:p w14:paraId="426657A9" w14:textId="448C2616" w:rsidR="00C209C1" w:rsidRPr="00E61089" w:rsidRDefault="00C209C1" w:rsidP="00C209C1">
      <w:pPr>
        <w:pStyle w:val="Lit-Cited"/>
      </w:pPr>
      <w:r w:rsidRPr="00E61089">
        <w:t>Meyer, S. 201</w:t>
      </w:r>
      <w:r w:rsidR="00E61089" w:rsidRPr="00E61089">
        <w:t>4.</w:t>
      </w:r>
      <w:r w:rsidRPr="00E61089">
        <w:t xml:space="preserve"> </w:t>
      </w:r>
      <w:r w:rsidR="009A72AC" w:rsidRPr="00E61089">
        <w:t>E</w:t>
      </w:r>
      <w:r w:rsidRPr="00E61089">
        <w:t xml:space="preserve">stimation and projection of statewide halibut harvest. Alaska Department of Fish and Game, Division of Sport Fish, </w:t>
      </w:r>
      <w:r w:rsidR="00E61089" w:rsidRPr="00E61089">
        <w:t>Regional Operational Plan ROP.SF.4A.2014.08, Anchorage</w:t>
      </w:r>
      <w:r w:rsidRPr="00E61089">
        <w:t>.</w:t>
      </w:r>
    </w:p>
    <w:p w14:paraId="6B3DD5F1" w14:textId="77777777" w:rsidR="00C209C1" w:rsidRPr="00E61089" w:rsidRDefault="00C209C1" w:rsidP="00C209C1">
      <w:pPr>
        <w:pStyle w:val="Lit-Cited"/>
      </w:pPr>
      <w:r w:rsidRPr="00E61089">
        <w:t xml:space="preserve">Meyer, S. and B. Powers. 2009. Evaluation of Alaska charter logbook data for 2006-2008. Unpublished report to the North Pacific Fishery Management Council, October 2009. Alaska Department of Fish and Game, Homer.  </w:t>
      </w:r>
      <w:hyperlink r:id="rId32" w:history="1">
        <w:r w:rsidRPr="00E61089">
          <w:rPr>
            <w:rStyle w:val="Hyperlink"/>
            <w:color w:val="auto"/>
            <w:u w:val="none"/>
          </w:rPr>
          <w:t>http://www.fakr.noaa.gov/npfmc/PDFdocuments/halibut/logbookeval909.pdf</w:t>
        </w:r>
      </w:hyperlink>
    </w:p>
    <w:p w14:paraId="3E457FCD" w14:textId="77777777" w:rsidR="00C209C1" w:rsidRPr="00E61089" w:rsidRDefault="00C209C1" w:rsidP="00C209C1">
      <w:pPr>
        <w:pStyle w:val="Lit-Cited"/>
      </w:pPr>
      <w:r w:rsidRPr="00E61089">
        <w:t xml:space="preserve">Minnesota DNR. Year unknown. Experimental/special regulation proposal form for Big Sandy Lake walleye to implement a slot limit in 2011. Unpublished document at </w:t>
      </w:r>
      <w:hyperlink r:id="rId33" w:history="1">
        <w:r w:rsidRPr="00E61089">
          <w:rPr>
            <w:rStyle w:val="Hyperlink"/>
            <w:color w:val="auto"/>
            <w:u w:val="none"/>
          </w:rPr>
          <w:t>www.bslassociation.org/uploads/</w:t>
        </w:r>
        <w:r w:rsidRPr="00E61089">
          <w:rPr>
            <w:rStyle w:val="Hyperlink"/>
            <w:color w:val="auto"/>
            <w:u w:val="none"/>
          </w:rPr>
          <w:br/>
          <w:t>bigsandy_walleye.pdf</w:t>
        </w:r>
      </w:hyperlink>
      <w:r w:rsidRPr="00E61089">
        <w:t>, accessed September 2014.</w:t>
      </w:r>
    </w:p>
    <w:p w14:paraId="0B44C20E" w14:textId="77777777" w:rsidR="00C209C1" w:rsidRPr="00E61089" w:rsidRDefault="00C209C1" w:rsidP="00C209C1">
      <w:pPr>
        <w:pStyle w:val="Lit-Cited"/>
      </w:pPr>
      <w:r w:rsidRPr="00E61089">
        <w:t>Pelham, M. 2004. Buffalo Lake summer creel survey, May 1, 2003 to October 31, 2003. Minnesota Department of Natural Resources, Division of Fisheries. Federal Aid Sport Fish Restoration Act, Completion Report, F-29-R(P)-23.</w:t>
      </w:r>
    </w:p>
    <w:p w14:paraId="5A124DB5" w14:textId="3E62706C" w:rsidR="009B563B" w:rsidRDefault="009B563B" w:rsidP="00C209C1">
      <w:pPr>
        <w:pStyle w:val="Lit-Cited"/>
      </w:pPr>
      <w:proofErr w:type="spellStart"/>
      <w:r>
        <w:t>Peltonen</w:t>
      </w:r>
      <w:proofErr w:type="spellEnd"/>
      <w:r>
        <w:t>, G.J. 1969. Viability of Tagged Pacific Halibut. International Pacific Halibut Commission, Seattle, Washington. Scientific Report No. 52.</w:t>
      </w:r>
    </w:p>
    <w:p w14:paraId="67D539BF" w14:textId="6FA9A455" w:rsidR="007A2EF2" w:rsidRPr="00E61089" w:rsidRDefault="007A2EF2" w:rsidP="00C209C1">
      <w:pPr>
        <w:pStyle w:val="Lit-Cited"/>
      </w:pPr>
      <w:r w:rsidRPr="00E61089">
        <w:t xml:space="preserve">SAS Institute Inc. 2011. </w:t>
      </w:r>
      <w:r w:rsidR="00AB083A" w:rsidRPr="00E61089">
        <w:t>SAS/ETS® 9.3 User’s Guide. SAS Institute Inc., Cary, NC.</w:t>
      </w:r>
    </w:p>
    <w:p w14:paraId="5724C03B" w14:textId="5405940D" w:rsidR="00087E63" w:rsidRDefault="00087E63" w:rsidP="00C209C1">
      <w:pPr>
        <w:pStyle w:val="Lit-Cited"/>
      </w:pPr>
      <w:proofErr w:type="spellStart"/>
      <w:r w:rsidRPr="00087E63">
        <w:t>Seber</w:t>
      </w:r>
      <w:proofErr w:type="spellEnd"/>
      <w:r w:rsidRPr="00087E63">
        <w:t>, G. A. F. 1982. The estimation of animal abundance (and related parameters), second edition. Charles Griffin and Company, Limited, London and High Wycombe.</w:t>
      </w:r>
    </w:p>
    <w:p w14:paraId="1DC888A3" w14:textId="16F88576" w:rsidR="00C209C1" w:rsidRPr="00E61089" w:rsidRDefault="00C209C1" w:rsidP="00C209C1">
      <w:pPr>
        <w:pStyle w:val="Lit-Cited"/>
      </w:pPr>
      <w:proofErr w:type="spellStart"/>
      <w:r w:rsidRPr="00E61089">
        <w:t>Skud</w:t>
      </w:r>
      <w:proofErr w:type="spellEnd"/>
      <w:r w:rsidRPr="00E61089">
        <w:t xml:space="preserve">, B. E. 1975. The sport fishery for halibut: development, recognition, and regulation. International Pacific Halibut Commission, Technical Report No. 13. Seattle. </w:t>
      </w:r>
      <w:hyperlink r:id="rId34" w:history="1">
        <w:r w:rsidRPr="00E61089">
          <w:rPr>
            <w:rStyle w:val="Hyperlink"/>
            <w:color w:val="auto"/>
            <w:u w:val="none"/>
          </w:rPr>
          <w:t>http://www.iphc.int/publications/techrep/tech0013.pdf</w:t>
        </w:r>
      </w:hyperlink>
    </w:p>
    <w:p w14:paraId="522787C7" w14:textId="2AA51E36" w:rsidR="004C3579" w:rsidRDefault="004C3579" w:rsidP="00E13ECB">
      <w:pPr>
        <w:pStyle w:val="Lit-Cited"/>
      </w:pPr>
      <w:r>
        <w:t>Stewart, I. and R. Webster. 2018. Overview of data sources for the Pacific halibut stock assessment, harvest policy, and related analyses. International Pacific Halibut Commission, Seattle, Washington</w:t>
      </w:r>
      <w:r w:rsidR="006E1DCB">
        <w:t>.</w:t>
      </w:r>
      <w:r>
        <w:t xml:space="preserve"> 2019 Annual Meeting Document IPHC-2019-AM095-08.</w:t>
      </w:r>
    </w:p>
    <w:p w14:paraId="7B989C34" w14:textId="4FBE49F1" w:rsidR="00E13ECB" w:rsidRDefault="00E13ECB" w:rsidP="00E13ECB">
      <w:pPr>
        <w:pStyle w:val="Lit-Cited"/>
      </w:pPr>
      <w:r>
        <w:t>Webster, S. and R. Powers. 2018. Analysis of Management Options for the Area 2C and 3A Charter Halibut Fisheries for 2019.</w:t>
      </w:r>
      <w:r w:rsidR="009B563B">
        <w:t xml:space="preserve"> Unpublished report to the North Pacific Fishery Management Council. December 2018. Alaska Department of Fish and Game, Division of Sport Fish, Anchorage. </w:t>
      </w:r>
      <w:r w:rsidR="009B563B" w:rsidRPr="009B563B">
        <w:t>https://www.npfmc.org/wp-content/PDFdocuments/halibut/Charter/2018/2019_Mgt_Analysis.pdf</w:t>
      </w:r>
    </w:p>
    <w:p w14:paraId="616CBDE7" w14:textId="62374987" w:rsidR="00C209C1" w:rsidRPr="00E61089" w:rsidRDefault="00C209C1" w:rsidP="00C209C1">
      <w:pPr>
        <w:pStyle w:val="Lit-Cited"/>
      </w:pPr>
      <w:r w:rsidRPr="00E61089">
        <w:t>Williams, G. H. 1998. Pacific halibut discard mortality rates in the 1990-1996 Alaskan groundfish fisheries, with recommendations for monitoring in 1998. International Pacific Halibut Commission, Report of Assessment and research Activities 1997, pp. 243-255.</w:t>
      </w:r>
    </w:p>
    <w:p w14:paraId="3CF2BA9F" w14:textId="46EE315D" w:rsidR="00A8418B" w:rsidRPr="00E61089" w:rsidRDefault="000D2BB9" w:rsidP="000D2BB9">
      <w:pPr>
        <w:spacing w:after="200" w:line="276" w:lineRule="auto"/>
        <w:jc w:val="left"/>
        <w:rPr>
          <w:color w:val="5F497A"/>
          <w:sz w:val="22"/>
          <w:szCs w:val="22"/>
        </w:rPr>
      </w:pPr>
      <w:r w:rsidRPr="00E61089">
        <w:rPr>
          <w:color w:val="5F497A"/>
          <w:sz w:val="22"/>
          <w:szCs w:val="22"/>
        </w:rPr>
        <w:br w:type="page"/>
      </w:r>
    </w:p>
    <w:p w14:paraId="70FE941A" w14:textId="797036F6" w:rsidR="00A8418B" w:rsidRPr="00955E19" w:rsidRDefault="00A8418B" w:rsidP="00955E19">
      <w:pPr>
        <w:pStyle w:val="Heading1"/>
      </w:pPr>
      <w:bookmarkStart w:id="52" w:name="_Toc398217621"/>
      <w:r w:rsidRPr="00955E19">
        <w:lastRenderedPageBreak/>
        <w:t>Appendices</w:t>
      </w:r>
      <w:bookmarkEnd w:id="52"/>
    </w:p>
    <w:p w14:paraId="7184AB5E" w14:textId="72758A1A" w:rsidR="00A8418B" w:rsidRPr="00014D0A" w:rsidRDefault="00D32F0E" w:rsidP="00D32F0E">
      <w:pPr>
        <w:pStyle w:val="Caption"/>
      </w:pPr>
      <w:bookmarkStart w:id="53" w:name="_Toc400572439"/>
      <w:r w:rsidRPr="00014D0A">
        <w:t xml:space="preserve">Appendix </w:t>
      </w:r>
      <w:fldSimple w:instr=" SEQ Appendix \* ALPHABETIC ">
        <w:r w:rsidR="00831795">
          <w:rPr>
            <w:noProof/>
          </w:rPr>
          <w:t>A</w:t>
        </w:r>
      </w:fldSimple>
      <w:r w:rsidRPr="00014D0A">
        <w:t xml:space="preserve">1. Sample </w:t>
      </w:r>
      <w:proofErr w:type="spellStart"/>
      <w:r w:rsidR="009A72AC" w:rsidRPr="00014D0A">
        <w:t>Open</w:t>
      </w:r>
      <w:r w:rsidRPr="00014D0A">
        <w:t>Bugs</w:t>
      </w:r>
      <w:proofErr w:type="spellEnd"/>
      <w:r w:rsidRPr="00014D0A">
        <w:t xml:space="preserve"> code </w:t>
      </w:r>
      <w:r w:rsidR="009A72AC" w:rsidRPr="00014D0A">
        <w:t>and results of estimation of the</w:t>
      </w:r>
      <w:r w:rsidRPr="00014D0A">
        <w:t xml:space="preserve"> standard error of average weight </w:t>
      </w:r>
      <w:r w:rsidR="009A72AC" w:rsidRPr="00014D0A">
        <w:t xml:space="preserve">and yield </w:t>
      </w:r>
      <w:r w:rsidRPr="00014D0A">
        <w:t xml:space="preserve">for charter and </w:t>
      </w:r>
      <w:r w:rsidR="00A04F70" w:rsidRPr="00014D0A">
        <w:t>unguided</w:t>
      </w:r>
      <w:r w:rsidRPr="00014D0A">
        <w:t xml:space="preserve"> </w:t>
      </w:r>
      <w:r w:rsidR="00631984" w:rsidRPr="00014D0A">
        <w:t>sectors</w:t>
      </w:r>
      <w:r w:rsidRPr="00014D0A">
        <w:t xml:space="preserve"> in IPHC Area 2C (Objective 1).</w:t>
      </w:r>
      <w:bookmarkEnd w:id="53"/>
    </w:p>
    <w:p w14:paraId="09AF3428" w14:textId="77777777" w:rsidR="009A72AC" w:rsidRPr="00534FF2" w:rsidRDefault="009A72AC" w:rsidP="009A72AC">
      <w:pPr>
        <w:rPr>
          <w:highlight w:val="yellow"/>
        </w:rPr>
      </w:pPr>
    </w:p>
    <w:p w14:paraId="21709183" w14:textId="77777777" w:rsidR="001400CC" w:rsidRPr="00014D0A" w:rsidRDefault="001400CC" w:rsidP="001400CC">
      <w:pPr>
        <w:autoSpaceDE w:val="0"/>
        <w:autoSpaceDN w:val="0"/>
        <w:adjustRightInd w:val="0"/>
        <w:spacing w:after="0"/>
        <w:jc w:val="left"/>
        <w:rPr>
          <w:rFonts w:ascii="Arial" w:eastAsiaTheme="minorHAnsi" w:hAnsi="Arial" w:cs="Arial"/>
          <w:b/>
          <w:bCs/>
          <w:color w:val="0000FF"/>
          <w:sz w:val="20"/>
          <w:szCs w:val="20"/>
        </w:rPr>
      </w:pPr>
      <w:r w:rsidRPr="00014D0A">
        <w:rPr>
          <w:rFonts w:ascii="Arial" w:eastAsiaTheme="minorHAnsi" w:hAnsi="Arial" w:cs="Arial"/>
          <w:b/>
          <w:bCs/>
          <w:color w:val="0000FF"/>
          <w:sz w:val="20"/>
          <w:szCs w:val="20"/>
        </w:rPr>
        <w:t>Stratified Halibut Mean Weight:   Area 2</w:t>
      </w:r>
      <w:proofErr w:type="gramStart"/>
      <w:r w:rsidRPr="00014D0A">
        <w:rPr>
          <w:rFonts w:ascii="Arial" w:eastAsiaTheme="minorHAnsi" w:hAnsi="Arial" w:cs="Arial"/>
          <w:b/>
          <w:bCs/>
          <w:color w:val="0000FF"/>
          <w:sz w:val="20"/>
          <w:szCs w:val="20"/>
        </w:rPr>
        <w:t>C,  2017</w:t>
      </w:r>
      <w:proofErr w:type="gramEnd"/>
      <w:r w:rsidRPr="00014D0A">
        <w:rPr>
          <w:rFonts w:ascii="Arial" w:eastAsiaTheme="minorHAnsi" w:hAnsi="Arial" w:cs="Arial"/>
          <w:b/>
          <w:bCs/>
          <w:color w:val="0000FF"/>
          <w:sz w:val="20"/>
          <w:szCs w:val="20"/>
        </w:rPr>
        <w:t xml:space="preserve"> Final</w:t>
      </w:r>
    </w:p>
    <w:p w14:paraId="768B2428" w14:textId="77777777" w:rsidR="00014D0A" w:rsidRDefault="00014D0A" w:rsidP="001400CC">
      <w:pPr>
        <w:autoSpaceDE w:val="0"/>
        <w:autoSpaceDN w:val="0"/>
        <w:adjustRightInd w:val="0"/>
        <w:spacing w:after="0"/>
        <w:jc w:val="left"/>
        <w:rPr>
          <w:rFonts w:ascii="Arial" w:eastAsiaTheme="minorHAnsi" w:hAnsi="Arial" w:cs="Arial"/>
          <w:i/>
          <w:iCs/>
          <w:color w:val="0000FF"/>
          <w:sz w:val="20"/>
          <w:szCs w:val="20"/>
        </w:rPr>
      </w:pPr>
      <w:r w:rsidRPr="00014D0A">
        <w:rPr>
          <w:rFonts w:ascii="Arial" w:eastAsiaTheme="minorHAnsi" w:hAnsi="Arial" w:cs="Arial"/>
          <w:i/>
          <w:iCs/>
          <w:color w:val="0000FF"/>
          <w:sz w:val="20"/>
          <w:szCs w:val="20"/>
        </w:rPr>
        <w:t>weighted by estimated SWHS harvest at individual ports</w:t>
      </w:r>
    </w:p>
    <w:p w14:paraId="52F6FD01" w14:textId="77777777" w:rsidR="001400CC" w:rsidRPr="00014D0A" w:rsidRDefault="001400CC" w:rsidP="001400CC">
      <w:pPr>
        <w:autoSpaceDE w:val="0"/>
        <w:autoSpaceDN w:val="0"/>
        <w:adjustRightInd w:val="0"/>
        <w:spacing w:after="0"/>
        <w:jc w:val="left"/>
        <w:rPr>
          <w:rFonts w:ascii="Arial" w:eastAsiaTheme="minorHAnsi" w:hAnsi="Arial" w:cs="Arial"/>
          <w:b/>
          <w:bCs/>
          <w:color w:val="0000FF"/>
          <w:sz w:val="20"/>
          <w:szCs w:val="20"/>
        </w:rPr>
      </w:pPr>
      <w:proofErr w:type="spellStart"/>
      <w:r w:rsidRPr="00014D0A">
        <w:rPr>
          <w:rFonts w:ascii="Arial" w:eastAsiaTheme="minorHAnsi" w:hAnsi="Arial" w:cs="Arial"/>
          <w:i/>
          <w:iCs/>
          <w:color w:val="0000FF"/>
          <w:sz w:val="20"/>
          <w:szCs w:val="20"/>
        </w:rPr>
        <w:t>Xse</w:t>
      </w:r>
      <w:proofErr w:type="spellEnd"/>
      <w:r w:rsidRPr="00014D0A">
        <w:rPr>
          <w:rFonts w:ascii="Arial" w:eastAsiaTheme="minorHAnsi" w:hAnsi="Arial" w:cs="Arial"/>
          <w:i/>
          <w:iCs/>
          <w:color w:val="0000FF"/>
          <w:sz w:val="20"/>
          <w:szCs w:val="20"/>
        </w:rPr>
        <w:t xml:space="preserve"> are bootstrap standard errors</w:t>
      </w:r>
    </w:p>
    <w:p w14:paraId="6854ED8C" w14:textId="77777777" w:rsidR="001400CC" w:rsidRPr="00014D0A" w:rsidRDefault="001400CC" w:rsidP="001400CC">
      <w:pPr>
        <w:autoSpaceDE w:val="0"/>
        <w:autoSpaceDN w:val="0"/>
        <w:adjustRightInd w:val="0"/>
        <w:spacing w:after="0"/>
        <w:jc w:val="left"/>
        <w:rPr>
          <w:rFonts w:ascii="Arial" w:eastAsiaTheme="minorHAnsi" w:hAnsi="Arial" w:cs="Arial"/>
          <w:color w:val="0000FF"/>
          <w:sz w:val="20"/>
          <w:szCs w:val="20"/>
        </w:rPr>
      </w:pPr>
      <w:r w:rsidRPr="00014D0A">
        <w:rPr>
          <w:rFonts w:ascii="Arial" w:eastAsiaTheme="minorHAnsi" w:hAnsi="Arial" w:cs="Arial"/>
          <w:color w:val="0000FF"/>
          <w:sz w:val="20"/>
          <w:szCs w:val="20"/>
        </w:rPr>
        <w:t xml:space="preserve">N=weighting variable, subject to </w:t>
      </w:r>
      <w:proofErr w:type="spellStart"/>
      <w:r w:rsidRPr="00014D0A">
        <w:rPr>
          <w:rFonts w:ascii="Arial" w:eastAsiaTheme="minorHAnsi" w:hAnsi="Arial" w:cs="Arial"/>
          <w:color w:val="0000FF"/>
          <w:sz w:val="20"/>
          <w:szCs w:val="20"/>
        </w:rPr>
        <w:t>meas</w:t>
      </w:r>
      <w:proofErr w:type="spellEnd"/>
      <w:r w:rsidRPr="00014D0A">
        <w:rPr>
          <w:rFonts w:ascii="Arial" w:eastAsiaTheme="minorHAnsi" w:hAnsi="Arial" w:cs="Arial"/>
          <w:color w:val="0000FF"/>
          <w:sz w:val="20"/>
          <w:szCs w:val="20"/>
        </w:rPr>
        <w:t xml:space="preserve"> errors </w:t>
      </w:r>
      <w:proofErr w:type="spellStart"/>
      <w:r w:rsidRPr="00014D0A">
        <w:rPr>
          <w:rFonts w:ascii="Arial" w:eastAsiaTheme="minorHAnsi" w:hAnsi="Arial" w:cs="Arial"/>
          <w:color w:val="0000FF"/>
          <w:sz w:val="20"/>
          <w:szCs w:val="20"/>
        </w:rPr>
        <w:t>Nse</w:t>
      </w:r>
      <w:proofErr w:type="spellEnd"/>
      <w:r w:rsidRPr="00014D0A">
        <w:rPr>
          <w:rFonts w:ascii="Arial" w:eastAsiaTheme="minorHAnsi" w:hAnsi="Arial" w:cs="Arial"/>
          <w:color w:val="0000FF"/>
          <w:sz w:val="20"/>
          <w:szCs w:val="20"/>
        </w:rPr>
        <w:t xml:space="preserve"> (harvest in this case), </w:t>
      </w:r>
    </w:p>
    <w:p w14:paraId="1D29FA10" w14:textId="77777777" w:rsidR="001400CC" w:rsidRPr="00014D0A" w:rsidRDefault="001400CC" w:rsidP="001400CC">
      <w:pPr>
        <w:autoSpaceDE w:val="0"/>
        <w:autoSpaceDN w:val="0"/>
        <w:adjustRightInd w:val="0"/>
        <w:spacing w:after="0"/>
        <w:jc w:val="left"/>
        <w:rPr>
          <w:rFonts w:ascii="Arial" w:eastAsiaTheme="minorHAnsi" w:hAnsi="Arial" w:cs="Arial"/>
          <w:color w:val="0000FF"/>
          <w:sz w:val="20"/>
          <w:szCs w:val="20"/>
        </w:rPr>
      </w:pPr>
      <w:r w:rsidRPr="00014D0A">
        <w:rPr>
          <w:rFonts w:ascii="Arial" w:eastAsiaTheme="minorHAnsi" w:hAnsi="Arial" w:cs="Arial"/>
          <w:color w:val="0000FF"/>
          <w:sz w:val="20"/>
          <w:szCs w:val="20"/>
        </w:rPr>
        <w:t xml:space="preserve">X=variable of interest, subject to </w:t>
      </w:r>
      <w:proofErr w:type="spellStart"/>
      <w:r w:rsidRPr="00014D0A">
        <w:rPr>
          <w:rFonts w:ascii="Arial" w:eastAsiaTheme="minorHAnsi" w:hAnsi="Arial" w:cs="Arial"/>
          <w:color w:val="0000FF"/>
          <w:sz w:val="20"/>
          <w:szCs w:val="20"/>
        </w:rPr>
        <w:t>meas</w:t>
      </w:r>
      <w:proofErr w:type="spellEnd"/>
      <w:r w:rsidRPr="00014D0A">
        <w:rPr>
          <w:rFonts w:ascii="Arial" w:eastAsiaTheme="minorHAnsi" w:hAnsi="Arial" w:cs="Arial"/>
          <w:color w:val="0000FF"/>
          <w:sz w:val="20"/>
          <w:szCs w:val="20"/>
        </w:rPr>
        <w:t xml:space="preserve"> errors </w:t>
      </w:r>
      <w:proofErr w:type="spellStart"/>
      <w:r w:rsidRPr="00014D0A">
        <w:rPr>
          <w:rFonts w:ascii="Arial" w:eastAsiaTheme="minorHAnsi" w:hAnsi="Arial" w:cs="Arial"/>
          <w:color w:val="0000FF"/>
          <w:sz w:val="20"/>
          <w:szCs w:val="20"/>
        </w:rPr>
        <w:t>Xse</w:t>
      </w:r>
      <w:proofErr w:type="spellEnd"/>
      <w:r w:rsidRPr="00014D0A">
        <w:rPr>
          <w:rFonts w:ascii="Arial" w:eastAsiaTheme="minorHAnsi" w:hAnsi="Arial" w:cs="Arial"/>
          <w:color w:val="0000FF"/>
          <w:sz w:val="20"/>
          <w:szCs w:val="20"/>
        </w:rPr>
        <w:t xml:space="preserve"> (mean length and mean weight in this case) </w:t>
      </w:r>
    </w:p>
    <w:p w14:paraId="6E6B085C" w14:textId="77777777" w:rsidR="001400CC" w:rsidRPr="00014D0A" w:rsidRDefault="001400CC" w:rsidP="001400CC">
      <w:pPr>
        <w:autoSpaceDE w:val="0"/>
        <w:autoSpaceDN w:val="0"/>
        <w:adjustRightInd w:val="0"/>
        <w:spacing w:after="0"/>
        <w:jc w:val="left"/>
        <w:rPr>
          <w:rFonts w:ascii="Arial" w:eastAsiaTheme="minorHAnsi" w:hAnsi="Arial" w:cs="Arial"/>
          <w:color w:val="0000FF"/>
          <w:sz w:val="20"/>
          <w:szCs w:val="20"/>
        </w:rPr>
      </w:pPr>
      <w:r w:rsidRPr="00014D0A">
        <w:rPr>
          <w:rFonts w:ascii="Arial" w:eastAsiaTheme="minorHAnsi" w:hAnsi="Arial" w:cs="Arial"/>
          <w:color w:val="0000FF"/>
          <w:sz w:val="20"/>
          <w:szCs w:val="20"/>
        </w:rPr>
        <w:t>H=number of strata (ports)</w:t>
      </w:r>
    </w:p>
    <w:p w14:paraId="1B2C9561"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p>
    <w:p w14:paraId="186B69B5"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b/>
          <w:bCs/>
          <w:sz w:val="20"/>
          <w:szCs w:val="20"/>
        </w:rPr>
        <w:t>model</w:t>
      </w:r>
      <w:r w:rsidRPr="00014D0A">
        <w:rPr>
          <w:rFonts w:ascii="Arial" w:eastAsiaTheme="minorHAnsi" w:hAnsi="Arial" w:cs="Arial"/>
          <w:sz w:val="20"/>
          <w:szCs w:val="20"/>
        </w:rPr>
        <w:t xml:space="preserve"> {</w:t>
      </w:r>
    </w:p>
    <w:p w14:paraId="6BC2F275"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for (h in 1:H) {</w:t>
      </w:r>
    </w:p>
    <w:p w14:paraId="30DC6B11" w14:textId="77777777" w:rsidR="001400CC" w:rsidRPr="00014D0A" w:rsidRDefault="001400CC" w:rsidP="001400CC">
      <w:pPr>
        <w:autoSpaceDE w:val="0"/>
        <w:autoSpaceDN w:val="0"/>
        <w:adjustRightInd w:val="0"/>
        <w:spacing w:after="0"/>
        <w:jc w:val="left"/>
        <w:rPr>
          <w:rFonts w:ascii="Arial" w:eastAsiaTheme="minorHAnsi" w:hAnsi="Arial" w:cs="Arial"/>
          <w:color w:val="008000"/>
          <w:sz w:val="20"/>
          <w:szCs w:val="20"/>
        </w:rPr>
      </w:pPr>
      <w:r w:rsidRPr="00014D0A">
        <w:rPr>
          <w:rFonts w:ascii="Arial" w:eastAsiaTheme="minorHAnsi" w:hAnsi="Arial" w:cs="Arial"/>
          <w:color w:val="008000"/>
          <w:sz w:val="20"/>
          <w:szCs w:val="20"/>
        </w:rPr>
        <w:t xml:space="preserve">    N[h] ~ </w:t>
      </w:r>
      <w:proofErr w:type="spellStart"/>
      <w:r w:rsidRPr="00014D0A">
        <w:rPr>
          <w:rFonts w:ascii="Arial" w:eastAsiaTheme="minorHAnsi" w:hAnsi="Arial" w:cs="Arial"/>
          <w:color w:val="008000"/>
          <w:sz w:val="20"/>
          <w:szCs w:val="20"/>
        </w:rPr>
        <w:t>dnorm</w:t>
      </w:r>
      <w:proofErr w:type="spellEnd"/>
      <w:r w:rsidRPr="00014D0A">
        <w:rPr>
          <w:rFonts w:ascii="Arial" w:eastAsiaTheme="minorHAnsi" w:hAnsi="Arial" w:cs="Arial"/>
          <w:color w:val="008000"/>
          <w:sz w:val="20"/>
          <w:szCs w:val="20"/>
        </w:rPr>
        <w:t>(0,1.0E-24)</w:t>
      </w:r>
    </w:p>
    <w:p w14:paraId="130428B2" w14:textId="77777777" w:rsidR="001400CC" w:rsidRPr="00014D0A" w:rsidRDefault="001400CC" w:rsidP="001400CC">
      <w:pPr>
        <w:autoSpaceDE w:val="0"/>
        <w:autoSpaceDN w:val="0"/>
        <w:adjustRightInd w:val="0"/>
        <w:spacing w:after="0"/>
        <w:jc w:val="left"/>
        <w:rPr>
          <w:rFonts w:ascii="Arial" w:eastAsiaTheme="minorHAnsi" w:hAnsi="Arial" w:cs="Arial"/>
          <w:color w:val="008000"/>
          <w:sz w:val="20"/>
          <w:szCs w:val="20"/>
        </w:rPr>
      </w:pPr>
      <w:r w:rsidRPr="00014D0A">
        <w:rPr>
          <w:rFonts w:ascii="Arial" w:eastAsiaTheme="minorHAnsi" w:hAnsi="Arial" w:cs="Arial"/>
          <w:color w:val="008000"/>
          <w:sz w:val="20"/>
          <w:szCs w:val="20"/>
        </w:rPr>
        <w:t xml:space="preserve">    X[h] ~ </w:t>
      </w:r>
      <w:proofErr w:type="spellStart"/>
      <w:r w:rsidRPr="00014D0A">
        <w:rPr>
          <w:rFonts w:ascii="Arial" w:eastAsiaTheme="minorHAnsi" w:hAnsi="Arial" w:cs="Arial"/>
          <w:color w:val="008000"/>
          <w:sz w:val="20"/>
          <w:szCs w:val="20"/>
        </w:rPr>
        <w:t>dnorm</w:t>
      </w:r>
      <w:proofErr w:type="spellEnd"/>
      <w:r w:rsidRPr="00014D0A">
        <w:rPr>
          <w:rFonts w:ascii="Arial" w:eastAsiaTheme="minorHAnsi" w:hAnsi="Arial" w:cs="Arial"/>
          <w:color w:val="008000"/>
          <w:sz w:val="20"/>
          <w:szCs w:val="20"/>
        </w:rPr>
        <w:t>(0,1.0E-12)</w:t>
      </w:r>
    </w:p>
    <w:p w14:paraId="2199ED03" w14:textId="77777777" w:rsidR="001400CC" w:rsidRPr="00014D0A" w:rsidRDefault="001400CC" w:rsidP="001400CC">
      <w:pPr>
        <w:autoSpaceDE w:val="0"/>
        <w:autoSpaceDN w:val="0"/>
        <w:adjustRightInd w:val="0"/>
        <w:spacing w:after="0"/>
        <w:jc w:val="left"/>
        <w:rPr>
          <w:rFonts w:ascii="Arial" w:eastAsiaTheme="minorHAnsi" w:hAnsi="Arial" w:cs="Arial"/>
          <w:color w:val="0000FF"/>
          <w:sz w:val="20"/>
          <w:szCs w:val="20"/>
        </w:rPr>
      </w:pPr>
      <w:r w:rsidRPr="00014D0A">
        <w:rPr>
          <w:rFonts w:ascii="Arial" w:eastAsiaTheme="minorHAnsi" w:hAnsi="Arial" w:cs="Arial"/>
          <w:color w:val="0000FF"/>
          <w:sz w:val="20"/>
          <w:szCs w:val="20"/>
        </w:rPr>
        <w:t xml:space="preserve">    </w:t>
      </w:r>
      <w:proofErr w:type="spellStart"/>
      <w:r w:rsidRPr="00014D0A">
        <w:rPr>
          <w:rFonts w:ascii="Arial" w:eastAsiaTheme="minorHAnsi" w:hAnsi="Arial" w:cs="Arial"/>
          <w:color w:val="0000FF"/>
          <w:sz w:val="20"/>
          <w:szCs w:val="20"/>
        </w:rPr>
        <w:t>Nhat</w:t>
      </w:r>
      <w:proofErr w:type="spellEnd"/>
      <w:r w:rsidRPr="00014D0A">
        <w:rPr>
          <w:rFonts w:ascii="Arial" w:eastAsiaTheme="minorHAnsi" w:hAnsi="Arial" w:cs="Arial"/>
          <w:color w:val="0000FF"/>
          <w:sz w:val="20"/>
          <w:szCs w:val="20"/>
        </w:rPr>
        <w:t xml:space="preserve">[h] ~ </w:t>
      </w:r>
      <w:proofErr w:type="spellStart"/>
      <w:r w:rsidRPr="00014D0A">
        <w:rPr>
          <w:rFonts w:ascii="Arial" w:eastAsiaTheme="minorHAnsi" w:hAnsi="Arial" w:cs="Arial"/>
          <w:color w:val="0000FF"/>
          <w:sz w:val="20"/>
          <w:szCs w:val="20"/>
        </w:rPr>
        <w:t>dnorm</w:t>
      </w:r>
      <w:proofErr w:type="spellEnd"/>
      <w:r w:rsidRPr="00014D0A">
        <w:rPr>
          <w:rFonts w:ascii="Arial" w:eastAsiaTheme="minorHAnsi" w:hAnsi="Arial" w:cs="Arial"/>
          <w:color w:val="0000FF"/>
          <w:sz w:val="20"/>
          <w:szCs w:val="20"/>
        </w:rPr>
        <w:t>(N[h</w:t>
      </w:r>
      <w:proofErr w:type="gramStart"/>
      <w:r w:rsidRPr="00014D0A">
        <w:rPr>
          <w:rFonts w:ascii="Arial" w:eastAsiaTheme="minorHAnsi" w:hAnsi="Arial" w:cs="Arial"/>
          <w:color w:val="0000FF"/>
          <w:sz w:val="20"/>
          <w:szCs w:val="20"/>
        </w:rPr>
        <w:t>],</w:t>
      </w:r>
      <w:proofErr w:type="spellStart"/>
      <w:r w:rsidRPr="00014D0A">
        <w:rPr>
          <w:rFonts w:ascii="Arial" w:eastAsiaTheme="minorHAnsi" w:hAnsi="Arial" w:cs="Arial"/>
          <w:color w:val="0000FF"/>
          <w:sz w:val="20"/>
          <w:szCs w:val="20"/>
        </w:rPr>
        <w:t>Ntau</w:t>
      </w:r>
      <w:proofErr w:type="spellEnd"/>
      <w:proofErr w:type="gramEnd"/>
      <w:r w:rsidRPr="00014D0A">
        <w:rPr>
          <w:rFonts w:ascii="Arial" w:eastAsiaTheme="minorHAnsi" w:hAnsi="Arial" w:cs="Arial"/>
          <w:color w:val="0000FF"/>
          <w:sz w:val="20"/>
          <w:szCs w:val="20"/>
        </w:rPr>
        <w:t>[h])</w:t>
      </w:r>
    </w:p>
    <w:p w14:paraId="29265658" w14:textId="77777777" w:rsidR="001400CC" w:rsidRPr="00014D0A" w:rsidRDefault="001400CC" w:rsidP="001400CC">
      <w:pPr>
        <w:autoSpaceDE w:val="0"/>
        <w:autoSpaceDN w:val="0"/>
        <w:adjustRightInd w:val="0"/>
        <w:spacing w:after="0"/>
        <w:jc w:val="left"/>
        <w:rPr>
          <w:rFonts w:ascii="Arial" w:eastAsiaTheme="minorHAnsi" w:hAnsi="Arial" w:cs="Arial"/>
          <w:color w:val="0000FF"/>
          <w:sz w:val="20"/>
          <w:szCs w:val="20"/>
        </w:rPr>
      </w:pPr>
      <w:r w:rsidRPr="00014D0A">
        <w:rPr>
          <w:rFonts w:ascii="Arial" w:eastAsiaTheme="minorHAnsi" w:hAnsi="Arial" w:cs="Arial"/>
          <w:color w:val="0000FF"/>
          <w:sz w:val="20"/>
          <w:szCs w:val="20"/>
        </w:rPr>
        <w:t xml:space="preserve">    </w:t>
      </w:r>
      <w:proofErr w:type="spellStart"/>
      <w:r w:rsidRPr="00014D0A">
        <w:rPr>
          <w:rFonts w:ascii="Arial" w:eastAsiaTheme="minorHAnsi" w:hAnsi="Arial" w:cs="Arial"/>
          <w:color w:val="0000FF"/>
          <w:sz w:val="20"/>
          <w:szCs w:val="20"/>
        </w:rPr>
        <w:t>Xhat</w:t>
      </w:r>
      <w:proofErr w:type="spellEnd"/>
      <w:r w:rsidRPr="00014D0A">
        <w:rPr>
          <w:rFonts w:ascii="Arial" w:eastAsiaTheme="minorHAnsi" w:hAnsi="Arial" w:cs="Arial"/>
          <w:color w:val="0000FF"/>
          <w:sz w:val="20"/>
          <w:szCs w:val="20"/>
        </w:rPr>
        <w:t xml:space="preserve">[h] ~ </w:t>
      </w:r>
      <w:proofErr w:type="spellStart"/>
      <w:r w:rsidRPr="00014D0A">
        <w:rPr>
          <w:rFonts w:ascii="Arial" w:eastAsiaTheme="minorHAnsi" w:hAnsi="Arial" w:cs="Arial"/>
          <w:color w:val="0000FF"/>
          <w:sz w:val="20"/>
          <w:szCs w:val="20"/>
        </w:rPr>
        <w:t>dnorm</w:t>
      </w:r>
      <w:proofErr w:type="spellEnd"/>
      <w:r w:rsidRPr="00014D0A">
        <w:rPr>
          <w:rFonts w:ascii="Arial" w:eastAsiaTheme="minorHAnsi" w:hAnsi="Arial" w:cs="Arial"/>
          <w:color w:val="0000FF"/>
          <w:sz w:val="20"/>
          <w:szCs w:val="20"/>
        </w:rPr>
        <w:t>(X[h</w:t>
      </w:r>
      <w:proofErr w:type="gramStart"/>
      <w:r w:rsidRPr="00014D0A">
        <w:rPr>
          <w:rFonts w:ascii="Arial" w:eastAsiaTheme="minorHAnsi" w:hAnsi="Arial" w:cs="Arial"/>
          <w:color w:val="0000FF"/>
          <w:sz w:val="20"/>
          <w:szCs w:val="20"/>
        </w:rPr>
        <w:t>],</w:t>
      </w:r>
      <w:proofErr w:type="spellStart"/>
      <w:r w:rsidRPr="00014D0A">
        <w:rPr>
          <w:rFonts w:ascii="Arial" w:eastAsiaTheme="minorHAnsi" w:hAnsi="Arial" w:cs="Arial"/>
          <w:color w:val="0000FF"/>
          <w:sz w:val="20"/>
          <w:szCs w:val="20"/>
        </w:rPr>
        <w:t>Xtau</w:t>
      </w:r>
      <w:proofErr w:type="spellEnd"/>
      <w:proofErr w:type="gramEnd"/>
      <w:r w:rsidRPr="00014D0A">
        <w:rPr>
          <w:rFonts w:ascii="Arial" w:eastAsiaTheme="minorHAnsi" w:hAnsi="Arial" w:cs="Arial"/>
          <w:color w:val="0000FF"/>
          <w:sz w:val="20"/>
          <w:szCs w:val="20"/>
        </w:rPr>
        <w:t>[h])</w:t>
      </w:r>
    </w:p>
    <w:p w14:paraId="3ECB4808"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w:t>
      </w:r>
      <w:proofErr w:type="spellStart"/>
      <w:r w:rsidRPr="00014D0A">
        <w:rPr>
          <w:rFonts w:ascii="Arial" w:eastAsiaTheme="minorHAnsi" w:hAnsi="Arial" w:cs="Arial"/>
          <w:sz w:val="20"/>
          <w:szCs w:val="20"/>
        </w:rPr>
        <w:t>Ntau</w:t>
      </w:r>
      <w:proofErr w:type="spellEnd"/>
      <w:r w:rsidRPr="00014D0A">
        <w:rPr>
          <w:rFonts w:ascii="Arial" w:eastAsiaTheme="minorHAnsi" w:hAnsi="Arial" w:cs="Arial"/>
          <w:sz w:val="20"/>
          <w:szCs w:val="20"/>
        </w:rPr>
        <w:t xml:space="preserve">[h] &lt;- 1 / </w:t>
      </w:r>
      <w:proofErr w:type="spellStart"/>
      <w:r w:rsidRPr="00014D0A">
        <w:rPr>
          <w:rFonts w:ascii="Arial" w:eastAsiaTheme="minorHAnsi" w:hAnsi="Arial" w:cs="Arial"/>
          <w:sz w:val="20"/>
          <w:szCs w:val="20"/>
        </w:rPr>
        <w:t>Nse</w:t>
      </w:r>
      <w:proofErr w:type="spellEnd"/>
      <w:r w:rsidRPr="00014D0A">
        <w:rPr>
          <w:rFonts w:ascii="Arial" w:eastAsiaTheme="minorHAnsi" w:hAnsi="Arial" w:cs="Arial"/>
          <w:sz w:val="20"/>
          <w:szCs w:val="20"/>
        </w:rPr>
        <w:t xml:space="preserve">[h] / </w:t>
      </w:r>
      <w:proofErr w:type="spellStart"/>
      <w:r w:rsidRPr="00014D0A">
        <w:rPr>
          <w:rFonts w:ascii="Arial" w:eastAsiaTheme="minorHAnsi" w:hAnsi="Arial" w:cs="Arial"/>
          <w:sz w:val="20"/>
          <w:szCs w:val="20"/>
        </w:rPr>
        <w:t>Nse</w:t>
      </w:r>
      <w:proofErr w:type="spellEnd"/>
      <w:r w:rsidRPr="00014D0A">
        <w:rPr>
          <w:rFonts w:ascii="Arial" w:eastAsiaTheme="minorHAnsi" w:hAnsi="Arial" w:cs="Arial"/>
          <w:sz w:val="20"/>
          <w:szCs w:val="20"/>
        </w:rPr>
        <w:t>[h]</w:t>
      </w:r>
    </w:p>
    <w:p w14:paraId="1797417C"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w:t>
      </w:r>
      <w:proofErr w:type="spellStart"/>
      <w:r w:rsidRPr="00014D0A">
        <w:rPr>
          <w:rFonts w:ascii="Arial" w:eastAsiaTheme="minorHAnsi" w:hAnsi="Arial" w:cs="Arial"/>
          <w:sz w:val="20"/>
          <w:szCs w:val="20"/>
        </w:rPr>
        <w:t>Xtau</w:t>
      </w:r>
      <w:proofErr w:type="spellEnd"/>
      <w:r w:rsidRPr="00014D0A">
        <w:rPr>
          <w:rFonts w:ascii="Arial" w:eastAsiaTheme="minorHAnsi" w:hAnsi="Arial" w:cs="Arial"/>
          <w:sz w:val="20"/>
          <w:szCs w:val="20"/>
        </w:rPr>
        <w:t>[h] &lt;- 1/</w:t>
      </w:r>
      <w:proofErr w:type="spellStart"/>
      <w:r w:rsidRPr="00014D0A">
        <w:rPr>
          <w:rFonts w:ascii="Arial" w:eastAsiaTheme="minorHAnsi" w:hAnsi="Arial" w:cs="Arial"/>
          <w:sz w:val="20"/>
          <w:szCs w:val="20"/>
        </w:rPr>
        <w:t>Xse</w:t>
      </w:r>
      <w:proofErr w:type="spellEnd"/>
      <w:r w:rsidRPr="00014D0A">
        <w:rPr>
          <w:rFonts w:ascii="Arial" w:eastAsiaTheme="minorHAnsi" w:hAnsi="Arial" w:cs="Arial"/>
          <w:sz w:val="20"/>
          <w:szCs w:val="20"/>
        </w:rPr>
        <w:t>[h]/</w:t>
      </w:r>
      <w:proofErr w:type="spellStart"/>
      <w:r w:rsidRPr="00014D0A">
        <w:rPr>
          <w:rFonts w:ascii="Arial" w:eastAsiaTheme="minorHAnsi" w:hAnsi="Arial" w:cs="Arial"/>
          <w:sz w:val="20"/>
          <w:szCs w:val="20"/>
        </w:rPr>
        <w:t>Xse</w:t>
      </w:r>
      <w:proofErr w:type="spellEnd"/>
      <w:r w:rsidRPr="00014D0A">
        <w:rPr>
          <w:rFonts w:ascii="Arial" w:eastAsiaTheme="minorHAnsi" w:hAnsi="Arial" w:cs="Arial"/>
          <w:sz w:val="20"/>
          <w:szCs w:val="20"/>
        </w:rPr>
        <w:t>[h]</w:t>
      </w:r>
    </w:p>
    <w:p w14:paraId="20B7FF13"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w:t>
      </w:r>
    </w:p>
    <w:p w14:paraId="4DC14B40"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w:t>
      </w:r>
      <w:proofErr w:type="spellStart"/>
      <w:r w:rsidRPr="00014D0A">
        <w:rPr>
          <w:rFonts w:ascii="Arial" w:eastAsiaTheme="minorHAnsi" w:hAnsi="Arial" w:cs="Arial"/>
          <w:sz w:val="20"/>
          <w:szCs w:val="20"/>
        </w:rPr>
        <w:t>X.weighted</w:t>
      </w:r>
      <w:proofErr w:type="spellEnd"/>
      <w:r w:rsidRPr="00014D0A">
        <w:rPr>
          <w:rFonts w:ascii="Arial" w:eastAsiaTheme="minorHAnsi" w:hAnsi="Arial" w:cs="Arial"/>
          <w:sz w:val="20"/>
          <w:szCs w:val="20"/>
        </w:rPr>
        <w:t xml:space="preserve"> &lt;- </w:t>
      </w:r>
      <w:proofErr w:type="spellStart"/>
      <w:r w:rsidRPr="00014D0A">
        <w:rPr>
          <w:rFonts w:ascii="Arial" w:eastAsiaTheme="minorHAnsi" w:hAnsi="Arial" w:cs="Arial"/>
          <w:sz w:val="20"/>
          <w:szCs w:val="20"/>
        </w:rPr>
        <w:t>inprod</w:t>
      </w:r>
      <w:proofErr w:type="spellEnd"/>
      <w:r w:rsidRPr="00014D0A">
        <w:rPr>
          <w:rFonts w:ascii="Arial" w:eastAsiaTheme="minorHAnsi" w:hAnsi="Arial" w:cs="Arial"/>
          <w:sz w:val="20"/>
          <w:szCs w:val="20"/>
        </w:rPr>
        <w:t>(N[</w:t>
      </w:r>
      <w:proofErr w:type="gramStart"/>
      <w:r w:rsidRPr="00014D0A">
        <w:rPr>
          <w:rFonts w:ascii="Arial" w:eastAsiaTheme="minorHAnsi" w:hAnsi="Arial" w:cs="Arial"/>
          <w:sz w:val="20"/>
          <w:szCs w:val="20"/>
        </w:rPr>
        <w:t>],X</w:t>
      </w:r>
      <w:proofErr w:type="gramEnd"/>
      <w:r w:rsidRPr="00014D0A">
        <w:rPr>
          <w:rFonts w:ascii="Arial" w:eastAsiaTheme="minorHAnsi" w:hAnsi="Arial" w:cs="Arial"/>
          <w:sz w:val="20"/>
          <w:szCs w:val="20"/>
        </w:rPr>
        <w:t>[])/sum(N[])</w:t>
      </w:r>
    </w:p>
    <w:p w14:paraId="0B70BDCE"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Yield &lt;- </w:t>
      </w:r>
      <w:proofErr w:type="spellStart"/>
      <w:r w:rsidRPr="00014D0A">
        <w:rPr>
          <w:rFonts w:ascii="Arial" w:eastAsiaTheme="minorHAnsi" w:hAnsi="Arial" w:cs="Arial"/>
          <w:sz w:val="20"/>
          <w:szCs w:val="20"/>
        </w:rPr>
        <w:t>inprod</w:t>
      </w:r>
      <w:proofErr w:type="spellEnd"/>
      <w:r w:rsidRPr="00014D0A">
        <w:rPr>
          <w:rFonts w:ascii="Arial" w:eastAsiaTheme="minorHAnsi" w:hAnsi="Arial" w:cs="Arial"/>
          <w:sz w:val="20"/>
          <w:szCs w:val="20"/>
        </w:rPr>
        <w:t>(N[</w:t>
      </w:r>
      <w:proofErr w:type="gramStart"/>
      <w:r w:rsidRPr="00014D0A">
        <w:rPr>
          <w:rFonts w:ascii="Arial" w:eastAsiaTheme="minorHAnsi" w:hAnsi="Arial" w:cs="Arial"/>
          <w:sz w:val="20"/>
          <w:szCs w:val="20"/>
        </w:rPr>
        <w:t>],X</w:t>
      </w:r>
      <w:proofErr w:type="gramEnd"/>
      <w:r w:rsidRPr="00014D0A">
        <w:rPr>
          <w:rFonts w:ascii="Arial" w:eastAsiaTheme="minorHAnsi" w:hAnsi="Arial" w:cs="Arial"/>
          <w:sz w:val="20"/>
          <w:szCs w:val="20"/>
        </w:rPr>
        <w:t>[])</w:t>
      </w:r>
    </w:p>
    <w:p w14:paraId="7F2E3C5B"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w:t>
      </w:r>
    </w:p>
    <w:p w14:paraId="2BCE7BED" w14:textId="77777777" w:rsidR="001400CC" w:rsidRPr="00014D0A" w:rsidRDefault="001400CC" w:rsidP="001400CC">
      <w:pPr>
        <w:autoSpaceDE w:val="0"/>
        <w:autoSpaceDN w:val="0"/>
        <w:adjustRightInd w:val="0"/>
        <w:spacing w:after="0"/>
        <w:jc w:val="left"/>
        <w:rPr>
          <w:rFonts w:ascii="Arial" w:eastAsiaTheme="minorHAnsi" w:hAnsi="Arial" w:cs="Arial"/>
          <w:b/>
          <w:bCs/>
          <w:color w:val="0000FF"/>
          <w:sz w:val="20"/>
          <w:szCs w:val="20"/>
        </w:rPr>
      </w:pPr>
    </w:p>
    <w:p w14:paraId="2B74F928"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r w:rsidRPr="00014D0A">
        <w:rPr>
          <w:rFonts w:ascii="Arial" w:eastAsiaTheme="minorHAnsi" w:hAnsi="Arial" w:cs="Arial"/>
          <w:b/>
          <w:bCs/>
          <w:color w:val="0000FF"/>
          <w:sz w:val="20"/>
          <w:szCs w:val="20"/>
        </w:rPr>
        <w:t>Initial Values</w:t>
      </w:r>
    </w:p>
    <w:p w14:paraId="41874700"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
    <w:p w14:paraId="7DBBB22C"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r w:rsidRPr="00014D0A">
        <w:rPr>
          <w:rFonts w:ascii="Arial" w:eastAsiaTheme="minorHAnsi" w:hAnsi="Arial" w:cs="Arial"/>
          <w:color w:val="000000"/>
          <w:sz w:val="20"/>
          <w:szCs w:val="20"/>
        </w:rPr>
        <w:t>H=6</w:t>
      </w:r>
    </w:p>
    <w:p w14:paraId="24AF46C2"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r w:rsidRPr="00014D0A">
        <w:rPr>
          <w:rFonts w:ascii="Arial" w:eastAsiaTheme="minorHAnsi" w:hAnsi="Arial" w:cs="Arial"/>
          <w:color w:val="000000"/>
          <w:sz w:val="20"/>
          <w:szCs w:val="20"/>
        </w:rPr>
        <w:t>list(X=c(20,20,20,20,20,20</w:t>
      </w:r>
      <w:proofErr w:type="gramStart"/>
      <w:r w:rsidRPr="00014D0A">
        <w:rPr>
          <w:rFonts w:ascii="Arial" w:eastAsiaTheme="minorHAnsi" w:hAnsi="Arial" w:cs="Arial"/>
          <w:color w:val="000000"/>
          <w:sz w:val="20"/>
          <w:szCs w:val="20"/>
        </w:rPr>
        <w:t>),N</w:t>
      </w:r>
      <w:proofErr w:type="gramEnd"/>
      <w:r w:rsidRPr="00014D0A">
        <w:rPr>
          <w:rFonts w:ascii="Arial" w:eastAsiaTheme="minorHAnsi" w:hAnsi="Arial" w:cs="Arial"/>
          <w:color w:val="000000"/>
          <w:sz w:val="20"/>
          <w:szCs w:val="20"/>
        </w:rPr>
        <w:t>=c(10000,10000,10000,10000,10000,10000))</w:t>
      </w:r>
    </w:p>
    <w:p w14:paraId="733A5538" w14:textId="77777777" w:rsidR="001400CC" w:rsidRPr="00014D0A" w:rsidRDefault="001400CC" w:rsidP="001400CC">
      <w:pPr>
        <w:autoSpaceDE w:val="0"/>
        <w:autoSpaceDN w:val="0"/>
        <w:adjustRightInd w:val="0"/>
        <w:spacing w:after="0"/>
        <w:jc w:val="left"/>
        <w:rPr>
          <w:rFonts w:ascii="Arial" w:eastAsiaTheme="minorHAnsi" w:hAnsi="Arial" w:cs="Arial"/>
          <w:b/>
          <w:bCs/>
          <w:color w:val="0000FF"/>
          <w:sz w:val="20"/>
          <w:szCs w:val="20"/>
        </w:rPr>
      </w:pPr>
    </w:p>
    <w:p w14:paraId="1FE42FE5"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r w:rsidRPr="00014D0A">
        <w:rPr>
          <w:rFonts w:ascii="Arial" w:eastAsiaTheme="minorHAnsi" w:hAnsi="Arial" w:cs="Arial"/>
          <w:b/>
          <w:bCs/>
          <w:color w:val="0000FF"/>
          <w:sz w:val="20"/>
          <w:szCs w:val="20"/>
        </w:rPr>
        <w:t>Data and Results</w:t>
      </w:r>
    </w:p>
    <w:p w14:paraId="100E230F"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
    <w:p w14:paraId="0963B924"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gramStart"/>
      <w:r w:rsidRPr="00014D0A">
        <w:rPr>
          <w:rFonts w:ascii="Arial" w:eastAsiaTheme="minorHAnsi" w:hAnsi="Arial" w:cs="Arial"/>
          <w:color w:val="000000"/>
          <w:sz w:val="20"/>
          <w:szCs w:val="20"/>
        </w:rPr>
        <w:t>MeanWeight,charter</w:t>
      </w:r>
      <w:proofErr w:type="gramEnd"/>
      <w:r w:rsidRPr="00014D0A">
        <w:rPr>
          <w:rFonts w:ascii="Arial" w:eastAsiaTheme="minorHAnsi" w:hAnsi="Arial" w:cs="Arial"/>
          <w:color w:val="000000"/>
          <w:sz w:val="20"/>
          <w:szCs w:val="20"/>
        </w:rPr>
        <w:t>,2017</w:t>
      </w:r>
    </w:p>
    <w:p w14:paraId="51C24084"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gramStart"/>
      <w:r w:rsidRPr="00014D0A">
        <w:rPr>
          <w:rFonts w:ascii="Arial" w:eastAsiaTheme="minorHAnsi" w:hAnsi="Arial" w:cs="Arial"/>
          <w:color w:val="000000"/>
          <w:sz w:val="20"/>
          <w:szCs w:val="20"/>
        </w:rPr>
        <w:t>list(</w:t>
      </w:r>
      <w:proofErr w:type="gramEnd"/>
      <w:r w:rsidRPr="00014D0A">
        <w:rPr>
          <w:rFonts w:ascii="Arial" w:eastAsiaTheme="minorHAnsi" w:hAnsi="Arial" w:cs="Arial"/>
          <w:color w:val="000000"/>
          <w:sz w:val="20"/>
          <w:szCs w:val="20"/>
        </w:rPr>
        <w:t>H=6, Xhat=c(11.514806,10.174969,21.298184,13.496975,10.331803,19.250541),</w:t>
      </w:r>
    </w:p>
    <w:p w14:paraId="2431E8C3"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Xse</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0.37163,0.31447,0.9291,0.39845,0.39929,1.13671),</w:t>
      </w:r>
    </w:p>
    <w:p w14:paraId="29BB4E64"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Nhat</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3771,10474,2831,19204,5452,6325),</w:t>
      </w:r>
    </w:p>
    <w:p w14:paraId="11BB2C18"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Nse</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419,835,437,1157,657,662))</w:t>
      </w:r>
    </w:p>
    <w:p w14:paraId="54975F6C"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
    <w:p w14:paraId="4E348FBF" w14:textId="77777777" w:rsidR="001400CC" w:rsidRPr="00014D0A" w:rsidRDefault="001400CC" w:rsidP="001400CC">
      <w:pPr>
        <w:autoSpaceDE w:val="0"/>
        <w:autoSpaceDN w:val="0"/>
        <w:adjustRightInd w:val="0"/>
        <w:spacing w:after="0"/>
        <w:jc w:val="left"/>
        <w:rPr>
          <w:rFonts w:ascii="Arial" w:eastAsiaTheme="minorHAnsi" w:hAnsi="Arial" w:cs="Arial"/>
          <w:b/>
          <w:bCs/>
          <w:sz w:val="20"/>
          <w:szCs w:val="20"/>
        </w:rPr>
      </w:pPr>
      <w:r w:rsidRPr="00014D0A">
        <w:rPr>
          <w:rFonts w:ascii="Arial" w:eastAsiaTheme="minorHAnsi" w:hAnsi="Arial" w:cs="Arial"/>
          <w:b/>
          <w:bCs/>
          <w:sz w:val="20"/>
          <w:szCs w:val="20"/>
        </w:rPr>
        <w:t>mean</w:t>
      </w:r>
      <w:r w:rsidRPr="00014D0A">
        <w:rPr>
          <w:rFonts w:ascii="Arial" w:eastAsiaTheme="minorHAnsi" w:hAnsi="Arial" w:cs="Arial"/>
          <w:b/>
          <w:bCs/>
          <w:sz w:val="20"/>
          <w:szCs w:val="20"/>
        </w:rPr>
        <w:tab/>
      </w:r>
      <w:proofErr w:type="spellStart"/>
      <w:r w:rsidRPr="00014D0A">
        <w:rPr>
          <w:rFonts w:ascii="Arial" w:eastAsiaTheme="minorHAnsi" w:hAnsi="Arial" w:cs="Arial"/>
          <w:b/>
          <w:bCs/>
          <w:sz w:val="20"/>
          <w:szCs w:val="20"/>
        </w:rPr>
        <w:t>sd</w:t>
      </w:r>
      <w:proofErr w:type="spellEnd"/>
      <w:r w:rsidRPr="00014D0A">
        <w:rPr>
          <w:rFonts w:ascii="Arial" w:eastAsiaTheme="minorHAnsi" w:hAnsi="Arial" w:cs="Arial"/>
          <w:b/>
          <w:bCs/>
          <w:sz w:val="20"/>
          <w:szCs w:val="20"/>
        </w:rPr>
        <w:tab/>
      </w:r>
      <w:proofErr w:type="spellStart"/>
      <w:r w:rsidRPr="00014D0A">
        <w:rPr>
          <w:rFonts w:ascii="Arial" w:eastAsiaTheme="minorHAnsi" w:hAnsi="Arial" w:cs="Arial"/>
          <w:b/>
          <w:bCs/>
          <w:sz w:val="20"/>
          <w:szCs w:val="20"/>
        </w:rPr>
        <w:t>MC_error</w:t>
      </w:r>
      <w:proofErr w:type="spellEnd"/>
      <w:r w:rsidRPr="00014D0A">
        <w:rPr>
          <w:rFonts w:ascii="Arial" w:eastAsiaTheme="minorHAnsi" w:hAnsi="Arial" w:cs="Arial"/>
          <w:b/>
          <w:bCs/>
          <w:sz w:val="20"/>
          <w:szCs w:val="20"/>
        </w:rPr>
        <w:tab/>
        <w:t>val2.5pc</w:t>
      </w:r>
      <w:r w:rsidRPr="00014D0A">
        <w:rPr>
          <w:rFonts w:ascii="Arial" w:eastAsiaTheme="minorHAnsi" w:hAnsi="Arial" w:cs="Arial"/>
          <w:b/>
          <w:bCs/>
          <w:sz w:val="20"/>
          <w:szCs w:val="20"/>
        </w:rPr>
        <w:tab/>
        <w:t>median</w:t>
      </w:r>
      <w:r w:rsidRPr="00014D0A">
        <w:rPr>
          <w:rFonts w:ascii="Arial" w:eastAsiaTheme="minorHAnsi" w:hAnsi="Arial" w:cs="Arial"/>
          <w:b/>
          <w:bCs/>
          <w:sz w:val="20"/>
          <w:szCs w:val="20"/>
        </w:rPr>
        <w:tab/>
        <w:t>val97.5pc</w:t>
      </w:r>
      <w:r w:rsidRPr="00014D0A">
        <w:rPr>
          <w:rFonts w:ascii="Arial" w:eastAsiaTheme="minorHAnsi" w:hAnsi="Arial" w:cs="Arial"/>
          <w:b/>
          <w:bCs/>
          <w:sz w:val="20"/>
          <w:szCs w:val="20"/>
        </w:rPr>
        <w:tab/>
        <w:t>start</w:t>
      </w:r>
      <w:r w:rsidRPr="00014D0A">
        <w:rPr>
          <w:rFonts w:ascii="Arial" w:eastAsiaTheme="minorHAnsi" w:hAnsi="Arial" w:cs="Arial"/>
          <w:b/>
          <w:bCs/>
          <w:sz w:val="20"/>
          <w:szCs w:val="20"/>
        </w:rPr>
        <w:tab/>
        <w:t>sample</w:t>
      </w:r>
    </w:p>
    <w:p w14:paraId="517B603D"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proofErr w:type="spellStart"/>
      <w:r w:rsidRPr="00014D0A">
        <w:rPr>
          <w:rFonts w:ascii="Arial" w:eastAsiaTheme="minorHAnsi" w:hAnsi="Arial" w:cs="Arial"/>
          <w:sz w:val="20"/>
          <w:szCs w:val="20"/>
        </w:rPr>
        <w:t>X.weighted</w:t>
      </w:r>
      <w:proofErr w:type="spellEnd"/>
      <w:r w:rsidRPr="00014D0A">
        <w:rPr>
          <w:rFonts w:ascii="Arial" w:eastAsiaTheme="minorHAnsi" w:hAnsi="Arial" w:cs="Arial"/>
          <w:sz w:val="20"/>
          <w:szCs w:val="20"/>
        </w:rPr>
        <w:tab/>
        <w:t>13.47</w:t>
      </w:r>
      <w:r w:rsidRPr="00014D0A">
        <w:rPr>
          <w:rFonts w:ascii="Arial" w:eastAsiaTheme="minorHAnsi" w:hAnsi="Arial" w:cs="Arial"/>
          <w:sz w:val="20"/>
          <w:szCs w:val="20"/>
        </w:rPr>
        <w:tab/>
        <w:t>0.2747</w:t>
      </w:r>
      <w:r w:rsidRPr="00014D0A">
        <w:rPr>
          <w:rFonts w:ascii="Arial" w:eastAsiaTheme="minorHAnsi" w:hAnsi="Arial" w:cs="Arial"/>
          <w:sz w:val="20"/>
          <w:szCs w:val="20"/>
        </w:rPr>
        <w:tab/>
        <w:t>0.0012</w:t>
      </w:r>
      <w:r w:rsidRPr="00014D0A">
        <w:rPr>
          <w:rFonts w:ascii="Arial" w:eastAsiaTheme="minorHAnsi" w:hAnsi="Arial" w:cs="Arial"/>
          <w:sz w:val="20"/>
          <w:szCs w:val="20"/>
        </w:rPr>
        <w:tab/>
        <w:t>12.95</w:t>
      </w:r>
      <w:r w:rsidRPr="00014D0A">
        <w:rPr>
          <w:rFonts w:ascii="Arial" w:eastAsiaTheme="minorHAnsi" w:hAnsi="Arial" w:cs="Arial"/>
          <w:sz w:val="20"/>
          <w:szCs w:val="20"/>
        </w:rPr>
        <w:tab/>
        <w:t>13.47</w:t>
      </w:r>
      <w:r w:rsidRPr="00014D0A">
        <w:rPr>
          <w:rFonts w:ascii="Arial" w:eastAsiaTheme="minorHAnsi" w:hAnsi="Arial" w:cs="Arial"/>
          <w:sz w:val="20"/>
          <w:szCs w:val="20"/>
        </w:rPr>
        <w:tab/>
        <w:t>14.02</w:t>
      </w:r>
      <w:r w:rsidRPr="00014D0A">
        <w:rPr>
          <w:rFonts w:ascii="Arial" w:eastAsiaTheme="minorHAnsi" w:hAnsi="Arial" w:cs="Arial"/>
          <w:sz w:val="20"/>
          <w:szCs w:val="20"/>
        </w:rPr>
        <w:tab/>
        <w:t>101</w:t>
      </w:r>
      <w:r w:rsidRPr="00014D0A">
        <w:rPr>
          <w:rFonts w:ascii="Arial" w:eastAsiaTheme="minorHAnsi" w:hAnsi="Arial" w:cs="Arial"/>
          <w:sz w:val="20"/>
          <w:szCs w:val="20"/>
        </w:rPr>
        <w:tab/>
        <w:t>49900</w:t>
      </w:r>
    </w:p>
    <w:p w14:paraId="0527D370"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Yield</w:t>
      </w:r>
      <w:r w:rsidRPr="00014D0A">
        <w:rPr>
          <w:rFonts w:ascii="Arial" w:eastAsiaTheme="minorHAnsi" w:hAnsi="Arial" w:cs="Arial"/>
          <w:sz w:val="20"/>
          <w:szCs w:val="20"/>
        </w:rPr>
        <w:tab/>
        <w:t>647400.0</w:t>
      </w:r>
      <w:r w:rsidRPr="00014D0A">
        <w:rPr>
          <w:rFonts w:ascii="Arial" w:eastAsiaTheme="minorHAnsi" w:hAnsi="Arial" w:cs="Arial"/>
          <w:sz w:val="20"/>
          <w:szCs w:val="20"/>
        </w:rPr>
        <w:tab/>
        <w:t>27800.0</w:t>
      </w:r>
      <w:r w:rsidRPr="00014D0A">
        <w:rPr>
          <w:rFonts w:ascii="Arial" w:eastAsiaTheme="minorHAnsi" w:hAnsi="Arial" w:cs="Arial"/>
          <w:sz w:val="20"/>
          <w:szCs w:val="20"/>
        </w:rPr>
        <w:tab/>
        <w:t>122.7</w:t>
      </w:r>
      <w:r w:rsidRPr="00014D0A">
        <w:rPr>
          <w:rFonts w:ascii="Arial" w:eastAsiaTheme="minorHAnsi" w:hAnsi="Arial" w:cs="Arial"/>
          <w:sz w:val="20"/>
          <w:szCs w:val="20"/>
        </w:rPr>
        <w:tab/>
        <w:t>593200.0</w:t>
      </w:r>
      <w:r w:rsidRPr="00014D0A">
        <w:rPr>
          <w:rFonts w:ascii="Arial" w:eastAsiaTheme="minorHAnsi" w:hAnsi="Arial" w:cs="Arial"/>
          <w:sz w:val="20"/>
          <w:szCs w:val="20"/>
        </w:rPr>
        <w:tab/>
        <w:t>647400.0</w:t>
      </w:r>
      <w:r w:rsidRPr="00014D0A">
        <w:rPr>
          <w:rFonts w:ascii="Arial" w:eastAsiaTheme="minorHAnsi" w:hAnsi="Arial" w:cs="Arial"/>
          <w:sz w:val="20"/>
          <w:szCs w:val="20"/>
        </w:rPr>
        <w:tab/>
        <w:t>702200.0</w:t>
      </w:r>
      <w:r w:rsidRPr="00014D0A">
        <w:rPr>
          <w:rFonts w:ascii="Arial" w:eastAsiaTheme="minorHAnsi" w:hAnsi="Arial" w:cs="Arial"/>
          <w:sz w:val="20"/>
          <w:szCs w:val="20"/>
        </w:rPr>
        <w:tab/>
        <w:t>101</w:t>
      </w:r>
      <w:r w:rsidRPr="00014D0A">
        <w:rPr>
          <w:rFonts w:ascii="Arial" w:eastAsiaTheme="minorHAnsi" w:hAnsi="Arial" w:cs="Arial"/>
          <w:sz w:val="20"/>
          <w:szCs w:val="20"/>
        </w:rPr>
        <w:tab/>
        <w:t>49900</w:t>
      </w:r>
    </w:p>
    <w:p w14:paraId="63E729E8"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p>
    <w:p w14:paraId="363F884B"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
    <w:p w14:paraId="3E5C6503"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gramStart"/>
      <w:r w:rsidRPr="00014D0A">
        <w:rPr>
          <w:rFonts w:ascii="Arial" w:eastAsiaTheme="minorHAnsi" w:hAnsi="Arial" w:cs="Arial"/>
          <w:color w:val="000000"/>
          <w:sz w:val="20"/>
          <w:szCs w:val="20"/>
        </w:rPr>
        <w:t>MeanWeight,private</w:t>
      </w:r>
      <w:proofErr w:type="gramEnd"/>
      <w:r w:rsidRPr="00014D0A">
        <w:rPr>
          <w:rFonts w:ascii="Arial" w:eastAsiaTheme="minorHAnsi" w:hAnsi="Arial" w:cs="Arial"/>
          <w:color w:val="000000"/>
          <w:sz w:val="20"/>
          <w:szCs w:val="20"/>
        </w:rPr>
        <w:t>,2017</w:t>
      </w:r>
    </w:p>
    <w:p w14:paraId="799BEDAB"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gramStart"/>
      <w:r w:rsidRPr="00014D0A">
        <w:rPr>
          <w:rFonts w:ascii="Arial" w:eastAsiaTheme="minorHAnsi" w:hAnsi="Arial" w:cs="Arial"/>
          <w:color w:val="000000"/>
          <w:sz w:val="20"/>
          <w:szCs w:val="20"/>
        </w:rPr>
        <w:t>list(</w:t>
      </w:r>
      <w:proofErr w:type="gramEnd"/>
      <w:r w:rsidRPr="00014D0A">
        <w:rPr>
          <w:rFonts w:ascii="Arial" w:eastAsiaTheme="minorHAnsi" w:hAnsi="Arial" w:cs="Arial"/>
          <w:color w:val="000000"/>
          <w:sz w:val="20"/>
          <w:szCs w:val="20"/>
        </w:rPr>
        <w:t>H=6, Xhat=c(17.651808,15.820386,22.554594,16.455425,15.455035,29.509728),</w:t>
      </w:r>
    </w:p>
    <w:p w14:paraId="6DF9A132"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Xse</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0.89967,1.65963,1.72522,5.00315,0.63599,1.9259),</w:t>
      </w:r>
    </w:p>
    <w:p w14:paraId="1CA9E08B"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Nhat</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7843,8748,11995,6891,13546,11794),</w:t>
      </w:r>
    </w:p>
    <w:p w14:paraId="3C180532"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Nse</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1204,1000,1204,1481,1605,1305))</w:t>
      </w:r>
    </w:p>
    <w:p w14:paraId="008C1AB2"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
    <w:p w14:paraId="19E8D5BD" w14:textId="77777777" w:rsidR="001400CC" w:rsidRPr="00014D0A" w:rsidRDefault="001400CC" w:rsidP="001400CC">
      <w:pPr>
        <w:autoSpaceDE w:val="0"/>
        <w:autoSpaceDN w:val="0"/>
        <w:adjustRightInd w:val="0"/>
        <w:spacing w:after="0"/>
        <w:jc w:val="left"/>
        <w:rPr>
          <w:rFonts w:ascii="Arial" w:eastAsiaTheme="minorHAnsi" w:hAnsi="Arial" w:cs="Arial"/>
          <w:b/>
          <w:bCs/>
          <w:sz w:val="20"/>
          <w:szCs w:val="20"/>
        </w:rPr>
      </w:pPr>
      <w:r w:rsidRPr="00014D0A">
        <w:rPr>
          <w:rFonts w:ascii="Arial" w:eastAsiaTheme="minorHAnsi" w:hAnsi="Arial" w:cs="Arial"/>
          <w:b/>
          <w:bCs/>
          <w:sz w:val="20"/>
          <w:szCs w:val="20"/>
        </w:rPr>
        <w:t>mean</w:t>
      </w:r>
      <w:r w:rsidRPr="00014D0A">
        <w:rPr>
          <w:rFonts w:ascii="Arial" w:eastAsiaTheme="minorHAnsi" w:hAnsi="Arial" w:cs="Arial"/>
          <w:b/>
          <w:bCs/>
          <w:sz w:val="20"/>
          <w:szCs w:val="20"/>
        </w:rPr>
        <w:tab/>
      </w:r>
      <w:proofErr w:type="spellStart"/>
      <w:r w:rsidRPr="00014D0A">
        <w:rPr>
          <w:rFonts w:ascii="Arial" w:eastAsiaTheme="minorHAnsi" w:hAnsi="Arial" w:cs="Arial"/>
          <w:b/>
          <w:bCs/>
          <w:sz w:val="20"/>
          <w:szCs w:val="20"/>
        </w:rPr>
        <w:t>sd</w:t>
      </w:r>
      <w:proofErr w:type="spellEnd"/>
      <w:r w:rsidRPr="00014D0A">
        <w:rPr>
          <w:rFonts w:ascii="Arial" w:eastAsiaTheme="minorHAnsi" w:hAnsi="Arial" w:cs="Arial"/>
          <w:b/>
          <w:bCs/>
          <w:sz w:val="20"/>
          <w:szCs w:val="20"/>
        </w:rPr>
        <w:tab/>
      </w:r>
      <w:proofErr w:type="spellStart"/>
      <w:r w:rsidRPr="00014D0A">
        <w:rPr>
          <w:rFonts w:ascii="Arial" w:eastAsiaTheme="minorHAnsi" w:hAnsi="Arial" w:cs="Arial"/>
          <w:b/>
          <w:bCs/>
          <w:sz w:val="20"/>
          <w:szCs w:val="20"/>
        </w:rPr>
        <w:t>MC_error</w:t>
      </w:r>
      <w:proofErr w:type="spellEnd"/>
      <w:r w:rsidRPr="00014D0A">
        <w:rPr>
          <w:rFonts w:ascii="Arial" w:eastAsiaTheme="minorHAnsi" w:hAnsi="Arial" w:cs="Arial"/>
          <w:b/>
          <w:bCs/>
          <w:sz w:val="20"/>
          <w:szCs w:val="20"/>
        </w:rPr>
        <w:tab/>
        <w:t>val2.5pc</w:t>
      </w:r>
      <w:r w:rsidRPr="00014D0A">
        <w:rPr>
          <w:rFonts w:ascii="Arial" w:eastAsiaTheme="minorHAnsi" w:hAnsi="Arial" w:cs="Arial"/>
          <w:b/>
          <w:bCs/>
          <w:sz w:val="20"/>
          <w:szCs w:val="20"/>
        </w:rPr>
        <w:tab/>
        <w:t>median</w:t>
      </w:r>
      <w:r w:rsidRPr="00014D0A">
        <w:rPr>
          <w:rFonts w:ascii="Arial" w:eastAsiaTheme="minorHAnsi" w:hAnsi="Arial" w:cs="Arial"/>
          <w:b/>
          <w:bCs/>
          <w:sz w:val="20"/>
          <w:szCs w:val="20"/>
        </w:rPr>
        <w:tab/>
        <w:t>val97.5pc</w:t>
      </w:r>
      <w:r w:rsidRPr="00014D0A">
        <w:rPr>
          <w:rFonts w:ascii="Arial" w:eastAsiaTheme="minorHAnsi" w:hAnsi="Arial" w:cs="Arial"/>
          <w:b/>
          <w:bCs/>
          <w:sz w:val="20"/>
          <w:szCs w:val="20"/>
        </w:rPr>
        <w:tab/>
        <w:t>start</w:t>
      </w:r>
      <w:r w:rsidRPr="00014D0A">
        <w:rPr>
          <w:rFonts w:ascii="Arial" w:eastAsiaTheme="minorHAnsi" w:hAnsi="Arial" w:cs="Arial"/>
          <w:b/>
          <w:bCs/>
          <w:sz w:val="20"/>
          <w:szCs w:val="20"/>
        </w:rPr>
        <w:tab/>
        <w:t>sample</w:t>
      </w:r>
    </w:p>
    <w:p w14:paraId="145C7A8C"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proofErr w:type="spellStart"/>
      <w:r w:rsidRPr="00014D0A">
        <w:rPr>
          <w:rFonts w:ascii="Arial" w:eastAsiaTheme="minorHAnsi" w:hAnsi="Arial" w:cs="Arial"/>
          <w:sz w:val="20"/>
          <w:szCs w:val="20"/>
        </w:rPr>
        <w:t>X.weighted</w:t>
      </w:r>
      <w:proofErr w:type="spellEnd"/>
      <w:r w:rsidRPr="00014D0A">
        <w:rPr>
          <w:rFonts w:ascii="Arial" w:eastAsiaTheme="minorHAnsi" w:hAnsi="Arial" w:cs="Arial"/>
          <w:sz w:val="20"/>
          <w:szCs w:val="20"/>
        </w:rPr>
        <w:tab/>
        <w:t>20.03</w:t>
      </w:r>
      <w:r w:rsidRPr="00014D0A">
        <w:rPr>
          <w:rFonts w:ascii="Arial" w:eastAsiaTheme="minorHAnsi" w:hAnsi="Arial" w:cs="Arial"/>
          <w:sz w:val="20"/>
          <w:szCs w:val="20"/>
        </w:rPr>
        <w:tab/>
        <w:t>0.8681</w:t>
      </w:r>
      <w:r w:rsidRPr="00014D0A">
        <w:rPr>
          <w:rFonts w:ascii="Arial" w:eastAsiaTheme="minorHAnsi" w:hAnsi="Arial" w:cs="Arial"/>
          <w:sz w:val="20"/>
          <w:szCs w:val="20"/>
        </w:rPr>
        <w:tab/>
        <w:t>0.003971</w:t>
      </w:r>
      <w:r w:rsidRPr="00014D0A">
        <w:rPr>
          <w:rFonts w:ascii="Arial" w:eastAsiaTheme="minorHAnsi" w:hAnsi="Arial" w:cs="Arial"/>
          <w:sz w:val="20"/>
          <w:szCs w:val="20"/>
        </w:rPr>
        <w:tab/>
        <w:t>18.33</w:t>
      </w:r>
      <w:r w:rsidRPr="00014D0A">
        <w:rPr>
          <w:rFonts w:ascii="Arial" w:eastAsiaTheme="minorHAnsi" w:hAnsi="Arial" w:cs="Arial"/>
          <w:sz w:val="20"/>
          <w:szCs w:val="20"/>
        </w:rPr>
        <w:tab/>
        <w:t>20.04</w:t>
      </w:r>
      <w:r w:rsidRPr="00014D0A">
        <w:rPr>
          <w:rFonts w:ascii="Arial" w:eastAsiaTheme="minorHAnsi" w:hAnsi="Arial" w:cs="Arial"/>
          <w:sz w:val="20"/>
          <w:szCs w:val="20"/>
        </w:rPr>
        <w:tab/>
        <w:t>21.72</w:t>
      </w:r>
      <w:r w:rsidRPr="00014D0A">
        <w:rPr>
          <w:rFonts w:ascii="Arial" w:eastAsiaTheme="minorHAnsi" w:hAnsi="Arial" w:cs="Arial"/>
          <w:sz w:val="20"/>
          <w:szCs w:val="20"/>
        </w:rPr>
        <w:tab/>
        <w:t>101</w:t>
      </w:r>
      <w:r w:rsidRPr="00014D0A">
        <w:rPr>
          <w:rFonts w:ascii="Arial" w:eastAsiaTheme="minorHAnsi" w:hAnsi="Arial" w:cs="Arial"/>
          <w:sz w:val="20"/>
          <w:szCs w:val="20"/>
        </w:rPr>
        <w:tab/>
        <w:t>49900</w:t>
      </w:r>
    </w:p>
    <w:p w14:paraId="3AD60565" w14:textId="758D0401" w:rsidR="00357664" w:rsidRDefault="001400CC" w:rsidP="001400CC">
      <w:pPr>
        <w:spacing w:after="0"/>
        <w:rPr>
          <w:rFonts w:ascii="Arial" w:eastAsiaTheme="minorHAnsi" w:hAnsi="Arial" w:cs="Arial"/>
          <w:sz w:val="20"/>
          <w:szCs w:val="20"/>
        </w:rPr>
      </w:pPr>
      <w:r w:rsidRPr="00014D0A">
        <w:rPr>
          <w:rFonts w:ascii="Arial" w:eastAsiaTheme="minorHAnsi" w:hAnsi="Arial" w:cs="Arial"/>
          <w:sz w:val="20"/>
          <w:szCs w:val="20"/>
        </w:rPr>
        <w:t>Yield</w:t>
      </w:r>
      <w:r w:rsidRPr="00014D0A">
        <w:rPr>
          <w:rFonts w:ascii="Arial" w:eastAsiaTheme="minorHAnsi" w:hAnsi="Arial" w:cs="Arial"/>
          <w:sz w:val="20"/>
          <w:szCs w:val="20"/>
        </w:rPr>
        <w:tab/>
        <w:t>1.218E+6</w:t>
      </w:r>
      <w:r w:rsidRPr="00014D0A">
        <w:rPr>
          <w:rFonts w:ascii="Arial" w:eastAsiaTheme="minorHAnsi" w:hAnsi="Arial" w:cs="Arial"/>
          <w:sz w:val="20"/>
          <w:szCs w:val="20"/>
        </w:rPr>
        <w:tab/>
        <w:t>81850.0</w:t>
      </w:r>
      <w:r w:rsidRPr="00014D0A">
        <w:rPr>
          <w:rFonts w:ascii="Arial" w:eastAsiaTheme="minorHAnsi" w:hAnsi="Arial" w:cs="Arial"/>
          <w:sz w:val="20"/>
          <w:szCs w:val="20"/>
        </w:rPr>
        <w:tab/>
        <w:t>358.5</w:t>
      </w:r>
      <w:r w:rsidRPr="00014D0A">
        <w:rPr>
          <w:rFonts w:ascii="Arial" w:eastAsiaTheme="minorHAnsi" w:hAnsi="Arial" w:cs="Arial"/>
          <w:sz w:val="20"/>
          <w:szCs w:val="20"/>
        </w:rPr>
        <w:tab/>
        <w:t>1.061E+6</w:t>
      </w:r>
      <w:r w:rsidRPr="00014D0A">
        <w:rPr>
          <w:rFonts w:ascii="Arial" w:eastAsiaTheme="minorHAnsi" w:hAnsi="Arial" w:cs="Arial"/>
          <w:sz w:val="20"/>
          <w:szCs w:val="20"/>
        </w:rPr>
        <w:tab/>
        <w:t>1.216E+6</w:t>
      </w:r>
      <w:r w:rsidRPr="00014D0A">
        <w:rPr>
          <w:rFonts w:ascii="Arial" w:eastAsiaTheme="minorHAnsi" w:hAnsi="Arial" w:cs="Arial"/>
          <w:sz w:val="20"/>
          <w:szCs w:val="20"/>
        </w:rPr>
        <w:tab/>
        <w:t>1.383E+6</w:t>
      </w:r>
      <w:r w:rsidRPr="00014D0A">
        <w:rPr>
          <w:rFonts w:ascii="Arial" w:eastAsiaTheme="minorHAnsi" w:hAnsi="Arial" w:cs="Arial"/>
          <w:sz w:val="20"/>
          <w:szCs w:val="20"/>
        </w:rPr>
        <w:tab/>
        <w:t>101</w:t>
      </w:r>
      <w:r w:rsidRPr="00014D0A">
        <w:rPr>
          <w:rFonts w:ascii="Arial" w:eastAsiaTheme="minorHAnsi" w:hAnsi="Arial" w:cs="Arial"/>
          <w:sz w:val="20"/>
          <w:szCs w:val="20"/>
        </w:rPr>
        <w:tab/>
        <w:t>49900</w:t>
      </w:r>
    </w:p>
    <w:p w14:paraId="3DDF8AE8" w14:textId="43E0B987" w:rsidR="001D333E" w:rsidRDefault="001D333E" w:rsidP="001400CC">
      <w:pPr>
        <w:spacing w:after="0"/>
        <w:rPr>
          <w:rFonts w:ascii="Arial" w:eastAsiaTheme="minorHAnsi" w:hAnsi="Arial" w:cs="Arial"/>
          <w:sz w:val="20"/>
          <w:szCs w:val="20"/>
        </w:rPr>
      </w:pPr>
    </w:p>
    <w:p w14:paraId="6AFAA25C" w14:textId="6E0C799B" w:rsidR="001D333E" w:rsidRPr="00014D0A" w:rsidRDefault="001D333E" w:rsidP="001400CC">
      <w:pPr>
        <w:spacing w:after="0"/>
        <w:rPr>
          <w:rFonts w:asciiTheme="minorHAnsi" w:hAnsiTheme="minorHAnsi"/>
          <w:sz w:val="20"/>
          <w:szCs w:val="20"/>
        </w:rPr>
      </w:pPr>
    </w:p>
    <w:sectPr w:rsidR="001D333E" w:rsidRPr="00014D0A" w:rsidSect="009551E6">
      <w:headerReference w:type="default" r:id="rId35"/>
      <w:footerReference w:type="default" r:id="rId36"/>
      <w:pgSz w:w="12240" w:h="15840" w:code="1"/>
      <w:pgMar w:top="1440" w:right="1440" w:bottom="1440" w:left="1440" w:header="720" w:footer="576"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Webster" w:date="2019-04-24T15:40:00Z" w:initials="SW">
    <w:p w14:paraId="0FF32410" w14:textId="77777777" w:rsidR="000B0B97" w:rsidRDefault="000B0B97">
      <w:pPr>
        <w:pStyle w:val="CommentText"/>
      </w:pPr>
      <w:r>
        <w:rPr>
          <w:rStyle w:val="CommentReference"/>
        </w:rPr>
        <w:annotationRef/>
      </w:r>
      <w:r>
        <w:t>Anyone else?</w:t>
      </w:r>
    </w:p>
  </w:comment>
  <w:comment w:id="1" w:author="Sarah Webster" w:date="2019-07-02T10:51:00Z" w:initials="SW">
    <w:p w14:paraId="787138A5" w14:textId="3D00D51F" w:rsidR="000B0B97" w:rsidRDefault="000B0B97">
      <w:pPr>
        <w:pStyle w:val="CommentText"/>
      </w:pPr>
      <w:r>
        <w:rPr>
          <w:rStyle w:val="CommentReference"/>
        </w:rPr>
        <w:annotationRef/>
      </w:r>
      <w:proofErr w:type="spellStart"/>
      <w:r>
        <w:t>Hazzy</w:t>
      </w:r>
      <w:proofErr w:type="spellEnd"/>
      <w:r>
        <w:t xml:space="preserve"> recommended potentially adding Ben.</w:t>
      </w:r>
    </w:p>
  </w:comment>
  <w:comment w:id="5" w:author="Sarah Webster" w:date="2019-07-03T09:40:00Z" w:initials="SW">
    <w:p w14:paraId="2D17C789" w14:textId="0AFDEDDC" w:rsidR="000B0B97" w:rsidRDefault="000B0B97">
      <w:pPr>
        <w:pStyle w:val="CommentText"/>
      </w:pPr>
      <w:r>
        <w:rPr>
          <w:rStyle w:val="CommentReference"/>
        </w:rPr>
        <w:annotationRef/>
      </w:r>
      <w:r>
        <w:t>Double check page numbers before final printing.</w:t>
      </w:r>
    </w:p>
  </w:comment>
  <w:comment w:id="22" w:author="Buzzee, Benjamin E (DFG)" w:date="2019-10-01T13:36:00Z" w:initials="BBE(">
    <w:p w14:paraId="6B8E15BE" w14:textId="7349E8F8" w:rsidR="000B0B97" w:rsidRDefault="000B0B97">
      <w:pPr>
        <w:pStyle w:val="CommentText"/>
      </w:pPr>
      <w:r>
        <w:rPr>
          <w:rStyle w:val="CommentReference"/>
        </w:rPr>
        <w:annotationRef/>
      </w:r>
      <w:r w:rsidR="007D151A">
        <w:t>Capitalized u</w:t>
      </w:r>
    </w:p>
  </w:comment>
  <w:comment w:id="23" w:author="Buzzee, Benjamin E (DFG)" w:date="2019-10-01T13:58:00Z" w:initials="BBE(">
    <w:p w14:paraId="5141C34F" w14:textId="21A327CB" w:rsidR="0031637F" w:rsidRDefault="0031637F">
      <w:pPr>
        <w:pStyle w:val="CommentText"/>
      </w:pPr>
      <w:r>
        <w:rPr>
          <w:rStyle w:val="CommentReference"/>
        </w:rPr>
        <w:annotationRef/>
      </w:r>
      <w:r>
        <w:t>total</w:t>
      </w:r>
    </w:p>
  </w:comment>
  <w:comment w:id="24" w:author="Buzzee, Benjamin E (DFG)" w:date="2019-10-01T14:22:00Z" w:initials="BBE(">
    <w:p w14:paraId="1E55B150" w14:textId="4305BC31" w:rsidR="008407D3" w:rsidRDefault="008407D3">
      <w:pPr>
        <w:pStyle w:val="CommentText"/>
      </w:pPr>
      <w:r>
        <w:rPr>
          <w:rStyle w:val="CommentReference"/>
        </w:rPr>
        <w:annotationRef/>
      </w:r>
      <w:r>
        <w:t>capitalized u</w:t>
      </w:r>
    </w:p>
  </w:comment>
  <w:comment w:id="25" w:author="Buzzee, Benjamin E (DFG)" w:date="2019-10-01T13:42:00Z" w:initials="BBE(">
    <w:p w14:paraId="29808453" w14:textId="5464F304" w:rsidR="000B0B97" w:rsidRDefault="000B0B97">
      <w:pPr>
        <w:pStyle w:val="CommentText"/>
      </w:pPr>
      <w:r>
        <w:rPr>
          <w:rStyle w:val="CommentReference"/>
        </w:rPr>
        <w:annotationRef/>
      </w:r>
      <w:r w:rsidR="008407D3">
        <w:t xml:space="preserve">Changed “obtained” to “estimated.” </w:t>
      </w:r>
      <w:r>
        <w:t xml:space="preserve">We can’t obtain the </w:t>
      </w:r>
      <w:r w:rsidR="007D151A">
        <w:t>‘</w:t>
      </w:r>
      <w:r>
        <w:t>true</w:t>
      </w:r>
      <w:r w:rsidR="007D151A">
        <w:t>’</w:t>
      </w:r>
      <w:r>
        <w:t xml:space="preserve"> variance, we can only estimate it via MCMC methods.</w:t>
      </w:r>
      <w:r w:rsidR="00B31C30">
        <w:t xml:space="preserve"> </w:t>
      </w:r>
    </w:p>
  </w:comment>
  <w:comment w:id="26" w:author="Buzzee, Benjamin E (DFG)" w:date="2019-10-01T13:46:00Z" w:initials="BBE(">
    <w:p w14:paraId="2A3D142C" w14:textId="7FB75030" w:rsidR="000B0B97" w:rsidRDefault="000B0B97">
      <w:pPr>
        <w:pStyle w:val="CommentText"/>
      </w:pPr>
      <w:r>
        <w:rPr>
          <w:rStyle w:val="CommentReference"/>
        </w:rPr>
        <w:annotationRef/>
      </w:r>
      <w:r w:rsidR="00CD2AE0">
        <w:t xml:space="preserve">The method for estimating </w:t>
      </w:r>
      <m:oMath>
        <m:acc>
          <m:accPr>
            <m:ctrlPr>
              <w:rPr>
                <w:rFonts w:ascii="Cambria Math" w:hAnsi="Cambria Math"/>
              </w:rPr>
            </m:ctrlPr>
          </m:accPr>
          <m:e>
            <m:acc>
              <m:accPr>
                <m:chr m:val="̅"/>
                <m:ctrlPr>
                  <w:rPr>
                    <w:rFonts w:ascii="Cambria Math" w:hAnsi="Cambria Math"/>
                  </w:rPr>
                </m:ctrlPr>
              </m:accPr>
              <m:e>
                <m:r>
                  <w:rPr>
                    <w:rFonts w:ascii="Cambria Math" w:hAnsi="Cambria Math"/>
                  </w:rPr>
                  <m:t>w</m:t>
                </m:r>
              </m:e>
            </m:acc>
          </m:e>
        </m:acc>
        <m:r>
          <w:rPr>
            <w:rFonts w:ascii="Cambria Math" w:hAnsi="Cambria Math"/>
          </w:rPr>
          <m:t xml:space="preserve"> should probably be added to the appendices.</m:t>
        </m:r>
      </m:oMath>
      <w:r w:rsidR="00CD2AE0">
        <w:t xml:space="preserve"> I’m not used to seeing bars and hats used for the same estimator. </w:t>
      </w:r>
      <w:r w:rsidR="0031637F">
        <w:t xml:space="preserve"> It sounds like just the w-bar notation is needed</w:t>
      </w:r>
      <w:r w:rsidR="00B31C30">
        <w:t>, but I’m not sure since I don’t know how it was derived.</w:t>
      </w:r>
    </w:p>
  </w:comment>
  <w:comment w:id="28" w:author="Buzzee, Benjamin E (DFG)" w:date="2019-10-01T14:02:00Z" w:initials="BBE(">
    <w:p w14:paraId="563E3E61" w14:textId="409AC422" w:rsidR="0031637F" w:rsidRDefault="0031637F">
      <w:pPr>
        <w:pStyle w:val="CommentText"/>
      </w:pPr>
      <w:r>
        <w:rPr>
          <w:rStyle w:val="CommentReference"/>
        </w:rPr>
        <w:annotationRef/>
      </w:r>
      <w:r>
        <w:t>Note: There’s no hat on this so total harvest in each sub area is treated as a fixed constant, not an estimate of something. (</w:t>
      </w:r>
      <w:proofErr w:type="gramStart"/>
      <w:r>
        <w:t>Var(</w:t>
      </w:r>
      <w:proofErr w:type="spellStart"/>
      <w:proofErr w:type="gramEnd"/>
      <w:r>
        <w:t>Hca</w:t>
      </w:r>
      <w:proofErr w:type="spellEnd"/>
      <w:r>
        <w:t>) = 0)</w:t>
      </w:r>
    </w:p>
  </w:comment>
  <w:comment w:id="29" w:author="Buzzee, Benjamin E (DFG)" w:date="2019-10-01T14:04:00Z" w:initials="BBE(">
    <w:p w14:paraId="0C63254B" w14:textId="5A0FD009" w:rsidR="0031637F" w:rsidRDefault="0031637F">
      <w:pPr>
        <w:pStyle w:val="CommentText"/>
      </w:pPr>
      <w:r>
        <w:rPr>
          <w:rStyle w:val="CommentReference"/>
        </w:rPr>
        <w:annotationRef/>
      </w:r>
      <w:r>
        <w:t>Is this an estimate of a value or a known constant? Remove hat if it is a known value.</w:t>
      </w:r>
      <w:r w:rsidR="007D151A">
        <w:t xml:space="preserve"> A </w:t>
      </w:r>
      <w:proofErr w:type="gramStart"/>
      <w:r w:rsidR="007D151A">
        <w:t>reported total sounds</w:t>
      </w:r>
      <w:proofErr w:type="gramEnd"/>
      <w:r w:rsidR="007D151A">
        <w:t xml:space="preserve"> like a fixed constant.</w:t>
      </w:r>
    </w:p>
  </w:comment>
  <w:comment w:id="30" w:author="Buzzee, Benjamin E (DFG)" w:date="2019-10-01T14:34:00Z" w:initials="BBE(">
    <w:p w14:paraId="2426984B" w14:textId="57E78AE2" w:rsidR="00C26F58" w:rsidRDefault="00C26F58">
      <w:pPr>
        <w:pStyle w:val="CommentText"/>
      </w:pPr>
      <w:r>
        <w:rPr>
          <w:rStyle w:val="CommentReference"/>
        </w:rPr>
        <w:annotationRef/>
      </w:r>
      <w:proofErr w:type="spellStart"/>
      <w:r>
        <w:t>H_ca</w:t>
      </w:r>
      <w:proofErr w:type="spellEnd"/>
      <w:r>
        <w:t xml:space="preserve"> is treated as a fixed constant here. That would imply </w:t>
      </w:r>
      <w:proofErr w:type="gramStart"/>
      <w:r>
        <w:t>var(</w:t>
      </w:r>
      <w:proofErr w:type="spellStart"/>
      <w:proofErr w:type="gramEnd"/>
      <w:r>
        <w:t>Hc</w:t>
      </w:r>
      <w:proofErr w:type="spellEnd"/>
      <w:r>
        <w:t xml:space="preserve">) = 0 in equation 6. </w:t>
      </w:r>
    </w:p>
  </w:comment>
  <w:comment w:id="31" w:author="Sarah Webster" w:date="2019-06-14T16:53:00Z" w:initials="SW">
    <w:p w14:paraId="239316D2" w14:textId="283289A1" w:rsidR="000B0B97" w:rsidRDefault="000B0B97">
      <w:pPr>
        <w:pStyle w:val="CommentText"/>
      </w:pPr>
      <w:r>
        <w:rPr>
          <w:rStyle w:val="CommentReference"/>
        </w:rPr>
        <w:annotationRef/>
      </w:r>
      <w:r>
        <w:t>Double check formula relative to LogbookYield.xlsx</w:t>
      </w:r>
    </w:p>
  </w:comment>
  <w:comment w:id="32" w:author="Buzzee, Benjamin E (DFG)" w:date="2019-10-01T14:05:00Z" w:initials="BBE(">
    <w:p w14:paraId="1792C454" w14:textId="464C81A9" w:rsidR="0031637F" w:rsidRDefault="0031637F">
      <w:pPr>
        <w:pStyle w:val="CommentText"/>
      </w:pPr>
      <w:r>
        <w:rPr>
          <w:rStyle w:val="CommentReference"/>
        </w:rPr>
        <w:annotationRef/>
      </w:r>
      <w:r>
        <w:t xml:space="preserve">What is g? Would it be more clean to remove the index g and just do </w:t>
      </w:r>
      <m:oMath>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r>
          <w:rPr>
            <w:rFonts w:ascii="Cambria Math" w:hAnsi="Cambria Math"/>
          </w:rPr>
          <m:t>=</m:t>
        </m:r>
        <m:acc>
          <m:accPr>
            <m:ctrlPr>
              <w:rPr>
                <w:rFonts w:ascii="Cambria Math" w:hAnsi="Cambria Math"/>
                <w:i/>
              </w:rPr>
            </m:ctrlPr>
          </m:accPr>
          <m:e>
            <m:r>
              <w:rPr>
                <w:rFonts w:ascii="Cambria Math" w:hAnsi="Cambria Math"/>
              </w:rPr>
              <m:t>Y</m:t>
            </m:r>
          </m:e>
        </m:acc>
        <m:r>
          <m:rPr>
            <m:lit/>
          </m:rPr>
          <w:rPr>
            <w:rFonts w:ascii="Cambria Math" w:hAnsi="Cambria Math"/>
          </w:rPr>
          <m:t>/</m:t>
        </m:r>
        <m:acc>
          <m:accPr>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rPr>
            </m:ctrlPr>
          </m:fPr>
          <m:num>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C</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U</m:t>
                    </m:r>
                  </m:sub>
                </m:sSub>
              </m:e>
            </m:acc>
            <m:ctrlPr>
              <w:rPr>
                <w:rFonts w:ascii="Cambria Math" w:hAnsi="Cambria Math"/>
                <w:i/>
              </w:rPr>
            </m:ctrlPr>
          </m:num>
          <m:den>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H</m:t>
                    </m:r>
                  </m:e>
                  <m:sub>
                    <m:r>
                      <w:rPr>
                        <w:rFonts w:ascii="Cambria Math" w:hAnsi="Cambria Math"/>
                      </w:rPr>
                      <m:t>U</m:t>
                    </m:r>
                  </m:sub>
                </m:sSub>
              </m:e>
            </m:acc>
            <m:ctrlPr>
              <w:rPr>
                <w:rFonts w:ascii="Cambria Math" w:hAnsi="Cambria Math"/>
                <w:i/>
              </w:rPr>
            </m:ctrlPr>
          </m:den>
        </m:f>
      </m:oMath>
      <w:r w:rsidR="00AE6BF8">
        <w:t xml:space="preserve"> ?</w:t>
      </w:r>
    </w:p>
  </w:comment>
  <w:comment w:id="35" w:author="Buzzee, Benjamin E (DFG)" w:date="2019-10-01T14:32:00Z" w:initials="BBE(">
    <w:p w14:paraId="5E8B0360" w14:textId="368C3547" w:rsidR="00E0788E" w:rsidRDefault="00C26F58">
      <w:pPr>
        <w:pStyle w:val="CommentText"/>
      </w:pPr>
      <w:r>
        <w:rPr>
          <w:rStyle w:val="CommentReference"/>
        </w:rPr>
        <w:annotationRef/>
      </w:r>
      <w:r w:rsidR="00E0788E">
        <w:t>I haven’t used the delta method in a couple years</w:t>
      </w:r>
      <w:r w:rsidR="00B31C30">
        <w:t>,</w:t>
      </w:r>
      <w:r w:rsidR="00E0788E">
        <w:t xml:space="preserve"> and I can’t figure out how this equation was derived.</w:t>
      </w:r>
    </w:p>
    <w:p w14:paraId="35173A40" w14:textId="77777777" w:rsidR="00E0788E" w:rsidRDefault="00E0788E">
      <w:pPr>
        <w:pStyle w:val="CommentText"/>
      </w:pPr>
    </w:p>
    <w:p w14:paraId="6FAD0B30" w14:textId="7FDBFA1D" w:rsidR="00C26F58" w:rsidRDefault="00C26F58">
      <w:pPr>
        <w:pStyle w:val="CommentText"/>
      </w:pPr>
      <w:r>
        <w:t xml:space="preserve">We need to determine which quantities are random </w:t>
      </w:r>
      <w:r w:rsidR="00A96043">
        <w:t xml:space="preserve">and which are fixed. If we used a sample to estimate a value and our estimate could’ve been different if we collected a different sample, then it’s a random quantity. If it’s a known number that didn’t make use of a random sample, it’s fixed and has </w:t>
      </w:r>
      <w:proofErr w:type="gramStart"/>
      <w:r w:rsidR="00A96043">
        <w:t>variance  =</w:t>
      </w:r>
      <w:proofErr w:type="gramEnd"/>
      <w:r w:rsidR="00A96043">
        <w:t xml:space="preserve"> 0. </w:t>
      </w:r>
    </w:p>
    <w:p w14:paraId="130634A0" w14:textId="77777777" w:rsidR="00A96043" w:rsidRDefault="00A96043">
      <w:pPr>
        <w:pStyle w:val="CommentText"/>
      </w:pPr>
    </w:p>
    <w:p w14:paraId="3A5BE7A0" w14:textId="77777777" w:rsidR="00A96043" w:rsidRDefault="00A96043">
      <w:pPr>
        <w:pStyle w:val="CommentText"/>
      </w:pPr>
    </w:p>
    <w:p w14:paraId="72C8E4B6" w14:textId="77777777" w:rsidR="00A96043" w:rsidRDefault="00A96043">
      <w:pPr>
        <w:pStyle w:val="CommentText"/>
      </w:pPr>
    </w:p>
    <w:p w14:paraId="1ADA5CC1" w14:textId="219CEE9E" w:rsidR="00A96043" w:rsidRDefault="00A96043">
      <w:pPr>
        <w:pStyle w:val="CommentText"/>
      </w:pPr>
      <w:r>
        <w:t xml:space="preserve">Assuming our estimates </w:t>
      </w:r>
      <w:r w:rsidR="007D151A">
        <w:t>(</w:t>
      </w:r>
      <w:proofErr w:type="spellStart"/>
      <w:r>
        <w:t>Yhats</w:t>
      </w:r>
      <w:proofErr w:type="spellEnd"/>
      <w:r>
        <w:t xml:space="preserve"> and </w:t>
      </w:r>
      <w:proofErr w:type="spellStart"/>
      <w:r>
        <w:t>Hhats</w:t>
      </w:r>
      <w:proofErr w:type="spellEnd"/>
      <w:r w:rsidR="007D151A">
        <w:t>)</w:t>
      </w:r>
      <w:bookmarkStart w:id="36" w:name="_GoBack"/>
      <w:bookmarkEnd w:id="36"/>
      <w:r>
        <w:t xml:space="preserve"> are unbiased,</w:t>
      </w:r>
      <w:r w:rsidR="00E0788E">
        <w:t xml:space="preserve"> and </w:t>
      </w:r>
      <w:proofErr w:type="spellStart"/>
      <w:r w:rsidR="00E0788E">
        <w:t>Hc</w:t>
      </w:r>
      <w:proofErr w:type="spellEnd"/>
      <w:r w:rsidR="00E0788E">
        <w:t xml:space="preserve"> is a fixed quantity,</w:t>
      </w:r>
      <w:r>
        <w:t xml:space="preserve"> I think the formula would be </w:t>
      </w:r>
    </w:p>
    <w:p w14:paraId="166B4F55" w14:textId="77777777" w:rsidR="00A96043" w:rsidRDefault="00A96043">
      <w:pPr>
        <w:pStyle w:val="CommentText"/>
      </w:pPr>
    </w:p>
    <w:p w14:paraId="101A4ED1" w14:textId="4F9D5820" w:rsidR="00A96043" w:rsidRDefault="00A96043">
      <w:pPr>
        <w:pStyle w:val="CommentText"/>
        <w:rPr>
          <w:sz w:val="28"/>
          <w:szCs w:val="28"/>
        </w:rPr>
      </w:pPr>
      <w:r>
        <w:rPr>
          <w:sz w:val="28"/>
          <w:szCs w:val="28"/>
        </w:rPr>
        <w:t>(</w:t>
      </w:r>
      <m:oMath>
        <m:sSup>
          <m:sSupPr>
            <m:ctrlPr>
              <w:rPr>
                <w:rFonts w:ascii="Cambria Math" w:hAnsi="Cambria Math"/>
                <w:i/>
                <w:sz w:val="28"/>
                <w:szCs w:val="28"/>
              </w:rPr>
            </m:ctrlPr>
          </m:sSupPr>
          <m:e>
            <m:f>
              <m:fPr>
                <m:ctrlPr>
                  <w:rPr>
                    <w:rFonts w:ascii="Cambria Math" w:hAnsi="Cambria Math"/>
                    <w:sz w:val="28"/>
                    <w:szCs w:val="28"/>
                  </w:rPr>
                </m:ctrlPr>
              </m:fPr>
              <m:num>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num>
              <m:den>
                <m:acc>
                  <m:accPr>
                    <m:ctrlPr>
                      <w:rPr>
                        <w:rFonts w:ascii="Cambria Math" w:hAnsi="Cambria Math"/>
                        <w:sz w:val="28"/>
                        <w:szCs w:val="28"/>
                      </w:rPr>
                    </m:ctrlPr>
                  </m:accPr>
                  <m:e>
                    <m:r>
                      <m:rPr>
                        <m:sty m:val="p"/>
                      </m:rPr>
                      <w:rPr>
                        <w:rFonts w:ascii="Cambria Math" w:hAnsi="Cambria Math"/>
                        <w:sz w:val="28"/>
                        <w:szCs w:val="28"/>
                      </w:rPr>
                      <m:t>H</m:t>
                    </m:r>
                  </m:e>
                </m:acc>
                <m:ctrlPr>
                  <w:rPr>
                    <w:rFonts w:ascii="Cambria Math" w:hAnsi="Cambria Math"/>
                    <w:i/>
                    <w:sz w:val="28"/>
                    <w:szCs w:val="28"/>
                  </w:rPr>
                </m:ctrlPr>
              </m:den>
            </m:f>
            <m:r>
              <w:rPr>
                <w:rFonts w:ascii="Cambria Math" w:hAnsi="Cambria Math"/>
                <w:sz w:val="28"/>
                <w:szCs w:val="28"/>
              </w:rPr>
              <m:t>)</m:t>
            </m:r>
          </m:e>
          <m:sup>
            <m:r>
              <w:rPr>
                <w:rFonts w:ascii="Cambria Math" w:hAnsi="Cambria Math"/>
                <w:sz w:val="28"/>
                <w:szCs w:val="28"/>
              </w:rPr>
              <m:t>2</m:t>
            </m:r>
          </m:sup>
        </m:sSup>
        <m:f>
          <m:fPr>
            <m:ctrlPr>
              <w:rPr>
                <w:rFonts w:ascii="Cambria Math" w:hAnsi="Cambria Math"/>
                <w:sz w:val="28"/>
                <w:szCs w:val="28"/>
              </w:rPr>
            </m:ctrlPr>
          </m:fPr>
          <m:num>
            <m:r>
              <w:rPr>
                <w:rFonts w:ascii="Cambria Math" w:hAnsi="Cambria Math"/>
                <w:sz w:val="28"/>
                <w:szCs w:val="28"/>
              </w:rPr>
              <m:t>Var</m:t>
            </m:r>
            <m:d>
              <m:dPr>
                <m:ctrlPr>
                  <w:rPr>
                    <w:rFonts w:ascii="Cambria Math" w:hAnsi="Cambria Math"/>
                    <w:i/>
                    <w:sz w:val="28"/>
                    <w:szCs w:val="28"/>
                  </w:rPr>
                </m:ctrlPr>
              </m:dPr>
              <m:e>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m:t>
                        </m:r>
                      </m:sub>
                    </m:sSub>
                  </m:e>
                </m:acc>
              </m:e>
            </m:d>
            <m:r>
              <w:rPr>
                <w:rFonts w:ascii="Cambria Math" w:hAnsi="Cambria Math"/>
                <w:sz w:val="28"/>
                <w:szCs w:val="28"/>
              </w:rPr>
              <m:t>+Var</m:t>
            </m:r>
            <m:d>
              <m:dPr>
                <m:ctrlPr>
                  <w:rPr>
                    <w:rFonts w:ascii="Cambria Math" w:hAnsi="Cambria Math"/>
                    <w:i/>
                    <w:sz w:val="28"/>
                    <w:szCs w:val="28"/>
                  </w:rPr>
                </m:ctrlPr>
              </m:dPr>
              <m:e>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U</m:t>
                        </m:r>
                      </m:sub>
                    </m:sSub>
                  </m:e>
                </m:acc>
              </m:e>
            </m:d>
            <m:ctrlPr>
              <w:rPr>
                <w:rFonts w:ascii="Cambria Math" w:hAnsi="Cambria Math"/>
                <w:i/>
                <w:sz w:val="28"/>
                <w:szCs w:val="28"/>
              </w:rPr>
            </m:ctrlPr>
          </m:num>
          <m:den>
            <m:sSup>
              <m:sSupPr>
                <m:ctrlPr>
                  <w:rPr>
                    <w:rFonts w:ascii="Cambria Math" w:hAnsi="Cambria Math"/>
                    <w:i/>
                    <w:sz w:val="28"/>
                    <w:szCs w:val="28"/>
                  </w:rPr>
                </m:ctrlPr>
              </m:sSupPr>
              <m:e>
                <m:acc>
                  <m:accPr>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rPr>
                  <m:t>2</m:t>
                </m:r>
              </m:sup>
            </m:sSup>
            <m:ctrlPr>
              <w:rPr>
                <w:rFonts w:ascii="Cambria Math" w:hAnsi="Cambria Math"/>
                <w:i/>
                <w:sz w:val="28"/>
                <w:szCs w:val="28"/>
              </w:rPr>
            </m:ctrlPr>
          </m:den>
        </m:f>
      </m:oMath>
      <w:r w:rsidR="00E0788E">
        <w:rPr>
          <w:sz w:val="28"/>
          <w:szCs w:val="28"/>
        </w:rPr>
        <w:t xml:space="preserve"> + </w:t>
      </w:r>
      <m:oMath>
        <m:f>
          <m:fPr>
            <m:ctrlPr>
              <w:rPr>
                <w:rFonts w:ascii="Cambria Math" w:hAnsi="Cambria Math"/>
                <w:sz w:val="28"/>
                <w:szCs w:val="28"/>
              </w:rPr>
            </m:ctrlPr>
          </m:fPr>
          <m:num>
            <m:r>
              <w:rPr>
                <w:rFonts w:ascii="Cambria Math" w:hAnsi="Cambria Math"/>
                <w:sz w:val="28"/>
                <w:szCs w:val="28"/>
              </w:rPr>
              <m:t>Var</m:t>
            </m:r>
            <m:d>
              <m:dPr>
                <m:ctrlPr>
                  <w:rPr>
                    <w:rFonts w:ascii="Cambria Math" w:hAnsi="Cambria Math"/>
                    <w:i/>
                    <w:sz w:val="28"/>
                    <w:szCs w:val="28"/>
                  </w:rPr>
                </m:ctrlPr>
              </m:dPr>
              <m:e>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U</m:t>
                        </m:r>
                      </m:sub>
                    </m:sSub>
                  </m:e>
                </m:acc>
              </m:e>
            </m:d>
            <m:ctrlPr>
              <w:rPr>
                <w:rFonts w:ascii="Cambria Math" w:hAnsi="Cambria Math"/>
                <w:i/>
                <w:sz w:val="28"/>
                <w:szCs w:val="28"/>
              </w:rPr>
            </m:ctrlPr>
          </m:num>
          <m:den>
            <m:sSup>
              <m:sSupPr>
                <m:ctrlPr>
                  <w:rPr>
                    <w:rFonts w:ascii="Cambria Math" w:hAnsi="Cambria Math"/>
                    <w:i/>
                    <w:sz w:val="28"/>
                    <w:szCs w:val="28"/>
                  </w:rPr>
                </m:ctrlPr>
              </m:sSupPr>
              <m:e>
                <m:acc>
                  <m:accPr>
                    <m:ctrlPr>
                      <w:rPr>
                        <w:rFonts w:ascii="Cambria Math" w:hAnsi="Cambria Math"/>
                        <w:sz w:val="28"/>
                        <w:szCs w:val="28"/>
                      </w:rPr>
                    </m:ctrlPr>
                  </m:accPr>
                  <m:e>
                    <m:r>
                      <m:rPr>
                        <m:sty m:val="p"/>
                      </m:rPr>
                      <w:rPr>
                        <w:rFonts w:ascii="Cambria Math" w:hAnsi="Cambria Math"/>
                        <w:sz w:val="28"/>
                        <w:szCs w:val="28"/>
                      </w:rPr>
                      <m:t>H</m:t>
                    </m:r>
                  </m:e>
                </m:acc>
              </m:e>
              <m:sup>
                <m:r>
                  <w:rPr>
                    <w:rFonts w:ascii="Cambria Math" w:hAnsi="Cambria Math"/>
                    <w:sz w:val="28"/>
                    <w:szCs w:val="28"/>
                  </w:rPr>
                  <m:t>2</m:t>
                </m:r>
              </m:sup>
            </m:sSup>
            <m:ctrlPr>
              <w:rPr>
                <w:rFonts w:ascii="Cambria Math" w:hAnsi="Cambria Math"/>
                <w:i/>
                <w:sz w:val="28"/>
                <w:szCs w:val="28"/>
              </w:rPr>
            </m:ctrlPr>
          </m:den>
        </m:f>
      </m:oMath>
      <w:r w:rsidR="00E0788E">
        <w:rPr>
          <w:sz w:val="28"/>
          <w:szCs w:val="28"/>
        </w:rPr>
        <w:t xml:space="preserve"> </w:t>
      </w:r>
      <m:oMath>
        <m:r>
          <w:rPr>
            <w:rFonts w:ascii="Cambria Math" w:hAnsi="Cambria Math"/>
            <w:sz w:val="28"/>
            <w:szCs w:val="28"/>
          </w:rPr>
          <m:t>-2</m:t>
        </m:r>
        <m:f>
          <m:fPr>
            <m:ctrlPr>
              <w:rPr>
                <w:rFonts w:ascii="Cambria Math" w:hAnsi="Cambria Math"/>
                <w:sz w:val="28"/>
                <w:szCs w:val="28"/>
              </w:rPr>
            </m:ctrlPr>
          </m:fPr>
          <m:num>
            <m:r>
              <w:rPr>
                <w:rFonts w:ascii="Cambria Math" w:hAnsi="Cambria Math"/>
                <w:sz w:val="28"/>
                <w:szCs w:val="28"/>
              </w:rPr>
              <m:t>Cov</m:t>
            </m:r>
            <m:d>
              <m:dPr>
                <m:ctrlPr>
                  <w:rPr>
                    <w:rFonts w:ascii="Cambria Math" w:hAnsi="Cambria Math"/>
                    <w:i/>
                    <w:sz w:val="28"/>
                    <w:szCs w:val="28"/>
                  </w:rPr>
                </m:ctrlPr>
              </m:dPr>
              <m:e>
                <m:acc>
                  <m:accPr>
                    <m:ctrlPr>
                      <w:rPr>
                        <w:rFonts w:ascii="Cambria Math" w:hAnsi="Cambria Math"/>
                        <w:sz w:val="28"/>
                        <w:szCs w:val="28"/>
                      </w:rPr>
                    </m:ctrlPr>
                  </m:accPr>
                  <m:e>
                    <m:r>
                      <w:rPr>
                        <w:rFonts w:ascii="Cambria Math" w:hAnsi="Cambria Math"/>
                        <w:sz w:val="28"/>
                        <w:szCs w:val="28"/>
                      </w:rPr>
                      <m:t>Y</m:t>
                    </m:r>
                  </m:e>
                </m:acc>
                <m:r>
                  <w:rPr>
                    <w:rFonts w:ascii="Cambria Math" w:hAnsi="Cambria Math"/>
                    <w:sz w:val="28"/>
                    <w:szCs w:val="28"/>
                  </w:rPr>
                  <m:t>,</m:t>
                </m:r>
                <m:acc>
                  <m:accPr>
                    <m:ctrlPr>
                      <w:rPr>
                        <w:rFonts w:ascii="Cambria Math" w:hAnsi="Cambria Math"/>
                        <w:i/>
                        <w:sz w:val="28"/>
                        <w:szCs w:val="28"/>
                      </w:rPr>
                    </m:ctrlPr>
                  </m:accPr>
                  <m:e>
                    <m:r>
                      <w:rPr>
                        <w:rFonts w:ascii="Cambria Math" w:hAnsi="Cambria Math"/>
                        <w:sz w:val="28"/>
                        <w:szCs w:val="28"/>
                      </w:rPr>
                      <m:t>H</m:t>
                    </m:r>
                  </m:e>
                </m:acc>
              </m:e>
            </m:d>
            <m:ctrlPr>
              <w:rPr>
                <w:rFonts w:ascii="Cambria Math" w:hAnsi="Cambria Math"/>
                <w:i/>
                <w:sz w:val="28"/>
                <w:szCs w:val="28"/>
              </w:rPr>
            </m:ctrlPr>
          </m:num>
          <m:den>
            <m:acc>
              <m:accPr>
                <m:ctrlPr>
                  <w:rPr>
                    <w:rFonts w:ascii="Cambria Math" w:hAnsi="Cambria Math"/>
                    <w:sz w:val="28"/>
                    <w:szCs w:val="28"/>
                  </w:rPr>
                </m:ctrlPr>
              </m:accPr>
              <m:e>
                <m:r>
                  <m:rPr>
                    <m:sty m:val="p"/>
                  </m:rPr>
                  <w:rPr>
                    <w:rFonts w:ascii="Cambria Math" w:hAnsi="Cambria Math"/>
                    <w:sz w:val="28"/>
                    <w:szCs w:val="28"/>
                  </w:rPr>
                  <m:t>Y</m:t>
                </m:r>
              </m:e>
            </m:acc>
            <m:acc>
              <m:accPr>
                <m:ctrlPr>
                  <w:rPr>
                    <w:rFonts w:ascii="Cambria Math" w:hAnsi="Cambria Math"/>
                    <w:sz w:val="28"/>
                    <w:szCs w:val="28"/>
                  </w:rPr>
                </m:ctrlPr>
              </m:accPr>
              <m:e>
                <m:r>
                  <w:rPr>
                    <w:rFonts w:ascii="Cambria Math" w:hAnsi="Cambria Math"/>
                    <w:sz w:val="28"/>
                    <w:szCs w:val="28"/>
                  </w:rPr>
                  <m:t>H</m:t>
                </m:r>
              </m:e>
            </m:acc>
            <m:ctrlPr>
              <w:rPr>
                <w:rFonts w:ascii="Cambria Math" w:hAnsi="Cambria Math"/>
                <w:i/>
                <w:sz w:val="28"/>
                <w:szCs w:val="28"/>
              </w:rPr>
            </m:ctrlPr>
          </m:den>
        </m:f>
      </m:oMath>
      <w:r w:rsidR="00B31C30">
        <w:rPr>
          <w:sz w:val="28"/>
          <w:szCs w:val="28"/>
        </w:rPr>
        <w:t xml:space="preserve"> from Casella and Berger 1990, page 331.</w:t>
      </w:r>
    </w:p>
    <w:p w14:paraId="44D05332" w14:textId="77777777" w:rsidR="00B31C30" w:rsidRDefault="00B31C30">
      <w:pPr>
        <w:pStyle w:val="CommentText"/>
        <w:rPr>
          <w:sz w:val="28"/>
          <w:szCs w:val="28"/>
        </w:rPr>
      </w:pPr>
    </w:p>
    <w:p w14:paraId="35DAF7BF" w14:textId="77777777" w:rsidR="00B31C30" w:rsidRDefault="00B31C30">
      <w:pPr>
        <w:pStyle w:val="CommentText"/>
        <w:rPr>
          <w:sz w:val="28"/>
          <w:szCs w:val="28"/>
        </w:rPr>
      </w:pPr>
    </w:p>
    <w:p w14:paraId="2046AF9E" w14:textId="40FDC50C" w:rsidR="00B31C30" w:rsidRDefault="00B31C30">
      <w:pPr>
        <w:pStyle w:val="CommentText"/>
      </w:pPr>
    </w:p>
  </w:comment>
  <w:comment w:id="34" w:author="Sarah Webster" w:date="2019-07-02T10:57:00Z" w:initials="SW">
    <w:p w14:paraId="5BB2750B" w14:textId="6FDACA0C" w:rsidR="000B0B97" w:rsidRDefault="000B0B97">
      <w:pPr>
        <w:pStyle w:val="CommentText"/>
      </w:pPr>
      <w:r>
        <w:rPr>
          <w:rStyle w:val="CommentReference"/>
        </w:rPr>
        <w:annotationRef/>
      </w:r>
      <w:r>
        <w:t>Double check formula.</w:t>
      </w:r>
    </w:p>
  </w:comment>
  <w:comment w:id="37" w:author="Webster, Sarah R (DFG)" w:date="2019-06-27T15:22:00Z" w:initials="WSR(">
    <w:p w14:paraId="2C981363" w14:textId="7CFBB613" w:rsidR="000B0B97" w:rsidRDefault="000B0B97">
      <w:pPr>
        <w:pStyle w:val="CommentText"/>
      </w:pPr>
      <w:r>
        <w:rPr>
          <w:rStyle w:val="CommentReference"/>
        </w:rPr>
        <w:annotationRef/>
      </w:r>
      <w:r>
        <w:t>Scott Meyer provided a figure with simple exponential forecasts by subarea in the last Op Plan. Should this figure be included?</w:t>
      </w:r>
    </w:p>
  </w:comment>
  <w:comment w:id="38" w:author="Buzzee, Benjamin E (DFG)" w:date="2019-10-01T15:04:00Z" w:initials="BBE(">
    <w:p w14:paraId="76A215BE" w14:textId="029D7970" w:rsidR="00B31C30" w:rsidRDefault="00B31C30">
      <w:pPr>
        <w:pStyle w:val="CommentText"/>
      </w:pPr>
      <w:r>
        <w:rPr>
          <w:rStyle w:val="CommentReference"/>
        </w:rPr>
        <w:annotationRef/>
      </w:r>
      <w:r>
        <w:t>Could we put it in the appendix?</w:t>
      </w:r>
    </w:p>
  </w:comment>
  <w:comment w:id="39" w:author="Buzzee, Benjamin E (DFG)" w:date="2019-10-01T15:03:00Z" w:initials="BBE(">
    <w:p w14:paraId="29B7436A" w14:textId="12C337D3" w:rsidR="00B31C30" w:rsidRDefault="00B31C30">
      <w:pPr>
        <w:pStyle w:val="CommentText"/>
      </w:pPr>
      <w:r>
        <w:rPr>
          <w:rStyle w:val="CommentReference"/>
        </w:rPr>
        <w:annotationRef/>
      </w:r>
      <w:r>
        <w:t>We should note that the formula</w:t>
      </w:r>
      <w:r>
        <w:t xml:space="preserve"> for equation 8</w:t>
      </w:r>
      <w:r>
        <w:t xml:space="preserve"> comes from the del</w:t>
      </w:r>
      <w:r>
        <w:t>t</w:t>
      </w:r>
      <w:r>
        <w:t>a method.</w:t>
      </w:r>
      <w:r>
        <w:t xml:space="preserve"> This is a much more straightforward application. </w:t>
      </w:r>
    </w:p>
    <w:p w14:paraId="3D5E5E19" w14:textId="7787A44E" w:rsidR="00B31C30" w:rsidRDefault="00B31C30">
      <w:pPr>
        <w:pStyle w:val="CommentText"/>
      </w:pPr>
      <w:r>
        <w:t xml:space="preserve"> </w:t>
      </w:r>
    </w:p>
  </w:comment>
  <w:comment w:id="41" w:author="Buzzee, Benjamin E (DFG)" w:date="2019-10-01T15:12:00Z" w:initials="BBE(">
    <w:p w14:paraId="3F4C2A76" w14:textId="5C762638" w:rsidR="007D151A" w:rsidRDefault="007D151A">
      <w:pPr>
        <w:pStyle w:val="CommentText"/>
      </w:pPr>
      <w:r>
        <w:rPr>
          <w:rStyle w:val="CommentReference"/>
        </w:rPr>
        <w:annotationRef/>
      </w:r>
      <w:r>
        <w:t>Important to ensure all these assumptions remain valid.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F32410" w15:done="0"/>
  <w15:commentEx w15:paraId="787138A5" w15:paraIdParent="0FF32410" w15:done="0"/>
  <w15:commentEx w15:paraId="2D17C789" w15:done="0"/>
  <w15:commentEx w15:paraId="6B8E15BE" w15:done="0"/>
  <w15:commentEx w15:paraId="5141C34F" w15:done="0"/>
  <w15:commentEx w15:paraId="1E55B150" w15:done="0"/>
  <w15:commentEx w15:paraId="29808453" w15:done="0"/>
  <w15:commentEx w15:paraId="2A3D142C" w15:done="0"/>
  <w15:commentEx w15:paraId="563E3E61" w15:done="0"/>
  <w15:commentEx w15:paraId="0C63254B" w15:done="0"/>
  <w15:commentEx w15:paraId="2426984B" w15:done="0"/>
  <w15:commentEx w15:paraId="239316D2" w15:done="0"/>
  <w15:commentEx w15:paraId="1792C454" w15:done="0"/>
  <w15:commentEx w15:paraId="2046AF9E" w15:done="0"/>
  <w15:commentEx w15:paraId="5BB2750B" w15:done="0"/>
  <w15:commentEx w15:paraId="2C981363" w15:done="0"/>
  <w15:commentEx w15:paraId="76A215BE" w15:paraIdParent="2C981363" w15:done="0"/>
  <w15:commentEx w15:paraId="3D5E5E19" w15:done="0"/>
  <w15:commentEx w15:paraId="3F4C2A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32410" w16cid:durableId="206B01E0"/>
  <w16cid:commentId w16cid:paraId="787138A5" w16cid:durableId="20C5B595"/>
  <w16cid:commentId w16cid:paraId="2D17C789" w16cid:durableId="20C6F67A"/>
  <w16cid:commentId w16cid:paraId="6B8E15BE" w16cid:durableId="213DD4DB"/>
  <w16cid:commentId w16cid:paraId="5141C34F" w16cid:durableId="213DD9EF"/>
  <w16cid:commentId w16cid:paraId="1E55B150" w16cid:durableId="213DDFB4"/>
  <w16cid:commentId w16cid:paraId="29808453" w16cid:durableId="213DD65B"/>
  <w16cid:commentId w16cid:paraId="2A3D142C" w16cid:durableId="213DD72C"/>
  <w16cid:commentId w16cid:paraId="563E3E61" w16cid:durableId="213DDAEF"/>
  <w16cid:commentId w16cid:paraId="0C63254B" w16cid:durableId="213DDB52"/>
  <w16cid:commentId w16cid:paraId="2426984B" w16cid:durableId="213DE27B"/>
  <w16cid:commentId w16cid:paraId="239316D2" w16cid:durableId="20C70507"/>
  <w16cid:commentId w16cid:paraId="1792C454" w16cid:durableId="213DDBC3"/>
  <w16cid:commentId w16cid:paraId="2046AF9E" w16cid:durableId="213DE21B"/>
  <w16cid:commentId w16cid:paraId="5BB2750B" w16cid:durableId="20C5B700"/>
  <w16cid:commentId w16cid:paraId="2C981363" w16cid:durableId="20BF5DBB"/>
  <w16cid:commentId w16cid:paraId="76A215BE" w16cid:durableId="213DE997"/>
  <w16cid:commentId w16cid:paraId="3D5E5E19" w16cid:durableId="213DE937"/>
  <w16cid:commentId w16cid:paraId="3F4C2A76" w16cid:durableId="213DEB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C3A1B" w14:textId="77777777" w:rsidR="007C1042" w:rsidRDefault="007C1042" w:rsidP="00035902">
      <w:pPr>
        <w:spacing w:after="0"/>
      </w:pPr>
      <w:r>
        <w:separator/>
      </w:r>
    </w:p>
    <w:p w14:paraId="0EFE04EA" w14:textId="77777777" w:rsidR="007C1042" w:rsidRDefault="007C1042"/>
    <w:p w14:paraId="420F3616" w14:textId="77777777" w:rsidR="007C1042" w:rsidRDefault="007C1042"/>
  </w:endnote>
  <w:endnote w:type="continuationSeparator" w:id="0">
    <w:p w14:paraId="383235BC" w14:textId="77777777" w:rsidR="007C1042" w:rsidRDefault="007C1042" w:rsidP="00035902">
      <w:pPr>
        <w:spacing w:after="0"/>
      </w:pPr>
      <w:r>
        <w:continuationSeparator/>
      </w:r>
    </w:p>
    <w:p w14:paraId="79442F88" w14:textId="77777777" w:rsidR="007C1042" w:rsidRDefault="007C1042"/>
    <w:p w14:paraId="47E06420" w14:textId="77777777" w:rsidR="007C1042" w:rsidRDefault="007C10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BCA69" w14:textId="77777777" w:rsidR="000B0B97" w:rsidRDefault="000B0B97" w:rsidP="005C40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E0CD20" w14:textId="77777777" w:rsidR="000B0B97" w:rsidRDefault="000B0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445165"/>
      <w:docPartObj>
        <w:docPartGallery w:val="Page Numbers (Bottom of Page)"/>
        <w:docPartUnique/>
      </w:docPartObj>
    </w:sdtPr>
    <w:sdtEndPr>
      <w:rPr>
        <w:noProof/>
      </w:rPr>
    </w:sdtEndPr>
    <w:sdtContent>
      <w:p w14:paraId="243BB447" w14:textId="77777777" w:rsidR="000B0B97" w:rsidRDefault="000B0B9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17FBF8B" w14:textId="77777777" w:rsidR="000B0B97" w:rsidRDefault="000B0B97" w:rsidP="00A763FA">
    <w:pPr>
      <w:pStyle w:val="TitlePg-LocDate"/>
      <w:framePr w:w="0" w:hSpace="0" w:wrap="auto" w:hAnchor="text" w:xAlign="left" w:yAlign="inline" w:anchorLock="0"/>
      <w:tabs>
        <w:tab w:val="left" w:pos="6048"/>
      </w:tabs>
      <w:spacing w:after="120" w:line="240" w:lineRule="auto"/>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B931E" w14:textId="77777777" w:rsidR="000B0B97" w:rsidRDefault="000B0B97">
    <w:pPr>
      <w:pStyle w:val="Footer"/>
      <w:jc w:val="center"/>
    </w:pPr>
  </w:p>
  <w:p w14:paraId="5847A3F0" w14:textId="77777777" w:rsidR="000B0B97" w:rsidRDefault="000B0B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4C51B" w14:textId="77777777" w:rsidR="000B0B97" w:rsidRDefault="000B0B9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CB5E" w14:textId="77777777" w:rsidR="000B0B97" w:rsidRDefault="000B0B97">
    <w:pPr>
      <w:pStyle w:val="Footer"/>
      <w:jc w:val="center"/>
    </w:pPr>
  </w:p>
  <w:p w14:paraId="0B57B775" w14:textId="77777777" w:rsidR="000B0B97" w:rsidRDefault="000B0B9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981753"/>
      <w:docPartObj>
        <w:docPartGallery w:val="Page Numbers (Bottom of Page)"/>
        <w:docPartUnique/>
      </w:docPartObj>
    </w:sdtPr>
    <w:sdtEndPr>
      <w:rPr>
        <w:noProof/>
      </w:rPr>
    </w:sdtEndPr>
    <w:sdtContent>
      <w:p w14:paraId="5F2A8068" w14:textId="77777777" w:rsidR="000B0B97" w:rsidRDefault="000B0B97">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7C8CEF78" w14:textId="77777777" w:rsidR="000B0B97" w:rsidRDefault="000B0B9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B39C5" w14:textId="77777777" w:rsidR="000B0B97" w:rsidRDefault="000B0B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58140964" w14:textId="77777777" w:rsidR="000B0B97" w:rsidRDefault="000B0B97" w:rsidP="00223CB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3245C" w14:textId="77777777" w:rsidR="000B0B97" w:rsidRDefault="000B0B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5AE6CE0A" w14:textId="77777777" w:rsidR="000B0B97" w:rsidRDefault="000B0B97" w:rsidP="00223C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817E3" w14:textId="77777777" w:rsidR="007C1042" w:rsidRDefault="007C1042" w:rsidP="00035902">
      <w:pPr>
        <w:spacing w:after="0"/>
      </w:pPr>
      <w:r>
        <w:separator/>
      </w:r>
    </w:p>
    <w:p w14:paraId="702963EF" w14:textId="77777777" w:rsidR="007C1042" w:rsidRDefault="007C1042"/>
    <w:p w14:paraId="7EEBCD6B" w14:textId="77777777" w:rsidR="007C1042" w:rsidRDefault="007C1042"/>
  </w:footnote>
  <w:footnote w:type="continuationSeparator" w:id="0">
    <w:p w14:paraId="73AB6D71" w14:textId="77777777" w:rsidR="007C1042" w:rsidRDefault="007C1042" w:rsidP="00035902">
      <w:pPr>
        <w:spacing w:after="0"/>
      </w:pPr>
      <w:r>
        <w:continuationSeparator/>
      </w:r>
    </w:p>
    <w:p w14:paraId="1292741A" w14:textId="77777777" w:rsidR="007C1042" w:rsidRDefault="007C1042"/>
    <w:p w14:paraId="177CBA3A" w14:textId="77777777" w:rsidR="007C1042" w:rsidRDefault="007C1042"/>
  </w:footnote>
  <w:footnote w:id="1">
    <w:p w14:paraId="76B3658C" w14:textId="77777777" w:rsidR="000B0B97" w:rsidRDefault="000B0B97">
      <w:pPr>
        <w:pStyle w:val="FootnoteText"/>
      </w:pPr>
      <w:r>
        <w:rPr>
          <w:rStyle w:val="FootnoteReference"/>
        </w:rPr>
        <w:footnoteRef/>
      </w:r>
      <w:r>
        <w:t xml:space="preserve"> </w:t>
      </w:r>
      <w:r w:rsidRPr="00360EA7">
        <w:t>http://mathstat.helsinki.fi/openbugs/HomeFrames.html</w:t>
      </w:r>
    </w:p>
  </w:footnote>
  <w:footnote w:id="2">
    <w:p w14:paraId="79603A1F" w14:textId="77777777" w:rsidR="000B0B97" w:rsidRDefault="000B0B97" w:rsidP="00DE1E37">
      <w:pPr>
        <w:pStyle w:val="FootnoteText"/>
      </w:pPr>
      <w:r>
        <w:rPr>
          <w:rStyle w:val="FootnoteReference"/>
        </w:rPr>
        <w:footnoteRef/>
      </w:r>
      <w:r>
        <w:t xml:space="preserve"> </w:t>
      </w:r>
      <w:r w:rsidRPr="0031509F">
        <w:t>Charter operators have reported small amounts of crew harvest from both IPHC areas during years or times when crew harvest was prohibited by state Emergency Order or federal regulations.</w:t>
      </w:r>
    </w:p>
  </w:footnote>
  <w:footnote w:id="3">
    <w:p w14:paraId="5B4BA192" w14:textId="77777777" w:rsidR="000B0B97" w:rsidRDefault="000B0B97" w:rsidP="00A8418B">
      <w:pPr>
        <w:pStyle w:val="FootnoteText"/>
      </w:pPr>
      <w:r>
        <w:rPr>
          <w:rStyle w:val="FootnoteReference"/>
        </w:rPr>
        <w:footnoteRef/>
      </w:r>
      <w:r>
        <w:t xml:space="preserve"> </w:t>
      </w:r>
      <w:r>
        <w:rPr>
          <w:sz w:val="22"/>
          <w:szCs w:val="22"/>
        </w:rPr>
        <w:t>SSC report, page 5, October 1-3, 2007 (</w:t>
      </w:r>
      <w:r w:rsidRPr="006B2614">
        <w:t>http://www.fakr.noaa.gov/npfmc/PDFdocuments/minutes/SSC1007.pdf</w:t>
      </w:r>
      <w:r>
        <w:rPr>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02BD6" w14:textId="77777777" w:rsidR="000B0B97" w:rsidRDefault="000B0B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CD865" w14:textId="77777777" w:rsidR="000B0B97" w:rsidRDefault="000B0B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5782A" w14:textId="77777777" w:rsidR="000B0B97" w:rsidRDefault="000B0B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106F2" w14:textId="77777777" w:rsidR="000B0B97" w:rsidRDefault="000B0B9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93FEF" w14:textId="77777777" w:rsidR="000B0B97" w:rsidRPr="00223CB5" w:rsidRDefault="000B0B97" w:rsidP="00223C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28C9A" w14:textId="77777777" w:rsidR="000B0B97" w:rsidRPr="00223CB5" w:rsidRDefault="000B0B97" w:rsidP="00223C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6050D"/>
    <w:multiLevelType w:val="hybridMultilevel"/>
    <w:tmpl w:val="9F143080"/>
    <w:lvl w:ilvl="0" w:tplc="8F3A3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F625FA"/>
    <w:multiLevelType w:val="hybridMultilevel"/>
    <w:tmpl w:val="1ED67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649E9"/>
    <w:multiLevelType w:val="hybridMultilevel"/>
    <w:tmpl w:val="8610A2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3B277F"/>
    <w:multiLevelType w:val="hybridMultilevel"/>
    <w:tmpl w:val="F20A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415F4"/>
    <w:multiLevelType w:val="hybridMultilevel"/>
    <w:tmpl w:val="4E8A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Webster">
    <w15:presenceInfo w15:providerId="None" w15:userId="Sarah Webster"/>
  </w15:person>
  <w15:person w15:author="Buzzee, Benjamin E (DFG)">
    <w15:presenceInfo w15:providerId="AD" w15:userId="S-1-5-21-440283733-3916095660-3029927770-45995"/>
  </w15:person>
  <w15:person w15:author="Webster, Sarah R (DFG)">
    <w15:presenceInfo w15:providerId="None" w15:userId="Webster, Sarah R (DF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37"/>
    <w:rsid w:val="000034BE"/>
    <w:rsid w:val="00003E46"/>
    <w:rsid w:val="00004C68"/>
    <w:rsid w:val="000059D9"/>
    <w:rsid w:val="00005F71"/>
    <w:rsid w:val="00006B15"/>
    <w:rsid w:val="000074F2"/>
    <w:rsid w:val="00014644"/>
    <w:rsid w:val="00014D0A"/>
    <w:rsid w:val="00016400"/>
    <w:rsid w:val="000223B1"/>
    <w:rsid w:val="00022AB1"/>
    <w:rsid w:val="000244B5"/>
    <w:rsid w:val="00024598"/>
    <w:rsid w:val="00025ECF"/>
    <w:rsid w:val="00032209"/>
    <w:rsid w:val="00032EB2"/>
    <w:rsid w:val="00035902"/>
    <w:rsid w:val="000369BA"/>
    <w:rsid w:val="00037A72"/>
    <w:rsid w:val="00037AF8"/>
    <w:rsid w:val="0004050F"/>
    <w:rsid w:val="000410A4"/>
    <w:rsid w:val="000410B9"/>
    <w:rsid w:val="0004374C"/>
    <w:rsid w:val="000452DD"/>
    <w:rsid w:val="00045D0E"/>
    <w:rsid w:val="00051F15"/>
    <w:rsid w:val="000555FF"/>
    <w:rsid w:val="00055FB1"/>
    <w:rsid w:val="00057D8C"/>
    <w:rsid w:val="00060594"/>
    <w:rsid w:val="00061675"/>
    <w:rsid w:val="000671D2"/>
    <w:rsid w:val="000675AA"/>
    <w:rsid w:val="00071425"/>
    <w:rsid w:val="0007513C"/>
    <w:rsid w:val="00080ED7"/>
    <w:rsid w:val="000813BE"/>
    <w:rsid w:val="000817F0"/>
    <w:rsid w:val="0008374C"/>
    <w:rsid w:val="0008482A"/>
    <w:rsid w:val="000860D3"/>
    <w:rsid w:val="00086D72"/>
    <w:rsid w:val="0008703D"/>
    <w:rsid w:val="0008750D"/>
    <w:rsid w:val="00087E63"/>
    <w:rsid w:val="000908B2"/>
    <w:rsid w:val="0009232B"/>
    <w:rsid w:val="00092B21"/>
    <w:rsid w:val="00092EF6"/>
    <w:rsid w:val="00095E38"/>
    <w:rsid w:val="00096114"/>
    <w:rsid w:val="000967BE"/>
    <w:rsid w:val="0009719F"/>
    <w:rsid w:val="00097575"/>
    <w:rsid w:val="00097D00"/>
    <w:rsid w:val="000A0A28"/>
    <w:rsid w:val="000A1C15"/>
    <w:rsid w:val="000A49A8"/>
    <w:rsid w:val="000A726F"/>
    <w:rsid w:val="000B0B97"/>
    <w:rsid w:val="000C0764"/>
    <w:rsid w:val="000C19C4"/>
    <w:rsid w:val="000C23A7"/>
    <w:rsid w:val="000C2534"/>
    <w:rsid w:val="000C72DB"/>
    <w:rsid w:val="000C745E"/>
    <w:rsid w:val="000D2BB9"/>
    <w:rsid w:val="000D5A03"/>
    <w:rsid w:val="000D769C"/>
    <w:rsid w:val="000E1928"/>
    <w:rsid w:val="000E1DF8"/>
    <w:rsid w:val="000E1FFB"/>
    <w:rsid w:val="000E218B"/>
    <w:rsid w:val="000E343A"/>
    <w:rsid w:val="000E349A"/>
    <w:rsid w:val="000E3805"/>
    <w:rsid w:val="000E3CB9"/>
    <w:rsid w:val="000E4D86"/>
    <w:rsid w:val="000E6AF6"/>
    <w:rsid w:val="000E7B91"/>
    <w:rsid w:val="000F01B0"/>
    <w:rsid w:val="000F24B9"/>
    <w:rsid w:val="000F5AEF"/>
    <w:rsid w:val="000F69F1"/>
    <w:rsid w:val="00103178"/>
    <w:rsid w:val="00104617"/>
    <w:rsid w:val="0010518D"/>
    <w:rsid w:val="0010600D"/>
    <w:rsid w:val="00107A17"/>
    <w:rsid w:val="00110D96"/>
    <w:rsid w:val="0012142E"/>
    <w:rsid w:val="00122168"/>
    <w:rsid w:val="00124DFA"/>
    <w:rsid w:val="0013043B"/>
    <w:rsid w:val="00131AE2"/>
    <w:rsid w:val="0013280C"/>
    <w:rsid w:val="00132899"/>
    <w:rsid w:val="00134CB0"/>
    <w:rsid w:val="00136373"/>
    <w:rsid w:val="001379B5"/>
    <w:rsid w:val="001400CC"/>
    <w:rsid w:val="0014100A"/>
    <w:rsid w:val="00142557"/>
    <w:rsid w:val="0014416F"/>
    <w:rsid w:val="001449E2"/>
    <w:rsid w:val="00144B92"/>
    <w:rsid w:val="001451DD"/>
    <w:rsid w:val="001472A2"/>
    <w:rsid w:val="00147A51"/>
    <w:rsid w:val="00150B4C"/>
    <w:rsid w:val="00153E3A"/>
    <w:rsid w:val="00154F14"/>
    <w:rsid w:val="00154FB2"/>
    <w:rsid w:val="00156203"/>
    <w:rsid w:val="001564FA"/>
    <w:rsid w:val="0016093A"/>
    <w:rsid w:val="00160ADF"/>
    <w:rsid w:val="00162286"/>
    <w:rsid w:val="00162C67"/>
    <w:rsid w:val="00163DC0"/>
    <w:rsid w:val="00164258"/>
    <w:rsid w:val="00164DB4"/>
    <w:rsid w:val="001672E2"/>
    <w:rsid w:val="00170433"/>
    <w:rsid w:val="00170A35"/>
    <w:rsid w:val="001727FB"/>
    <w:rsid w:val="00174A46"/>
    <w:rsid w:val="00174C67"/>
    <w:rsid w:val="001759D2"/>
    <w:rsid w:val="001779B5"/>
    <w:rsid w:val="00177EDD"/>
    <w:rsid w:val="00180A25"/>
    <w:rsid w:val="001828C0"/>
    <w:rsid w:val="00183B64"/>
    <w:rsid w:val="00183D26"/>
    <w:rsid w:val="001856B1"/>
    <w:rsid w:val="001859D5"/>
    <w:rsid w:val="00185A8B"/>
    <w:rsid w:val="00186317"/>
    <w:rsid w:val="0018721F"/>
    <w:rsid w:val="00191832"/>
    <w:rsid w:val="00191B84"/>
    <w:rsid w:val="0019298D"/>
    <w:rsid w:val="00193A05"/>
    <w:rsid w:val="0019482A"/>
    <w:rsid w:val="0019550F"/>
    <w:rsid w:val="00196C4D"/>
    <w:rsid w:val="001A13B5"/>
    <w:rsid w:val="001A14C8"/>
    <w:rsid w:val="001A6FFA"/>
    <w:rsid w:val="001A7DF5"/>
    <w:rsid w:val="001B1BE1"/>
    <w:rsid w:val="001B2185"/>
    <w:rsid w:val="001B4EBE"/>
    <w:rsid w:val="001B51E9"/>
    <w:rsid w:val="001B6822"/>
    <w:rsid w:val="001B6F33"/>
    <w:rsid w:val="001B7503"/>
    <w:rsid w:val="001C0DF4"/>
    <w:rsid w:val="001C0E3A"/>
    <w:rsid w:val="001C11A5"/>
    <w:rsid w:val="001C2E85"/>
    <w:rsid w:val="001C418F"/>
    <w:rsid w:val="001C43DF"/>
    <w:rsid w:val="001C4644"/>
    <w:rsid w:val="001C73A9"/>
    <w:rsid w:val="001D0A69"/>
    <w:rsid w:val="001D234E"/>
    <w:rsid w:val="001D333E"/>
    <w:rsid w:val="001D3786"/>
    <w:rsid w:val="001D4658"/>
    <w:rsid w:val="001D5A3E"/>
    <w:rsid w:val="001D77CD"/>
    <w:rsid w:val="001E148C"/>
    <w:rsid w:val="001E167D"/>
    <w:rsid w:val="001E1DD9"/>
    <w:rsid w:val="001E20B2"/>
    <w:rsid w:val="001E2818"/>
    <w:rsid w:val="001E357B"/>
    <w:rsid w:val="001E37B6"/>
    <w:rsid w:val="001E6F7C"/>
    <w:rsid w:val="001F139C"/>
    <w:rsid w:val="001F1B15"/>
    <w:rsid w:val="001F47A7"/>
    <w:rsid w:val="001F6153"/>
    <w:rsid w:val="001F72E4"/>
    <w:rsid w:val="002018D3"/>
    <w:rsid w:val="0020423B"/>
    <w:rsid w:val="00205FEB"/>
    <w:rsid w:val="00207639"/>
    <w:rsid w:val="0020783A"/>
    <w:rsid w:val="00207B23"/>
    <w:rsid w:val="002102FE"/>
    <w:rsid w:val="002132BC"/>
    <w:rsid w:val="00213BA3"/>
    <w:rsid w:val="00213CDA"/>
    <w:rsid w:val="00214A66"/>
    <w:rsid w:val="00214D8D"/>
    <w:rsid w:val="0021583F"/>
    <w:rsid w:val="00216626"/>
    <w:rsid w:val="00220796"/>
    <w:rsid w:val="00221F82"/>
    <w:rsid w:val="0022205E"/>
    <w:rsid w:val="00223CB5"/>
    <w:rsid w:val="002252CA"/>
    <w:rsid w:val="0022545D"/>
    <w:rsid w:val="00225633"/>
    <w:rsid w:val="002261BE"/>
    <w:rsid w:val="0022700A"/>
    <w:rsid w:val="0023099D"/>
    <w:rsid w:val="00234A08"/>
    <w:rsid w:val="0023684A"/>
    <w:rsid w:val="00236A0A"/>
    <w:rsid w:val="00237201"/>
    <w:rsid w:val="002411EA"/>
    <w:rsid w:val="002443AA"/>
    <w:rsid w:val="00250AE4"/>
    <w:rsid w:val="002519A1"/>
    <w:rsid w:val="002520B5"/>
    <w:rsid w:val="00253809"/>
    <w:rsid w:val="00253BD5"/>
    <w:rsid w:val="00254662"/>
    <w:rsid w:val="00256114"/>
    <w:rsid w:val="0026059D"/>
    <w:rsid w:val="002618B6"/>
    <w:rsid w:val="00261CD4"/>
    <w:rsid w:val="002646BD"/>
    <w:rsid w:val="00264C77"/>
    <w:rsid w:val="00266724"/>
    <w:rsid w:val="00267A03"/>
    <w:rsid w:val="00272FBF"/>
    <w:rsid w:val="00280EC1"/>
    <w:rsid w:val="00281036"/>
    <w:rsid w:val="00282C2A"/>
    <w:rsid w:val="002835AD"/>
    <w:rsid w:val="00283D22"/>
    <w:rsid w:val="00284CC1"/>
    <w:rsid w:val="00286C19"/>
    <w:rsid w:val="002900AE"/>
    <w:rsid w:val="0029174A"/>
    <w:rsid w:val="00292DD3"/>
    <w:rsid w:val="00293105"/>
    <w:rsid w:val="002931A6"/>
    <w:rsid w:val="00293C07"/>
    <w:rsid w:val="00294D66"/>
    <w:rsid w:val="00295AD3"/>
    <w:rsid w:val="00295BC5"/>
    <w:rsid w:val="002A19C7"/>
    <w:rsid w:val="002A2876"/>
    <w:rsid w:val="002A5283"/>
    <w:rsid w:val="002A6DE4"/>
    <w:rsid w:val="002A77E0"/>
    <w:rsid w:val="002B0D2B"/>
    <w:rsid w:val="002B5156"/>
    <w:rsid w:val="002C04FB"/>
    <w:rsid w:val="002C6DA0"/>
    <w:rsid w:val="002C742B"/>
    <w:rsid w:val="002C7B78"/>
    <w:rsid w:val="002D1A7E"/>
    <w:rsid w:val="002D2A37"/>
    <w:rsid w:val="002D408B"/>
    <w:rsid w:val="002D43EC"/>
    <w:rsid w:val="002D4E5A"/>
    <w:rsid w:val="002E0BD4"/>
    <w:rsid w:val="002E2AE1"/>
    <w:rsid w:val="002E395B"/>
    <w:rsid w:val="002E786B"/>
    <w:rsid w:val="002F1969"/>
    <w:rsid w:val="002F2025"/>
    <w:rsid w:val="002F3210"/>
    <w:rsid w:val="002F34D4"/>
    <w:rsid w:val="002F4241"/>
    <w:rsid w:val="00302DA0"/>
    <w:rsid w:val="00303933"/>
    <w:rsid w:val="0030581B"/>
    <w:rsid w:val="00305BDD"/>
    <w:rsid w:val="00305BFD"/>
    <w:rsid w:val="0030798F"/>
    <w:rsid w:val="00307F99"/>
    <w:rsid w:val="00310D38"/>
    <w:rsid w:val="003111E3"/>
    <w:rsid w:val="0031122A"/>
    <w:rsid w:val="003119D7"/>
    <w:rsid w:val="00311F8A"/>
    <w:rsid w:val="0031500B"/>
    <w:rsid w:val="0031509F"/>
    <w:rsid w:val="0031608E"/>
    <w:rsid w:val="0031637F"/>
    <w:rsid w:val="00316538"/>
    <w:rsid w:val="003203AA"/>
    <w:rsid w:val="00320914"/>
    <w:rsid w:val="00321BC2"/>
    <w:rsid w:val="00322968"/>
    <w:rsid w:val="00326353"/>
    <w:rsid w:val="00327CD1"/>
    <w:rsid w:val="0033069C"/>
    <w:rsid w:val="0033182C"/>
    <w:rsid w:val="00331BF0"/>
    <w:rsid w:val="00333861"/>
    <w:rsid w:val="003340BD"/>
    <w:rsid w:val="003349DA"/>
    <w:rsid w:val="00335DD7"/>
    <w:rsid w:val="00336584"/>
    <w:rsid w:val="00336AD6"/>
    <w:rsid w:val="0033760B"/>
    <w:rsid w:val="0034070B"/>
    <w:rsid w:val="003413DD"/>
    <w:rsid w:val="003416C5"/>
    <w:rsid w:val="0034319A"/>
    <w:rsid w:val="00343994"/>
    <w:rsid w:val="00344BBD"/>
    <w:rsid w:val="003517F5"/>
    <w:rsid w:val="00352708"/>
    <w:rsid w:val="00352C68"/>
    <w:rsid w:val="003565B6"/>
    <w:rsid w:val="00356690"/>
    <w:rsid w:val="003568C7"/>
    <w:rsid w:val="00356DB9"/>
    <w:rsid w:val="00356E67"/>
    <w:rsid w:val="00357664"/>
    <w:rsid w:val="00360330"/>
    <w:rsid w:val="003603AD"/>
    <w:rsid w:val="00360EA7"/>
    <w:rsid w:val="003610BA"/>
    <w:rsid w:val="00362452"/>
    <w:rsid w:val="003644E7"/>
    <w:rsid w:val="00367431"/>
    <w:rsid w:val="00370CCB"/>
    <w:rsid w:val="00372377"/>
    <w:rsid w:val="00376B37"/>
    <w:rsid w:val="0037711E"/>
    <w:rsid w:val="00377819"/>
    <w:rsid w:val="0038148D"/>
    <w:rsid w:val="00381DDF"/>
    <w:rsid w:val="00382065"/>
    <w:rsid w:val="003852C7"/>
    <w:rsid w:val="00385514"/>
    <w:rsid w:val="00385ADB"/>
    <w:rsid w:val="0039253E"/>
    <w:rsid w:val="003958C5"/>
    <w:rsid w:val="003A058A"/>
    <w:rsid w:val="003A3836"/>
    <w:rsid w:val="003A6D16"/>
    <w:rsid w:val="003A75C2"/>
    <w:rsid w:val="003B0B51"/>
    <w:rsid w:val="003B0CDC"/>
    <w:rsid w:val="003B3500"/>
    <w:rsid w:val="003C17D7"/>
    <w:rsid w:val="003C1A5E"/>
    <w:rsid w:val="003C229A"/>
    <w:rsid w:val="003C2F7B"/>
    <w:rsid w:val="003C4138"/>
    <w:rsid w:val="003C4630"/>
    <w:rsid w:val="003C7C6F"/>
    <w:rsid w:val="003D038B"/>
    <w:rsid w:val="003D1B6C"/>
    <w:rsid w:val="003D25B8"/>
    <w:rsid w:val="003D2ADF"/>
    <w:rsid w:val="003D3312"/>
    <w:rsid w:val="003D7826"/>
    <w:rsid w:val="003E2123"/>
    <w:rsid w:val="003E556A"/>
    <w:rsid w:val="003E5CE8"/>
    <w:rsid w:val="003E6645"/>
    <w:rsid w:val="003F0ACB"/>
    <w:rsid w:val="003F24F8"/>
    <w:rsid w:val="003F2E45"/>
    <w:rsid w:val="003F6BCF"/>
    <w:rsid w:val="0040018F"/>
    <w:rsid w:val="0040023D"/>
    <w:rsid w:val="0040045C"/>
    <w:rsid w:val="004051F0"/>
    <w:rsid w:val="004072E5"/>
    <w:rsid w:val="00407E7D"/>
    <w:rsid w:val="00415EA0"/>
    <w:rsid w:val="004206B3"/>
    <w:rsid w:val="0042123A"/>
    <w:rsid w:val="00422ADF"/>
    <w:rsid w:val="00423B30"/>
    <w:rsid w:val="00423E7B"/>
    <w:rsid w:val="00424398"/>
    <w:rsid w:val="0043013E"/>
    <w:rsid w:val="00430818"/>
    <w:rsid w:val="004325CA"/>
    <w:rsid w:val="00433199"/>
    <w:rsid w:val="00433C9B"/>
    <w:rsid w:val="00433CCD"/>
    <w:rsid w:val="00434047"/>
    <w:rsid w:val="00435A93"/>
    <w:rsid w:val="004378A7"/>
    <w:rsid w:val="0044526F"/>
    <w:rsid w:val="004475E6"/>
    <w:rsid w:val="004501BF"/>
    <w:rsid w:val="004527C4"/>
    <w:rsid w:val="00454C23"/>
    <w:rsid w:val="00456AF7"/>
    <w:rsid w:val="004579C0"/>
    <w:rsid w:val="00461DF6"/>
    <w:rsid w:val="00463021"/>
    <w:rsid w:val="00464DFA"/>
    <w:rsid w:val="004657B5"/>
    <w:rsid w:val="0046659B"/>
    <w:rsid w:val="0046660D"/>
    <w:rsid w:val="004712EA"/>
    <w:rsid w:val="00471C38"/>
    <w:rsid w:val="00471D60"/>
    <w:rsid w:val="004721DF"/>
    <w:rsid w:val="00473390"/>
    <w:rsid w:val="00475ABC"/>
    <w:rsid w:val="0047635E"/>
    <w:rsid w:val="00477338"/>
    <w:rsid w:val="004817C8"/>
    <w:rsid w:val="0048302C"/>
    <w:rsid w:val="004841B6"/>
    <w:rsid w:val="00484D31"/>
    <w:rsid w:val="0048716D"/>
    <w:rsid w:val="00491ADA"/>
    <w:rsid w:val="00491C58"/>
    <w:rsid w:val="00493C4C"/>
    <w:rsid w:val="0049449F"/>
    <w:rsid w:val="004947F1"/>
    <w:rsid w:val="00495B43"/>
    <w:rsid w:val="0049773F"/>
    <w:rsid w:val="004A22BB"/>
    <w:rsid w:val="004A2D6E"/>
    <w:rsid w:val="004A420D"/>
    <w:rsid w:val="004A5E88"/>
    <w:rsid w:val="004B0646"/>
    <w:rsid w:val="004B070F"/>
    <w:rsid w:val="004B0743"/>
    <w:rsid w:val="004B1914"/>
    <w:rsid w:val="004B2292"/>
    <w:rsid w:val="004B2C0C"/>
    <w:rsid w:val="004B3303"/>
    <w:rsid w:val="004B417C"/>
    <w:rsid w:val="004B443A"/>
    <w:rsid w:val="004B45CF"/>
    <w:rsid w:val="004B5E68"/>
    <w:rsid w:val="004B6EBA"/>
    <w:rsid w:val="004B7C5D"/>
    <w:rsid w:val="004B7FCC"/>
    <w:rsid w:val="004C10E0"/>
    <w:rsid w:val="004C3579"/>
    <w:rsid w:val="004C3D88"/>
    <w:rsid w:val="004C5CE0"/>
    <w:rsid w:val="004C7CE1"/>
    <w:rsid w:val="004C7EBF"/>
    <w:rsid w:val="004D0B65"/>
    <w:rsid w:val="004D0ED5"/>
    <w:rsid w:val="004D0FEB"/>
    <w:rsid w:val="004D1ABC"/>
    <w:rsid w:val="004D1C7D"/>
    <w:rsid w:val="004D3765"/>
    <w:rsid w:val="004D3C02"/>
    <w:rsid w:val="004D4970"/>
    <w:rsid w:val="004D6774"/>
    <w:rsid w:val="004D7964"/>
    <w:rsid w:val="004D7ED6"/>
    <w:rsid w:val="004E4183"/>
    <w:rsid w:val="004E58A9"/>
    <w:rsid w:val="004F0E49"/>
    <w:rsid w:val="004F20C2"/>
    <w:rsid w:val="004F23B6"/>
    <w:rsid w:val="004F2D46"/>
    <w:rsid w:val="004F7D5C"/>
    <w:rsid w:val="00500C10"/>
    <w:rsid w:val="005015C7"/>
    <w:rsid w:val="00501C5F"/>
    <w:rsid w:val="0050327D"/>
    <w:rsid w:val="0050386B"/>
    <w:rsid w:val="005053AD"/>
    <w:rsid w:val="0050587C"/>
    <w:rsid w:val="00505BA7"/>
    <w:rsid w:val="00510738"/>
    <w:rsid w:val="005167BD"/>
    <w:rsid w:val="00516959"/>
    <w:rsid w:val="00516B2F"/>
    <w:rsid w:val="00522879"/>
    <w:rsid w:val="00525C9E"/>
    <w:rsid w:val="005269F5"/>
    <w:rsid w:val="00527574"/>
    <w:rsid w:val="005276FD"/>
    <w:rsid w:val="00530BD4"/>
    <w:rsid w:val="00531002"/>
    <w:rsid w:val="0053230C"/>
    <w:rsid w:val="00534FF2"/>
    <w:rsid w:val="00535305"/>
    <w:rsid w:val="0053707B"/>
    <w:rsid w:val="00537C80"/>
    <w:rsid w:val="0054013C"/>
    <w:rsid w:val="00540B0A"/>
    <w:rsid w:val="00540D29"/>
    <w:rsid w:val="00542AB6"/>
    <w:rsid w:val="00544AD3"/>
    <w:rsid w:val="005462FD"/>
    <w:rsid w:val="00547BC1"/>
    <w:rsid w:val="00550D77"/>
    <w:rsid w:val="00552C54"/>
    <w:rsid w:val="00557A9F"/>
    <w:rsid w:val="00561521"/>
    <w:rsid w:val="00561B0F"/>
    <w:rsid w:val="0056333B"/>
    <w:rsid w:val="00564B6E"/>
    <w:rsid w:val="00567770"/>
    <w:rsid w:val="005700CB"/>
    <w:rsid w:val="005708C2"/>
    <w:rsid w:val="00571FAD"/>
    <w:rsid w:val="00573DD2"/>
    <w:rsid w:val="00574DC1"/>
    <w:rsid w:val="00577527"/>
    <w:rsid w:val="00577618"/>
    <w:rsid w:val="005778A2"/>
    <w:rsid w:val="00577A70"/>
    <w:rsid w:val="00580A63"/>
    <w:rsid w:val="005810C7"/>
    <w:rsid w:val="005817C6"/>
    <w:rsid w:val="00584DB7"/>
    <w:rsid w:val="005857F8"/>
    <w:rsid w:val="00585B9D"/>
    <w:rsid w:val="00586ACE"/>
    <w:rsid w:val="0059182E"/>
    <w:rsid w:val="00591991"/>
    <w:rsid w:val="00592437"/>
    <w:rsid w:val="005972AC"/>
    <w:rsid w:val="00597D70"/>
    <w:rsid w:val="005A0D5B"/>
    <w:rsid w:val="005A20AD"/>
    <w:rsid w:val="005A5BF6"/>
    <w:rsid w:val="005A5C1E"/>
    <w:rsid w:val="005A60BB"/>
    <w:rsid w:val="005A6614"/>
    <w:rsid w:val="005A6D8B"/>
    <w:rsid w:val="005A6FE4"/>
    <w:rsid w:val="005B2B08"/>
    <w:rsid w:val="005B399F"/>
    <w:rsid w:val="005B4426"/>
    <w:rsid w:val="005B639A"/>
    <w:rsid w:val="005B6FA3"/>
    <w:rsid w:val="005C00D2"/>
    <w:rsid w:val="005C172B"/>
    <w:rsid w:val="005C2694"/>
    <w:rsid w:val="005C2CD4"/>
    <w:rsid w:val="005C2DC1"/>
    <w:rsid w:val="005C3700"/>
    <w:rsid w:val="005C40CC"/>
    <w:rsid w:val="005C66C8"/>
    <w:rsid w:val="005C6C22"/>
    <w:rsid w:val="005C7ACD"/>
    <w:rsid w:val="005D1DA0"/>
    <w:rsid w:val="005D2C89"/>
    <w:rsid w:val="005D3545"/>
    <w:rsid w:val="005D541E"/>
    <w:rsid w:val="005E0551"/>
    <w:rsid w:val="005E082D"/>
    <w:rsid w:val="005E0E0D"/>
    <w:rsid w:val="005E16A1"/>
    <w:rsid w:val="005E4C67"/>
    <w:rsid w:val="005E5B85"/>
    <w:rsid w:val="005E60AD"/>
    <w:rsid w:val="005E6869"/>
    <w:rsid w:val="005E7222"/>
    <w:rsid w:val="005F04E0"/>
    <w:rsid w:val="005F0592"/>
    <w:rsid w:val="005F2F25"/>
    <w:rsid w:val="005F341A"/>
    <w:rsid w:val="005F445A"/>
    <w:rsid w:val="005F5CF2"/>
    <w:rsid w:val="005F6021"/>
    <w:rsid w:val="005F6738"/>
    <w:rsid w:val="005F7B6B"/>
    <w:rsid w:val="0060092C"/>
    <w:rsid w:val="00600946"/>
    <w:rsid w:val="00601832"/>
    <w:rsid w:val="006052DF"/>
    <w:rsid w:val="00610240"/>
    <w:rsid w:val="00610802"/>
    <w:rsid w:val="006127D3"/>
    <w:rsid w:val="00612869"/>
    <w:rsid w:val="00612883"/>
    <w:rsid w:val="00616829"/>
    <w:rsid w:val="006222B3"/>
    <w:rsid w:val="00622F2F"/>
    <w:rsid w:val="0062317D"/>
    <w:rsid w:val="00624541"/>
    <w:rsid w:val="00625795"/>
    <w:rsid w:val="006258E6"/>
    <w:rsid w:val="00626B15"/>
    <w:rsid w:val="00631984"/>
    <w:rsid w:val="0063202F"/>
    <w:rsid w:val="00634738"/>
    <w:rsid w:val="00634F12"/>
    <w:rsid w:val="006424FC"/>
    <w:rsid w:val="00642537"/>
    <w:rsid w:val="00644977"/>
    <w:rsid w:val="006449AF"/>
    <w:rsid w:val="006452E8"/>
    <w:rsid w:val="00645390"/>
    <w:rsid w:val="00645503"/>
    <w:rsid w:val="00646B12"/>
    <w:rsid w:val="006502CA"/>
    <w:rsid w:val="00650CC6"/>
    <w:rsid w:val="00650DEF"/>
    <w:rsid w:val="006534B9"/>
    <w:rsid w:val="006543A9"/>
    <w:rsid w:val="00654C50"/>
    <w:rsid w:val="00654F71"/>
    <w:rsid w:val="00656688"/>
    <w:rsid w:val="006602FA"/>
    <w:rsid w:val="006609F6"/>
    <w:rsid w:val="006615DF"/>
    <w:rsid w:val="00662B42"/>
    <w:rsid w:val="006639BA"/>
    <w:rsid w:val="006679BD"/>
    <w:rsid w:val="006727D4"/>
    <w:rsid w:val="00672958"/>
    <w:rsid w:val="00673944"/>
    <w:rsid w:val="006760F2"/>
    <w:rsid w:val="00676720"/>
    <w:rsid w:val="00676BD4"/>
    <w:rsid w:val="006802E8"/>
    <w:rsid w:val="006828ED"/>
    <w:rsid w:val="00683905"/>
    <w:rsid w:val="00683BFC"/>
    <w:rsid w:val="00685E68"/>
    <w:rsid w:val="00686D46"/>
    <w:rsid w:val="00691C4B"/>
    <w:rsid w:val="00692279"/>
    <w:rsid w:val="00692D04"/>
    <w:rsid w:val="00692F49"/>
    <w:rsid w:val="006952FF"/>
    <w:rsid w:val="006965D3"/>
    <w:rsid w:val="006A10C8"/>
    <w:rsid w:val="006A2E33"/>
    <w:rsid w:val="006A4309"/>
    <w:rsid w:val="006A4A87"/>
    <w:rsid w:val="006A540E"/>
    <w:rsid w:val="006A7053"/>
    <w:rsid w:val="006A74D9"/>
    <w:rsid w:val="006A761F"/>
    <w:rsid w:val="006A7C2C"/>
    <w:rsid w:val="006B2EB3"/>
    <w:rsid w:val="006B39A4"/>
    <w:rsid w:val="006B3D9F"/>
    <w:rsid w:val="006B43A0"/>
    <w:rsid w:val="006B6D11"/>
    <w:rsid w:val="006B7049"/>
    <w:rsid w:val="006B7387"/>
    <w:rsid w:val="006B7449"/>
    <w:rsid w:val="006B79C7"/>
    <w:rsid w:val="006C06DA"/>
    <w:rsid w:val="006C0B7F"/>
    <w:rsid w:val="006C1771"/>
    <w:rsid w:val="006C2183"/>
    <w:rsid w:val="006C2461"/>
    <w:rsid w:val="006C39EE"/>
    <w:rsid w:val="006C7219"/>
    <w:rsid w:val="006C7495"/>
    <w:rsid w:val="006D51C0"/>
    <w:rsid w:val="006D57F3"/>
    <w:rsid w:val="006D6543"/>
    <w:rsid w:val="006E16CB"/>
    <w:rsid w:val="006E1DCB"/>
    <w:rsid w:val="006E20A4"/>
    <w:rsid w:val="006E3092"/>
    <w:rsid w:val="006E776A"/>
    <w:rsid w:val="006F1743"/>
    <w:rsid w:val="006F177D"/>
    <w:rsid w:val="006F21B2"/>
    <w:rsid w:val="006F2A99"/>
    <w:rsid w:val="006F373B"/>
    <w:rsid w:val="006F5F89"/>
    <w:rsid w:val="00701585"/>
    <w:rsid w:val="007023C6"/>
    <w:rsid w:val="00702879"/>
    <w:rsid w:val="00705DFC"/>
    <w:rsid w:val="00706CE9"/>
    <w:rsid w:val="007074F4"/>
    <w:rsid w:val="00707D1E"/>
    <w:rsid w:val="00710983"/>
    <w:rsid w:val="00711FCC"/>
    <w:rsid w:val="00712C0D"/>
    <w:rsid w:val="00712E61"/>
    <w:rsid w:val="00715424"/>
    <w:rsid w:val="00716200"/>
    <w:rsid w:val="0071796D"/>
    <w:rsid w:val="007231AB"/>
    <w:rsid w:val="00725301"/>
    <w:rsid w:val="00725DBC"/>
    <w:rsid w:val="00726DBB"/>
    <w:rsid w:val="00726F99"/>
    <w:rsid w:val="007306B9"/>
    <w:rsid w:val="0073291E"/>
    <w:rsid w:val="00733610"/>
    <w:rsid w:val="00735430"/>
    <w:rsid w:val="00736FB2"/>
    <w:rsid w:val="00741731"/>
    <w:rsid w:val="00741BDE"/>
    <w:rsid w:val="007442AA"/>
    <w:rsid w:val="00747A65"/>
    <w:rsid w:val="00747D5C"/>
    <w:rsid w:val="00747E2F"/>
    <w:rsid w:val="00751278"/>
    <w:rsid w:val="00753482"/>
    <w:rsid w:val="00760146"/>
    <w:rsid w:val="00761E13"/>
    <w:rsid w:val="00762EF8"/>
    <w:rsid w:val="00763249"/>
    <w:rsid w:val="00763FBA"/>
    <w:rsid w:val="00764CC2"/>
    <w:rsid w:val="0076531D"/>
    <w:rsid w:val="0077054B"/>
    <w:rsid w:val="0077109C"/>
    <w:rsid w:val="007714A2"/>
    <w:rsid w:val="00775183"/>
    <w:rsid w:val="007776D1"/>
    <w:rsid w:val="00781A26"/>
    <w:rsid w:val="007821F5"/>
    <w:rsid w:val="00783606"/>
    <w:rsid w:val="0078413D"/>
    <w:rsid w:val="00784EA2"/>
    <w:rsid w:val="00785710"/>
    <w:rsid w:val="0078733E"/>
    <w:rsid w:val="00787BD1"/>
    <w:rsid w:val="00787EA6"/>
    <w:rsid w:val="0079131B"/>
    <w:rsid w:val="00791B48"/>
    <w:rsid w:val="00792C01"/>
    <w:rsid w:val="00795ACA"/>
    <w:rsid w:val="00796FB6"/>
    <w:rsid w:val="007A0BDE"/>
    <w:rsid w:val="007A139B"/>
    <w:rsid w:val="007A156E"/>
    <w:rsid w:val="007A2EF2"/>
    <w:rsid w:val="007A3559"/>
    <w:rsid w:val="007A73AD"/>
    <w:rsid w:val="007B16AD"/>
    <w:rsid w:val="007B1A3A"/>
    <w:rsid w:val="007C083B"/>
    <w:rsid w:val="007C0869"/>
    <w:rsid w:val="007C1042"/>
    <w:rsid w:val="007C167C"/>
    <w:rsid w:val="007C429E"/>
    <w:rsid w:val="007C4B9F"/>
    <w:rsid w:val="007C68A8"/>
    <w:rsid w:val="007C6C9B"/>
    <w:rsid w:val="007C79B9"/>
    <w:rsid w:val="007D01DD"/>
    <w:rsid w:val="007D151A"/>
    <w:rsid w:val="007D328A"/>
    <w:rsid w:val="007D3724"/>
    <w:rsid w:val="007D6291"/>
    <w:rsid w:val="007D69AA"/>
    <w:rsid w:val="007D7890"/>
    <w:rsid w:val="007E0986"/>
    <w:rsid w:val="007E15B3"/>
    <w:rsid w:val="007E25B2"/>
    <w:rsid w:val="007E53C8"/>
    <w:rsid w:val="007E695E"/>
    <w:rsid w:val="007E7945"/>
    <w:rsid w:val="007E7DEB"/>
    <w:rsid w:val="007F1DE7"/>
    <w:rsid w:val="007F2523"/>
    <w:rsid w:val="007F5AB0"/>
    <w:rsid w:val="00800826"/>
    <w:rsid w:val="00800FD2"/>
    <w:rsid w:val="0080141B"/>
    <w:rsid w:val="008027F8"/>
    <w:rsid w:val="0080367F"/>
    <w:rsid w:val="00804A3A"/>
    <w:rsid w:val="0080529F"/>
    <w:rsid w:val="00806574"/>
    <w:rsid w:val="008066DF"/>
    <w:rsid w:val="00807520"/>
    <w:rsid w:val="00807816"/>
    <w:rsid w:val="00807906"/>
    <w:rsid w:val="00807D99"/>
    <w:rsid w:val="008105CB"/>
    <w:rsid w:val="008111A8"/>
    <w:rsid w:val="00811DB8"/>
    <w:rsid w:val="008154A1"/>
    <w:rsid w:val="00816996"/>
    <w:rsid w:val="008177D7"/>
    <w:rsid w:val="00817877"/>
    <w:rsid w:val="008231CE"/>
    <w:rsid w:val="00831795"/>
    <w:rsid w:val="008337A8"/>
    <w:rsid w:val="00833C1D"/>
    <w:rsid w:val="00834BBC"/>
    <w:rsid w:val="00835288"/>
    <w:rsid w:val="00840208"/>
    <w:rsid w:val="008407D3"/>
    <w:rsid w:val="00841A22"/>
    <w:rsid w:val="008423CF"/>
    <w:rsid w:val="00842D4F"/>
    <w:rsid w:val="00842E51"/>
    <w:rsid w:val="008445FE"/>
    <w:rsid w:val="00844813"/>
    <w:rsid w:val="00846B6C"/>
    <w:rsid w:val="00847F5D"/>
    <w:rsid w:val="00850070"/>
    <w:rsid w:val="0085085E"/>
    <w:rsid w:val="00851C32"/>
    <w:rsid w:val="00851F39"/>
    <w:rsid w:val="00852D83"/>
    <w:rsid w:val="00854384"/>
    <w:rsid w:val="00856136"/>
    <w:rsid w:val="00857748"/>
    <w:rsid w:val="00857FD2"/>
    <w:rsid w:val="00860B24"/>
    <w:rsid w:val="00864EB2"/>
    <w:rsid w:val="00871162"/>
    <w:rsid w:val="00876E32"/>
    <w:rsid w:val="00877B46"/>
    <w:rsid w:val="008824EB"/>
    <w:rsid w:val="00883136"/>
    <w:rsid w:val="0088374B"/>
    <w:rsid w:val="008854B5"/>
    <w:rsid w:val="008873BA"/>
    <w:rsid w:val="00891D9A"/>
    <w:rsid w:val="008938D1"/>
    <w:rsid w:val="008A0526"/>
    <w:rsid w:val="008A2618"/>
    <w:rsid w:val="008A3BB9"/>
    <w:rsid w:val="008A3DA3"/>
    <w:rsid w:val="008A4032"/>
    <w:rsid w:val="008A45F4"/>
    <w:rsid w:val="008B57CD"/>
    <w:rsid w:val="008B675E"/>
    <w:rsid w:val="008B6E58"/>
    <w:rsid w:val="008C1E46"/>
    <w:rsid w:val="008C25DA"/>
    <w:rsid w:val="008C26C0"/>
    <w:rsid w:val="008C3B52"/>
    <w:rsid w:val="008C44AD"/>
    <w:rsid w:val="008C4E8C"/>
    <w:rsid w:val="008C5BD7"/>
    <w:rsid w:val="008C711A"/>
    <w:rsid w:val="008C7F23"/>
    <w:rsid w:val="008D1729"/>
    <w:rsid w:val="008D17B5"/>
    <w:rsid w:val="008D3587"/>
    <w:rsid w:val="008D5C4C"/>
    <w:rsid w:val="008D6CC8"/>
    <w:rsid w:val="008E3F35"/>
    <w:rsid w:val="008E6658"/>
    <w:rsid w:val="008E6876"/>
    <w:rsid w:val="008F12C4"/>
    <w:rsid w:val="008F438F"/>
    <w:rsid w:val="008F4400"/>
    <w:rsid w:val="00901C66"/>
    <w:rsid w:val="009029A6"/>
    <w:rsid w:val="00903766"/>
    <w:rsid w:val="0090425D"/>
    <w:rsid w:val="00904829"/>
    <w:rsid w:val="00904CC6"/>
    <w:rsid w:val="009059F1"/>
    <w:rsid w:val="00906EC3"/>
    <w:rsid w:val="0090780C"/>
    <w:rsid w:val="009156FE"/>
    <w:rsid w:val="00915B53"/>
    <w:rsid w:val="00916DC6"/>
    <w:rsid w:val="00916F51"/>
    <w:rsid w:val="0091724E"/>
    <w:rsid w:val="0091794A"/>
    <w:rsid w:val="009179B1"/>
    <w:rsid w:val="0092124B"/>
    <w:rsid w:val="00921670"/>
    <w:rsid w:val="009217B3"/>
    <w:rsid w:val="00921832"/>
    <w:rsid w:val="009234C5"/>
    <w:rsid w:val="00923579"/>
    <w:rsid w:val="00926308"/>
    <w:rsid w:val="0092775A"/>
    <w:rsid w:val="009327AD"/>
    <w:rsid w:val="00934571"/>
    <w:rsid w:val="00935147"/>
    <w:rsid w:val="0093607E"/>
    <w:rsid w:val="009365E8"/>
    <w:rsid w:val="009376ED"/>
    <w:rsid w:val="009404DF"/>
    <w:rsid w:val="00942140"/>
    <w:rsid w:val="00942B10"/>
    <w:rsid w:val="00946565"/>
    <w:rsid w:val="0094756B"/>
    <w:rsid w:val="0095161B"/>
    <w:rsid w:val="00952BA7"/>
    <w:rsid w:val="00954385"/>
    <w:rsid w:val="00954649"/>
    <w:rsid w:val="009549A7"/>
    <w:rsid w:val="00954B01"/>
    <w:rsid w:val="00954E90"/>
    <w:rsid w:val="009551E6"/>
    <w:rsid w:val="00955C30"/>
    <w:rsid w:val="00955E19"/>
    <w:rsid w:val="00956838"/>
    <w:rsid w:val="00960AF4"/>
    <w:rsid w:val="00960D8F"/>
    <w:rsid w:val="00963C90"/>
    <w:rsid w:val="00965931"/>
    <w:rsid w:val="00965B86"/>
    <w:rsid w:val="00967A53"/>
    <w:rsid w:val="00970151"/>
    <w:rsid w:val="00971E21"/>
    <w:rsid w:val="00973AE6"/>
    <w:rsid w:val="00975269"/>
    <w:rsid w:val="009817A6"/>
    <w:rsid w:val="009828F2"/>
    <w:rsid w:val="00982FD2"/>
    <w:rsid w:val="00984416"/>
    <w:rsid w:val="00984896"/>
    <w:rsid w:val="00985F81"/>
    <w:rsid w:val="00986032"/>
    <w:rsid w:val="00986B26"/>
    <w:rsid w:val="00987406"/>
    <w:rsid w:val="009875A6"/>
    <w:rsid w:val="0099100C"/>
    <w:rsid w:val="00991AC6"/>
    <w:rsid w:val="00995570"/>
    <w:rsid w:val="00995C3B"/>
    <w:rsid w:val="009A2887"/>
    <w:rsid w:val="009A418E"/>
    <w:rsid w:val="009A6224"/>
    <w:rsid w:val="009A6319"/>
    <w:rsid w:val="009A638F"/>
    <w:rsid w:val="009A7008"/>
    <w:rsid w:val="009A72AC"/>
    <w:rsid w:val="009B03F1"/>
    <w:rsid w:val="009B2BAF"/>
    <w:rsid w:val="009B2D5E"/>
    <w:rsid w:val="009B3052"/>
    <w:rsid w:val="009B49BB"/>
    <w:rsid w:val="009B511B"/>
    <w:rsid w:val="009B563B"/>
    <w:rsid w:val="009B69C3"/>
    <w:rsid w:val="009B7544"/>
    <w:rsid w:val="009B75AA"/>
    <w:rsid w:val="009C1D27"/>
    <w:rsid w:val="009C62EB"/>
    <w:rsid w:val="009D06AF"/>
    <w:rsid w:val="009D147B"/>
    <w:rsid w:val="009D1957"/>
    <w:rsid w:val="009D5ECC"/>
    <w:rsid w:val="009E21C3"/>
    <w:rsid w:val="009E2906"/>
    <w:rsid w:val="009E2CF1"/>
    <w:rsid w:val="009F20C8"/>
    <w:rsid w:val="009F222C"/>
    <w:rsid w:val="009F4437"/>
    <w:rsid w:val="009F585D"/>
    <w:rsid w:val="009F7518"/>
    <w:rsid w:val="009F76B5"/>
    <w:rsid w:val="00A02558"/>
    <w:rsid w:val="00A04ECF"/>
    <w:rsid w:val="00A04F70"/>
    <w:rsid w:val="00A05185"/>
    <w:rsid w:val="00A06104"/>
    <w:rsid w:val="00A06BEA"/>
    <w:rsid w:val="00A0777E"/>
    <w:rsid w:val="00A1202D"/>
    <w:rsid w:val="00A1246D"/>
    <w:rsid w:val="00A12DDF"/>
    <w:rsid w:val="00A12E9B"/>
    <w:rsid w:val="00A12EEB"/>
    <w:rsid w:val="00A1344D"/>
    <w:rsid w:val="00A13608"/>
    <w:rsid w:val="00A13AB3"/>
    <w:rsid w:val="00A13F31"/>
    <w:rsid w:val="00A141B6"/>
    <w:rsid w:val="00A1652B"/>
    <w:rsid w:val="00A169C3"/>
    <w:rsid w:val="00A16F2C"/>
    <w:rsid w:val="00A212A9"/>
    <w:rsid w:val="00A21FBA"/>
    <w:rsid w:val="00A22E78"/>
    <w:rsid w:val="00A232FC"/>
    <w:rsid w:val="00A23852"/>
    <w:rsid w:val="00A2510A"/>
    <w:rsid w:val="00A311C1"/>
    <w:rsid w:val="00A32764"/>
    <w:rsid w:val="00A33832"/>
    <w:rsid w:val="00A35475"/>
    <w:rsid w:val="00A35957"/>
    <w:rsid w:val="00A372EE"/>
    <w:rsid w:val="00A4207C"/>
    <w:rsid w:val="00A45C2A"/>
    <w:rsid w:val="00A46EAD"/>
    <w:rsid w:val="00A4796E"/>
    <w:rsid w:val="00A47F32"/>
    <w:rsid w:val="00A5232D"/>
    <w:rsid w:val="00A53686"/>
    <w:rsid w:val="00A53CE4"/>
    <w:rsid w:val="00A55E33"/>
    <w:rsid w:val="00A56EAF"/>
    <w:rsid w:val="00A571EE"/>
    <w:rsid w:val="00A57517"/>
    <w:rsid w:val="00A57D98"/>
    <w:rsid w:val="00A6089F"/>
    <w:rsid w:val="00A61F11"/>
    <w:rsid w:val="00A6259D"/>
    <w:rsid w:val="00A713EB"/>
    <w:rsid w:val="00A749FD"/>
    <w:rsid w:val="00A75DB1"/>
    <w:rsid w:val="00A763FA"/>
    <w:rsid w:val="00A77CAF"/>
    <w:rsid w:val="00A826D1"/>
    <w:rsid w:val="00A827B5"/>
    <w:rsid w:val="00A827D9"/>
    <w:rsid w:val="00A83243"/>
    <w:rsid w:val="00A834D6"/>
    <w:rsid w:val="00A8418B"/>
    <w:rsid w:val="00A84FC3"/>
    <w:rsid w:val="00A86564"/>
    <w:rsid w:val="00A90948"/>
    <w:rsid w:val="00A9337A"/>
    <w:rsid w:val="00A93502"/>
    <w:rsid w:val="00A96043"/>
    <w:rsid w:val="00A978F1"/>
    <w:rsid w:val="00AA033F"/>
    <w:rsid w:val="00AA1622"/>
    <w:rsid w:val="00AA1A02"/>
    <w:rsid w:val="00AA369F"/>
    <w:rsid w:val="00AA5F71"/>
    <w:rsid w:val="00AA7563"/>
    <w:rsid w:val="00AA7F39"/>
    <w:rsid w:val="00AB083A"/>
    <w:rsid w:val="00AB19C9"/>
    <w:rsid w:val="00AB21FD"/>
    <w:rsid w:val="00AB28DA"/>
    <w:rsid w:val="00AB2D41"/>
    <w:rsid w:val="00AB3FBB"/>
    <w:rsid w:val="00AB44AD"/>
    <w:rsid w:val="00AB45C8"/>
    <w:rsid w:val="00AB67C0"/>
    <w:rsid w:val="00AB6C85"/>
    <w:rsid w:val="00AB6D7E"/>
    <w:rsid w:val="00AC026D"/>
    <w:rsid w:val="00AC0E01"/>
    <w:rsid w:val="00AC30C2"/>
    <w:rsid w:val="00AC3317"/>
    <w:rsid w:val="00AC422B"/>
    <w:rsid w:val="00AD26BD"/>
    <w:rsid w:val="00AD3265"/>
    <w:rsid w:val="00AD579D"/>
    <w:rsid w:val="00AD7810"/>
    <w:rsid w:val="00AE68E2"/>
    <w:rsid w:val="00AE6BF8"/>
    <w:rsid w:val="00AF21C7"/>
    <w:rsid w:val="00AF4B4F"/>
    <w:rsid w:val="00AF58BD"/>
    <w:rsid w:val="00B00BD2"/>
    <w:rsid w:val="00B01D28"/>
    <w:rsid w:val="00B01FB9"/>
    <w:rsid w:val="00B02F8E"/>
    <w:rsid w:val="00B03556"/>
    <w:rsid w:val="00B035DA"/>
    <w:rsid w:val="00B041B8"/>
    <w:rsid w:val="00B0424B"/>
    <w:rsid w:val="00B0487C"/>
    <w:rsid w:val="00B0538C"/>
    <w:rsid w:val="00B0558C"/>
    <w:rsid w:val="00B05DA2"/>
    <w:rsid w:val="00B06ACF"/>
    <w:rsid w:val="00B06CA4"/>
    <w:rsid w:val="00B07CA7"/>
    <w:rsid w:val="00B10BA1"/>
    <w:rsid w:val="00B116F1"/>
    <w:rsid w:val="00B11B45"/>
    <w:rsid w:val="00B12644"/>
    <w:rsid w:val="00B1270E"/>
    <w:rsid w:val="00B138ED"/>
    <w:rsid w:val="00B1575B"/>
    <w:rsid w:val="00B178A4"/>
    <w:rsid w:val="00B20DE3"/>
    <w:rsid w:val="00B22E8A"/>
    <w:rsid w:val="00B25498"/>
    <w:rsid w:val="00B26C03"/>
    <w:rsid w:val="00B27D52"/>
    <w:rsid w:val="00B31164"/>
    <w:rsid w:val="00B311D8"/>
    <w:rsid w:val="00B31C30"/>
    <w:rsid w:val="00B33B40"/>
    <w:rsid w:val="00B35F76"/>
    <w:rsid w:val="00B4008B"/>
    <w:rsid w:val="00B44080"/>
    <w:rsid w:val="00B44438"/>
    <w:rsid w:val="00B44D59"/>
    <w:rsid w:val="00B47B00"/>
    <w:rsid w:val="00B47E35"/>
    <w:rsid w:val="00B502E9"/>
    <w:rsid w:val="00B51841"/>
    <w:rsid w:val="00B542BB"/>
    <w:rsid w:val="00B54E44"/>
    <w:rsid w:val="00B56656"/>
    <w:rsid w:val="00B625B7"/>
    <w:rsid w:val="00B63170"/>
    <w:rsid w:val="00B63CA5"/>
    <w:rsid w:val="00B659CE"/>
    <w:rsid w:val="00B66BDD"/>
    <w:rsid w:val="00B67563"/>
    <w:rsid w:val="00B679B0"/>
    <w:rsid w:val="00B7009C"/>
    <w:rsid w:val="00B70858"/>
    <w:rsid w:val="00B74063"/>
    <w:rsid w:val="00B75C8E"/>
    <w:rsid w:val="00B75D3C"/>
    <w:rsid w:val="00B76206"/>
    <w:rsid w:val="00B804C1"/>
    <w:rsid w:val="00B80F96"/>
    <w:rsid w:val="00B815E1"/>
    <w:rsid w:val="00B81B71"/>
    <w:rsid w:val="00B8249B"/>
    <w:rsid w:val="00B828CB"/>
    <w:rsid w:val="00B833DF"/>
    <w:rsid w:val="00B85060"/>
    <w:rsid w:val="00B85E45"/>
    <w:rsid w:val="00B87EE2"/>
    <w:rsid w:val="00B9010F"/>
    <w:rsid w:val="00B9348C"/>
    <w:rsid w:val="00B936AE"/>
    <w:rsid w:val="00B93D83"/>
    <w:rsid w:val="00B94950"/>
    <w:rsid w:val="00B96E5C"/>
    <w:rsid w:val="00BA03F1"/>
    <w:rsid w:val="00BA1FFB"/>
    <w:rsid w:val="00BA3D5A"/>
    <w:rsid w:val="00BA479D"/>
    <w:rsid w:val="00BA67CF"/>
    <w:rsid w:val="00BA6A58"/>
    <w:rsid w:val="00BB261B"/>
    <w:rsid w:val="00BB4D49"/>
    <w:rsid w:val="00BB5A78"/>
    <w:rsid w:val="00BB6CB0"/>
    <w:rsid w:val="00BC2088"/>
    <w:rsid w:val="00BC4517"/>
    <w:rsid w:val="00BC7688"/>
    <w:rsid w:val="00BD0482"/>
    <w:rsid w:val="00BD0BD3"/>
    <w:rsid w:val="00BD255A"/>
    <w:rsid w:val="00BD3B5A"/>
    <w:rsid w:val="00BD4DCD"/>
    <w:rsid w:val="00BD6271"/>
    <w:rsid w:val="00BD6AA8"/>
    <w:rsid w:val="00BE09B2"/>
    <w:rsid w:val="00BE15BC"/>
    <w:rsid w:val="00BE21EA"/>
    <w:rsid w:val="00BE23D7"/>
    <w:rsid w:val="00BE4137"/>
    <w:rsid w:val="00BE4A41"/>
    <w:rsid w:val="00BE5067"/>
    <w:rsid w:val="00BE5A2F"/>
    <w:rsid w:val="00BE756D"/>
    <w:rsid w:val="00BF2B49"/>
    <w:rsid w:val="00BF4DA0"/>
    <w:rsid w:val="00BF5B60"/>
    <w:rsid w:val="00C00D2A"/>
    <w:rsid w:val="00C0259C"/>
    <w:rsid w:val="00C0584C"/>
    <w:rsid w:val="00C06EC9"/>
    <w:rsid w:val="00C11132"/>
    <w:rsid w:val="00C1224D"/>
    <w:rsid w:val="00C12A45"/>
    <w:rsid w:val="00C13990"/>
    <w:rsid w:val="00C1530F"/>
    <w:rsid w:val="00C160DD"/>
    <w:rsid w:val="00C163EF"/>
    <w:rsid w:val="00C2007F"/>
    <w:rsid w:val="00C209C1"/>
    <w:rsid w:val="00C23CBF"/>
    <w:rsid w:val="00C2662D"/>
    <w:rsid w:val="00C26F58"/>
    <w:rsid w:val="00C3068F"/>
    <w:rsid w:val="00C33BD9"/>
    <w:rsid w:val="00C35968"/>
    <w:rsid w:val="00C374B9"/>
    <w:rsid w:val="00C37B86"/>
    <w:rsid w:val="00C4106A"/>
    <w:rsid w:val="00C41BB2"/>
    <w:rsid w:val="00C43883"/>
    <w:rsid w:val="00C47311"/>
    <w:rsid w:val="00C47A20"/>
    <w:rsid w:val="00C50A98"/>
    <w:rsid w:val="00C54EED"/>
    <w:rsid w:val="00C567A7"/>
    <w:rsid w:val="00C603E9"/>
    <w:rsid w:val="00C60B5D"/>
    <w:rsid w:val="00C62684"/>
    <w:rsid w:val="00C62CB1"/>
    <w:rsid w:val="00C64558"/>
    <w:rsid w:val="00C649C1"/>
    <w:rsid w:val="00C660BB"/>
    <w:rsid w:val="00C664D2"/>
    <w:rsid w:val="00C66FFB"/>
    <w:rsid w:val="00C71CFD"/>
    <w:rsid w:val="00C7303F"/>
    <w:rsid w:val="00C737BD"/>
    <w:rsid w:val="00C74113"/>
    <w:rsid w:val="00C748DB"/>
    <w:rsid w:val="00C82509"/>
    <w:rsid w:val="00C8397A"/>
    <w:rsid w:val="00C8571C"/>
    <w:rsid w:val="00C85E99"/>
    <w:rsid w:val="00C87732"/>
    <w:rsid w:val="00C87AC8"/>
    <w:rsid w:val="00C90FE8"/>
    <w:rsid w:val="00C9230D"/>
    <w:rsid w:val="00C9397D"/>
    <w:rsid w:val="00C958B6"/>
    <w:rsid w:val="00C959B8"/>
    <w:rsid w:val="00C95BDE"/>
    <w:rsid w:val="00C96BB4"/>
    <w:rsid w:val="00CA016C"/>
    <w:rsid w:val="00CA1DDE"/>
    <w:rsid w:val="00CA3ED3"/>
    <w:rsid w:val="00CA43BE"/>
    <w:rsid w:val="00CA67D9"/>
    <w:rsid w:val="00CA7983"/>
    <w:rsid w:val="00CB005B"/>
    <w:rsid w:val="00CB1C61"/>
    <w:rsid w:val="00CB1F01"/>
    <w:rsid w:val="00CB2A03"/>
    <w:rsid w:val="00CB4608"/>
    <w:rsid w:val="00CB7E9C"/>
    <w:rsid w:val="00CB7F6B"/>
    <w:rsid w:val="00CC1458"/>
    <w:rsid w:val="00CC163A"/>
    <w:rsid w:val="00CC22C1"/>
    <w:rsid w:val="00CC28FD"/>
    <w:rsid w:val="00CC3778"/>
    <w:rsid w:val="00CC4A7B"/>
    <w:rsid w:val="00CC4CB8"/>
    <w:rsid w:val="00CC6DC2"/>
    <w:rsid w:val="00CD022E"/>
    <w:rsid w:val="00CD1882"/>
    <w:rsid w:val="00CD25CA"/>
    <w:rsid w:val="00CD2AE0"/>
    <w:rsid w:val="00CD3236"/>
    <w:rsid w:val="00CD4793"/>
    <w:rsid w:val="00CD6078"/>
    <w:rsid w:val="00CE19D6"/>
    <w:rsid w:val="00CE317A"/>
    <w:rsid w:val="00CE4044"/>
    <w:rsid w:val="00CE4653"/>
    <w:rsid w:val="00CE55B8"/>
    <w:rsid w:val="00CE5EB8"/>
    <w:rsid w:val="00CE6B8F"/>
    <w:rsid w:val="00CF2706"/>
    <w:rsid w:val="00CF2755"/>
    <w:rsid w:val="00CF2F5A"/>
    <w:rsid w:val="00CF3F31"/>
    <w:rsid w:val="00CF519B"/>
    <w:rsid w:val="00CF66C8"/>
    <w:rsid w:val="00D00B53"/>
    <w:rsid w:val="00D01CE3"/>
    <w:rsid w:val="00D05FED"/>
    <w:rsid w:val="00D074E2"/>
    <w:rsid w:val="00D07BA6"/>
    <w:rsid w:val="00D1090E"/>
    <w:rsid w:val="00D10A7B"/>
    <w:rsid w:val="00D11026"/>
    <w:rsid w:val="00D11474"/>
    <w:rsid w:val="00D114C5"/>
    <w:rsid w:val="00D11EC3"/>
    <w:rsid w:val="00D12E00"/>
    <w:rsid w:val="00D13A30"/>
    <w:rsid w:val="00D14F39"/>
    <w:rsid w:val="00D152B8"/>
    <w:rsid w:val="00D16A15"/>
    <w:rsid w:val="00D2077F"/>
    <w:rsid w:val="00D20E86"/>
    <w:rsid w:val="00D21A18"/>
    <w:rsid w:val="00D25922"/>
    <w:rsid w:val="00D32F0E"/>
    <w:rsid w:val="00D333CD"/>
    <w:rsid w:val="00D33D89"/>
    <w:rsid w:val="00D33E9D"/>
    <w:rsid w:val="00D341F0"/>
    <w:rsid w:val="00D34A4D"/>
    <w:rsid w:val="00D34C0F"/>
    <w:rsid w:val="00D363D3"/>
    <w:rsid w:val="00D374E9"/>
    <w:rsid w:val="00D434AB"/>
    <w:rsid w:val="00D44122"/>
    <w:rsid w:val="00D46D24"/>
    <w:rsid w:val="00D473AC"/>
    <w:rsid w:val="00D50F7A"/>
    <w:rsid w:val="00D559FC"/>
    <w:rsid w:val="00D55C13"/>
    <w:rsid w:val="00D617E4"/>
    <w:rsid w:val="00D633CF"/>
    <w:rsid w:val="00D6512C"/>
    <w:rsid w:val="00D65B67"/>
    <w:rsid w:val="00D65B9E"/>
    <w:rsid w:val="00D671A6"/>
    <w:rsid w:val="00D70F46"/>
    <w:rsid w:val="00D731D9"/>
    <w:rsid w:val="00D73A7A"/>
    <w:rsid w:val="00D75F3A"/>
    <w:rsid w:val="00D76DCF"/>
    <w:rsid w:val="00D8342A"/>
    <w:rsid w:val="00D846AE"/>
    <w:rsid w:val="00D8497B"/>
    <w:rsid w:val="00D86FD4"/>
    <w:rsid w:val="00D873E2"/>
    <w:rsid w:val="00D87BAD"/>
    <w:rsid w:val="00D91200"/>
    <w:rsid w:val="00D91511"/>
    <w:rsid w:val="00D94AA8"/>
    <w:rsid w:val="00D9699C"/>
    <w:rsid w:val="00D974C2"/>
    <w:rsid w:val="00DA336E"/>
    <w:rsid w:val="00DA3624"/>
    <w:rsid w:val="00DA36B9"/>
    <w:rsid w:val="00DA64E9"/>
    <w:rsid w:val="00DA780D"/>
    <w:rsid w:val="00DA7914"/>
    <w:rsid w:val="00DA7F57"/>
    <w:rsid w:val="00DB09DE"/>
    <w:rsid w:val="00DB1D9E"/>
    <w:rsid w:val="00DB2415"/>
    <w:rsid w:val="00DB34FC"/>
    <w:rsid w:val="00DB6508"/>
    <w:rsid w:val="00DB73A7"/>
    <w:rsid w:val="00DB740F"/>
    <w:rsid w:val="00DC169A"/>
    <w:rsid w:val="00DC32C9"/>
    <w:rsid w:val="00DD4F5F"/>
    <w:rsid w:val="00DD61E4"/>
    <w:rsid w:val="00DD75C2"/>
    <w:rsid w:val="00DE1E37"/>
    <w:rsid w:val="00DE2A1B"/>
    <w:rsid w:val="00DE6BFE"/>
    <w:rsid w:val="00DE72B6"/>
    <w:rsid w:val="00DF0000"/>
    <w:rsid w:val="00DF1851"/>
    <w:rsid w:val="00DF1D90"/>
    <w:rsid w:val="00DF2C8F"/>
    <w:rsid w:val="00DF33AB"/>
    <w:rsid w:val="00DF50F9"/>
    <w:rsid w:val="00DF5965"/>
    <w:rsid w:val="00E0137C"/>
    <w:rsid w:val="00E0165C"/>
    <w:rsid w:val="00E025C9"/>
    <w:rsid w:val="00E056DD"/>
    <w:rsid w:val="00E0788E"/>
    <w:rsid w:val="00E11FE2"/>
    <w:rsid w:val="00E130F0"/>
    <w:rsid w:val="00E13ECB"/>
    <w:rsid w:val="00E15CDC"/>
    <w:rsid w:val="00E15F08"/>
    <w:rsid w:val="00E16946"/>
    <w:rsid w:val="00E2018B"/>
    <w:rsid w:val="00E224F2"/>
    <w:rsid w:val="00E2288E"/>
    <w:rsid w:val="00E269A7"/>
    <w:rsid w:val="00E27008"/>
    <w:rsid w:val="00E32E64"/>
    <w:rsid w:val="00E356D1"/>
    <w:rsid w:val="00E36DA3"/>
    <w:rsid w:val="00E37135"/>
    <w:rsid w:val="00E3717D"/>
    <w:rsid w:val="00E41375"/>
    <w:rsid w:val="00E435C6"/>
    <w:rsid w:val="00E451BE"/>
    <w:rsid w:val="00E451FC"/>
    <w:rsid w:val="00E4716A"/>
    <w:rsid w:val="00E4723B"/>
    <w:rsid w:val="00E4763A"/>
    <w:rsid w:val="00E47F0E"/>
    <w:rsid w:val="00E52952"/>
    <w:rsid w:val="00E52E98"/>
    <w:rsid w:val="00E53142"/>
    <w:rsid w:val="00E55A8B"/>
    <w:rsid w:val="00E56068"/>
    <w:rsid w:val="00E565FA"/>
    <w:rsid w:val="00E60989"/>
    <w:rsid w:val="00E60C10"/>
    <w:rsid w:val="00E61089"/>
    <w:rsid w:val="00E61388"/>
    <w:rsid w:val="00E63255"/>
    <w:rsid w:val="00E63505"/>
    <w:rsid w:val="00E63A93"/>
    <w:rsid w:val="00E64879"/>
    <w:rsid w:val="00E65C1C"/>
    <w:rsid w:val="00E65FEC"/>
    <w:rsid w:val="00E664F4"/>
    <w:rsid w:val="00E67172"/>
    <w:rsid w:val="00E676C4"/>
    <w:rsid w:val="00E707E8"/>
    <w:rsid w:val="00E71CAE"/>
    <w:rsid w:val="00E75A96"/>
    <w:rsid w:val="00E75D81"/>
    <w:rsid w:val="00E817B7"/>
    <w:rsid w:val="00E8461D"/>
    <w:rsid w:val="00E85B2A"/>
    <w:rsid w:val="00E86628"/>
    <w:rsid w:val="00E86BAB"/>
    <w:rsid w:val="00E90501"/>
    <w:rsid w:val="00E910FA"/>
    <w:rsid w:val="00E94388"/>
    <w:rsid w:val="00E97325"/>
    <w:rsid w:val="00E975CE"/>
    <w:rsid w:val="00E976A3"/>
    <w:rsid w:val="00EA0B19"/>
    <w:rsid w:val="00EA22FF"/>
    <w:rsid w:val="00EA2F1E"/>
    <w:rsid w:val="00EA423C"/>
    <w:rsid w:val="00EA59CF"/>
    <w:rsid w:val="00EA6C2E"/>
    <w:rsid w:val="00EB1076"/>
    <w:rsid w:val="00EB1C78"/>
    <w:rsid w:val="00EB30EC"/>
    <w:rsid w:val="00EB6BD6"/>
    <w:rsid w:val="00EC0AD6"/>
    <w:rsid w:val="00EC2421"/>
    <w:rsid w:val="00EC268F"/>
    <w:rsid w:val="00EC6034"/>
    <w:rsid w:val="00EC618A"/>
    <w:rsid w:val="00EC628F"/>
    <w:rsid w:val="00EC6425"/>
    <w:rsid w:val="00EC64FD"/>
    <w:rsid w:val="00EC7012"/>
    <w:rsid w:val="00EC7C05"/>
    <w:rsid w:val="00EC7F4F"/>
    <w:rsid w:val="00ED0CFA"/>
    <w:rsid w:val="00ED1E55"/>
    <w:rsid w:val="00ED23EC"/>
    <w:rsid w:val="00ED245B"/>
    <w:rsid w:val="00ED2F17"/>
    <w:rsid w:val="00ED4C2E"/>
    <w:rsid w:val="00EE008C"/>
    <w:rsid w:val="00EE0647"/>
    <w:rsid w:val="00EE0E70"/>
    <w:rsid w:val="00EE333D"/>
    <w:rsid w:val="00EE48C5"/>
    <w:rsid w:val="00EE5CE8"/>
    <w:rsid w:val="00EE6E0C"/>
    <w:rsid w:val="00EF1A61"/>
    <w:rsid w:val="00EF2F40"/>
    <w:rsid w:val="00EF347D"/>
    <w:rsid w:val="00EF4C83"/>
    <w:rsid w:val="00EF5512"/>
    <w:rsid w:val="00EF7A0D"/>
    <w:rsid w:val="00F014E3"/>
    <w:rsid w:val="00F019AC"/>
    <w:rsid w:val="00F05133"/>
    <w:rsid w:val="00F055FF"/>
    <w:rsid w:val="00F06DDC"/>
    <w:rsid w:val="00F072F5"/>
    <w:rsid w:val="00F11378"/>
    <w:rsid w:val="00F11552"/>
    <w:rsid w:val="00F12EAF"/>
    <w:rsid w:val="00F27806"/>
    <w:rsid w:val="00F32BB6"/>
    <w:rsid w:val="00F3358B"/>
    <w:rsid w:val="00F35780"/>
    <w:rsid w:val="00F35B03"/>
    <w:rsid w:val="00F36317"/>
    <w:rsid w:val="00F36CF4"/>
    <w:rsid w:val="00F41CEB"/>
    <w:rsid w:val="00F436D5"/>
    <w:rsid w:val="00F4371F"/>
    <w:rsid w:val="00F43CC5"/>
    <w:rsid w:val="00F44C58"/>
    <w:rsid w:val="00F4503C"/>
    <w:rsid w:val="00F4518F"/>
    <w:rsid w:val="00F45E75"/>
    <w:rsid w:val="00F47294"/>
    <w:rsid w:val="00F523BB"/>
    <w:rsid w:val="00F549A6"/>
    <w:rsid w:val="00F5707F"/>
    <w:rsid w:val="00F60666"/>
    <w:rsid w:val="00F618BA"/>
    <w:rsid w:val="00F620AF"/>
    <w:rsid w:val="00F642BB"/>
    <w:rsid w:val="00F6525E"/>
    <w:rsid w:val="00F676AD"/>
    <w:rsid w:val="00F705F9"/>
    <w:rsid w:val="00F70AA5"/>
    <w:rsid w:val="00F70E2D"/>
    <w:rsid w:val="00F71384"/>
    <w:rsid w:val="00F745C8"/>
    <w:rsid w:val="00F75772"/>
    <w:rsid w:val="00F75D80"/>
    <w:rsid w:val="00F809D2"/>
    <w:rsid w:val="00F80A27"/>
    <w:rsid w:val="00F80EB1"/>
    <w:rsid w:val="00F81F6D"/>
    <w:rsid w:val="00F821B4"/>
    <w:rsid w:val="00F82D06"/>
    <w:rsid w:val="00F83405"/>
    <w:rsid w:val="00F84701"/>
    <w:rsid w:val="00F8676D"/>
    <w:rsid w:val="00F92707"/>
    <w:rsid w:val="00F927EF"/>
    <w:rsid w:val="00F97270"/>
    <w:rsid w:val="00FA23AB"/>
    <w:rsid w:val="00FA3A28"/>
    <w:rsid w:val="00FA6501"/>
    <w:rsid w:val="00FB6083"/>
    <w:rsid w:val="00FC0E24"/>
    <w:rsid w:val="00FC51FB"/>
    <w:rsid w:val="00FC53D2"/>
    <w:rsid w:val="00FC6187"/>
    <w:rsid w:val="00FC68D1"/>
    <w:rsid w:val="00FC799F"/>
    <w:rsid w:val="00FD0403"/>
    <w:rsid w:val="00FD0CE5"/>
    <w:rsid w:val="00FE298E"/>
    <w:rsid w:val="00FE2BA4"/>
    <w:rsid w:val="00FE3A27"/>
    <w:rsid w:val="00FE4532"/>
    <w:rsid w:val="00FE5B9E"/>
    <w:rsid w:val="00FE681B"/>
    <w:rsid w:val="00FE6F66"/>
    <w:rsid w:val="00FF0E5D"/>
    <w:rsid w:val="00FF1166"/>
    <w:rsid w:val="00FF11B7"/>
    <w:rsid w:val="00FF36C1"/>
    <w:rsid w:val="00FF377B"/>
    <w:rsid w:val="00FF43B9"/>
    <w:rsid w:val="00FF43F9"/>
    <w:rsid w:val="00FF6C50"/>
    <w:rsid w:val="00FF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6E4F1AF"/>
  <w15:docId w15:val="{C5612C4B-7C6F-45AD-9866-E5541D24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01BF"/>
    <w:pPr>
      <w:spacing w:after="120" w:line="240" w:lineRule="auto"/>
      <w:jc w:val="both"/>
    </w:pPr>
    <w:rPr>
      <w:rFonts w:eastAsia="Times New Roman" w:cs="Times New Roman"/>
      <w:sz w:val="24"/>
      <w:szCs w:val="24"/>
    </w:rPr>
  </w:style>
  <w:style w:type="paragraph" w:styleId="Heading1">
    <w:name w:val="heading 1"/>
    <w:basedOn w:val="Normal"/>
    <w:next w:val="Normal"/>
    <w:link w:val="Heading1Char"/>
    <w:uiPriority w:val="99"/>
    <w:qFormat/>
    <w:rsid w:val="004579C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iPriority w:val="99"/>
    <w:qFormat/>
    <w:rsid w:val="004579C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9"/>
    <w:qFormat/>
    <w:rsid w:val="004579C0"/>
    <w:pPr>
      <w:keepNext/>
      <w:suppressAutoHyphens/>
      <w:jc w:val="left"/>
      <w:outlineLvl w:val="2"/>
    </w:pPr>
    <w:rPr>
      <w:b/>
      <w:sz w:val="26"/>
      <w:szCs w:val="20"/>
    </w:rPr>
  </w:style>
  <w:style w:type="paragraph" w:styleId="Heading4">
    <w:name w:val="heading 4"/>
    <w:basedOn w:val="Normal"/>
    <w:next w:val="Normal"/>
    <w:link w:val="Heading4Char"/>
    <w:qFormat/>
    <w:rsid w:val="004579C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qFormat/>
    <w:rsid w:val="004579C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qFormat/>
    <w:rsid w:val="004579C0"/>
    <w:pPr>
      <w:spacing w:before="240" w:after="60"/>
      <w:outlineLvl w:val="5"/>
    </w:pPr>
    <w:rPr>
      <w:b/>
      <w:bCs/>
      <w:sz w:val="22"/>
      <w:szCs w:val="22"/>
    </w:rPr>
  </w:style>
  <w:style w:type="paragraph" w:styleId="Heading7">
    <w:name w:val="heading 7"/>
    <w:basedOn w:val="Normal"/>
    <w:next w:val="Normal"/>
    <w:link w:val="Heading7Char"/>
    <w:qFormat/>
    <w:rsid w:val="004579C0"/>
    <w:pPr>
      <w:spacing w:before="240" w:after="60"/>
      <w:outlineLvl w:val="6"/>
    </w:pPr>
  </w:style>
  <w:style w:type="paragraph" w:styleId="Heading8">
    <w:name w:val="heading 8"/>
    <w:basedOn w:val="Normal"/>
    <w:next w:val="Normal"/>
    <w:link w:val="Heading8Char"/>
    <w:qFormat/>
    <w:rsid w:val="004579C0"/>
    <w:pPr>
      <w:spacing w:before="240" w:after="60"/>
      <w:outlineLvl w:val="7"/>
    </w:pPr>
    <w:rPr>
      <w:i/>
      <w:iCs/>
    </w:rPr>
  </w:style>
  <w:style w:type="paragraph" w:styleId="Heading9">
    <w:name w:val="heading 9"/>
    <w:basedOn w:val="Normal"/>
    <w:next w:val="Normal"/>
    <w:link w:val="Heading9Char"/>
    <w:qFormat/>
    <w:rsid w:val="004579C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79C0"/>
    <w:rPr>
      <w:rFonts w:ascii="Times New Roman Bold" w:eastAsia="Times New Roman" w:hAnsi="Times New Roman Bold" w:cs="Times New Roman"/>
      <w:b/>
      <w:caps/>
      <w:sz w:val="32"/>
      <w:szCs w:val="20"/>
    </w:rPr>
  </w:style>
  <w:style w:type="character" w:customStyle="1" w:styleId="Heading2Char">
    <w:name w:val="Heading 2 Char"/>
    <w:basedOn w:val="DefaultParagraphFont"/>
    <w:link w:val="Heading2"/>
    <w:uiPriority w:val="99"/>
    <w:rsid w:val="00A04ECF"/>
    <w:rPr>
      <w:rFonts w:ascii="Times New Roman Bold" w:eastAsia="Times New Roman" w:hAnsi="Times New Roman Bold" w:cs="Times New Roman"/>
      <w:b/>
      <w:smallCaps/>
      <w:sz w:val="30"/>
      <w:szCs w:val="20"/>
    </w:rPr>
  </w:style>
  <w:style w:type="character" w:customStyle="1" w:styleId="Heading3Char">
    <w:name w:val="Heading 3 Char"/>
    <w:basedOn w:val="DefaultParagraphFont"/>
    <w:link w:val="Heading3"/>
    <w:uiPriority w:val="99"/>
    <w:rsid w:val="00A04ECF"/>
    <w:rPr>
      <w:rFonts w:eastAsia="Times New Roman" w:cs="Times New Roman"/>
      <w:b/>
      <w:sz w:val="26"/>
      <w:szCs w:val="20"/>
    </w:rPr>
  </w:style>
  <w:style w:type="character" w:customStyle="1" w:styleId="Heading4Char">
    <w:name w:val="Heading 4 Char"/>
    <w:basedOn w:val="DefaultParagraphFont"/>
    <w:link w:val="Heading4"/>
    <w:rsid w:val="00A04ECF"/>
    <w:rPr>
      <w:rFonts w:ascii="Times New Roman Bold" w:eastAsia="Times New Roman" w:hAnsi="Times New Roman Bold" w:cs="Times New Roman"/>
      <w:b/>
      <w:bCs/>
      <w:i/>
      <w:sz w:val="24"/>
      <w:szCs w:val="28"/>
    </w:rPr>
  </w:style>
  <w:style w:type="character" w:customStyle="1" w:styleId="Heading5Char">
    <w:name w:val="Heading 5 Char"/>
    <w:basedOn w:val="DefaultParagraphFont"/>
    <w:link w:val="Heading5"/>
    <w:rsid w:val="00A04ECF"/>
    <w:rPr>
      <w:rFonts w:ascii="Times New Roman Bold" w:eastAsia="Times New Roman" w:hAnsi="Times New Roman Bold" w:cs="Times New Roman"/>
      <w:b/>
      <w:bCs/>
      <w:iCs/>
      <w:sz w:val="24"/>
      <w:szCs w:val="26"/>
    </w:rPr>
  </w:style>
  <w:style w:type="character" w:customStyle="1" w:styleId="Heading6Char">
    <w:name w:val="Heading 6 Char"/>
    <w:basedOn w:val="DefaultParagraphFont"/>
    <w:link w:val="Heading6"/>
    <w:rsid w:val="00293C07"/>
    <w:rPr>
      <w:rFonts w:eastAsia="Times New Roman" w:cs="Times New Roman"/>
      <w:b/>
      <w:bCs/>
    </w:rPr>
  </w:style>
  <w:style w:type="character" w:customStyle="1" w:styleId="Heading7Char">
    <w:name w:val="Heading 7 Char"/>
    <w:basedOn w:val="DefaultParagraphFont"/>
    <w:link w:val="Heading7"/>
    <w:rsid w:val="00293C07"/>
    <w:rPr>
      <w:rFonts w:eastAsia="Times New Roman" w:cs="Times New Roman"/>
      <w:sz w:val="24"/>
      <w:szCs w:val="24"/>
    </w:rPr>
  </w:style>
  <w:style w:type="character" w:customStyle="1" w:styleId="Heading8Char">
    <w:name w:val="Heading 8 Char"/>
    <w:basedOn w:val="DefaultParagraphFont"/>
    <w:link w:val="Heading8"/>
    <w:rsid w:val="00293C07"/>
    <w:rPr>
      <w:rFonts w:eastAsia="Times New Roman" w:cs="Times New Roman"/>
      <w:i/>
      <w:iCs/>
      <w:sz w:val="24"/>
      <w:szCs w:val="24"/>
    </w:rPr>
  </w:style>
  <w:style w:type="character" w:customStyle="1" w:styleId="Heading9Char">
    <w:name w:val="Heading 9 Char"/>
    <w:basedOn w:val="DefaultParagraphFont"/>
    <w:link w:val="Heading9"/>
    <w:rsid w:val="004579C0"/>
    <w:rPr>
      <w:rFonts w:ascii="Arial" w:eastAsia="Times New Roman" w:hAnsi="Arial" w:cs="Arial"/>
    </w:rPr>
  </w:style>
  <w:style w:type="table" w:styleId="TableGrid">
    <w:name w:val="Table Grid"/>
    <w:basedOn w:val="TableNormal"/>
    <w:uiPriority w:val="99"/>
    <w:rsid w:val="004579C0"/>
    <w:pPr>
      <w:spacing w:after="120" w:line="240" w:lineRule="auto"/>
      <w:jc w:val="both"/>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qFormat/>
    <w:rsid w:val="004579C0"/>
    <w:pPr>
      <w:keepLines/>
      <w:tabs>
        <w:tab w:val="right" w:pos="9360"/>
      </w:tabs>
      <w:suppressAutoHyphens/>
      <w:ind w:firstLine="288"/>
    </w:pPr>
    <w:rPr>
      <w:sz w:val="22"/>
      <w:szCs w:val="20"/>
    </w:rPr>
  </w:style>
  <w:style w:type="character" w:customStyle="1" w:styleId="CaptionChar">
    <w:name w:val="Caption Char"/>
    <w:basedOn w:val="DefaultParagraphFont"/>
    <w:link w:val="Caption"/>
    <w:uiPriority w:val="99"/>
    <w:rsid w:val="004579C0"/>
    <w:rPr>
      <w:rFonts w:eastAsia="Times New Roman" w:cs="Times New Roman"/>
      <w:szCs w:val="20"/>
    </w:rPr>
  </w:style>
  <w:style w:type="paragraph" w:customStyle="1" w:styleId="TableRow">
    <w:name w:val="Table Row"/>
    <w:basedOn w:val="Normal-0After"/>
    <w:rsid w:val="004579C0"/>
    <w:pPr>
      <w:keepNext/>
      <w:keepLines/>
      <w:spacing w:before="20" w:after="20"/>
    </w:pPr>
    <w:rPr>
      <w:sz w:val="20"/>
    </w:rPr>
  </w:style>
  <w:style w:type="paragraph" w:customStyle="1" w:styleId="Normal-0After">
    <w:name w:val="Normal-0 After"/>
    <w:basedOn w:val="Normal"/>
    <w:rsid w:val="004579C0"/>
    <w:pPr>
      <w:suppressAutoHyphens/>
      <w:spacing w:after="0"/>
    </w:pPr>
    <w:rPr>
      <w:szCs w:val="20"/>
    </w:rPr>
  </w:style>
  <w:style w:type="paragraph" w:customStyle="1" w:styleId="TOCPage">
    <w:name w:val="TOC Page"/>
    <w:basedOn w:val="TOCHeader"/>
    <w:next w:val="Normal"/>
    <w:rsid w:val="004579C0"/>
    <w:pPr>
      <w:jc w:val="right"/>
    </w:pPr>
    <w:rPr>
      <w:sz w:val="24"/>
    </w:rPr>
  </w:style>
  <w:style w:type="paragraph" w:customStyle="1" w:styleId="TOCHeader">
    <w:name w:val="TOC Header"/>
    <w:basedOn w:val="Normal"/>
    <w:next w:val="TOCPage"/>
    <w:rsid w:val="004579C0"/>
    <w:pPr>
      <w:suppressAutoHyphens/>
      <w:spacing w:after="0"/>
      <w:jc w:val="center"/>
    </w:pPr>
    <w:rPr>
      <w:b/>
      <w:noProof/>
      <w:sz w:val="32"/>
      <w:szCs w:val="20"/>
    </w:rPr>
  </w:style>
  <w:style w:type="paragraph" w:customStyle="1" w:styleId="Table-Continued">
    <w:name w:val="Table-Continued"/>
    <w:basedOn w:val="Normal"/>
    <w:next w:val="Normal"/>
    <w:rsid w:val="004579C0"/>
    <w:pPr>
      <w:keepNext/>
      <w:keepLines/>
      <w:suppressAutoHyphens/>
      <w:spacing w:before="60"/>
      <w:jc w:val="center"/>
    </w:pPr>
    <w:rPr>
      <w:sz w:val="20"/>
      <w:szCs w:val="20"/>
    </w:rPr>
  </w:style>
  <w:style w:type="paragraph" w:styleId="Footer">
    <w:name w:val="footer"/>
    <w:basedOn w:val="Normal"/>
    <w:link w:val="FooterChar"/>
    <w:uiPriority w:val="99"/>
    <w:rsid w:val="004579C0"/>
    <w:pPr>
      <w:tabs>
        <w:tab w:val="center" w:pos="4320"/>
        <w:tab w:val="right" w:pos="8640"/>
      </w:tabs>
      <w:suppressAutoHyphens/>
    </w:pPr>
    <w:rPr>
      <w:szCs w:val="20"/>
    </w:rPr>
  </w:style>
  <w:style w:type="character" w:customStyle="1" w:styleId="FooterChar">
    <w:name w:val="Footer Char"/>
    <w:basedOn w:val="DefaultParagraphFont"/>
    <w:link w:val="Footer"/>
    <w:uiPriority w:val="99"/>
    <w:rsid w:val="00A04ECF"/>
    <w:rPr>
      <w:rFonts w:eastAsia="Times New Roman" w:cs="Times New Roman"/>
      <w:sz w:val="24"/>
      <w:szCs w:val="20"/>
    </w:rPr>
  </w:style>
  <w:style w:type="character" w:styleId="PageNumber">
    <w:name w:val="page number"/>
    <w:basedOn w:val="DefaultParagraphFont"/>
    <w:rsid w:val="004579C0"/>
  </w:style>
  <w:style w:type="paragraph" w:styleId="Header">
    <w:name w:val="header"/>
    <w:basedOn w:val="Normal"/>
    <w:link w:val="HeaderChar"/>
    <w:uiPriority w:val="99"/>
    <w:rsid w:val="004579C0"/>
    <w:pPr>
      <w:tabs>
        <w:tab w:val="center" w:pos="4320"/>
        <w:tab w:val="right" w:pos="8640"/>
      </w:tabs>
      <w:suppressAutoHyphens/>
    </w:pPr>
    <w:rPr>
      <w:szCs w:val="20"/>
    </w:rPr>
  </w:style>
  <w:style w:type="character" w:customStyle="1" w:styleId="HeaderChar">
    <w:name w:val="Header Char"/>
    <w:basedOn w:val="DefaultParagraphFont"/>
    <w:link w:val="Header"/>
    <w:uiPriority w:val="99"/>
    <w:rsid w:val="00644977"/>
    <w:rPr>
      <w:rFonts w:eastAsia="Times New Roman" w:cs="Times New Roman"/>
      <w:sz w:val="24"/>
      <w:szCs w:val="20"/>
    </w:rPr>
  </w:style>
  <w:style w:type="paragraph" w:styleId="EndnoteText">
    <w:name w:val="endnote text"/>
    <w:basedOn w:val="Normal"/>
    <w:link w:val="EndnoteTextChar"/>
    <w:uiPriority w:val="99"/>
    <w:semiHidden/>
    <w:unhideWhenUsed/>
    <w:rsid w:val="00904CC6"/>
    <w:pPr>
      <w:spacing w:after="0"/>
    </w:pPr>
    <w:rPr>
      <w:sz w:val="20"/>
      <w:szCs w:val="20"/>
    </w:rPr>
  </w:style>
  <w:style w:type="character" w:customStyle="1" w:styleId="EndnoteTextChar">
    <w:name w:val="Endnote Text Char"/>
    <w:basedOn w:val="DefaultParagraphFont"/>
    <w:link w:val="EndnoteText"/>
    <w:uiPriority w:val="99"/>
    <w:semiHidden/>
    <w:rsid w:val="00904CC6"/>
    <w:rPr>
      <w:sz w:val="20"/>
      <w:szCs w:val="20"/>
    </w:rPr>
  </w:style>
  <w:style w:type="character" w:styleId="EndnoteReference">
    <w:name w:val="endnote reference"/>
    <w:basedOn w:val="DefaultParagraphFont"/>
    <w:semiHidden/>
    <w:rsid w:val="004579C0"/>
    <w:rPr>
      <w:vertAlign w:val="superscript"/>
    </w:rPr>
  </w:style>
  <w:style w:type="paragraph" w:styleId="FootnoteText">
    <w:name w:val="footnote text"/>
    <w:basedOn w:val="Normal"/>
    <w:link w:val="FootnoteTextChar"/>
    <w:uiPriority w:val="99"/>
    <w:rsid w:val="004579C0"/>
    <w:pPr>
      <w:tabs>
        <w:tab w:val="left" w:pos="216"/>
      </w:tabs>
      <w:spacing w:before="20" w:after="20"/>
      <w:ind w:left="216" w:hanging="216"/>
    </w:pPr>
    <w:rPr>
      <w:sz w:val="16"/>
      <w:szCs w:val="16"/>
    </w:rPr>
  </w:style>
  <w:style w:type="character" w:customStyle="1" w:styleId="FootnoteTextChar">
    <w:name w:val="Footnote Text Char"/>
    <w:basedOn w:val="DefaultParagraphFont"/>
    <w:link w:val="FootnoteText"/>
    <w:uiPriority w:val="99"/>
    <w:rsid w:val="00904CC6"/>
    <w:rPr>
      <w:rFonts w:eastAsia="Times New Roman" w:cs="Times New Roman"/>
      <w:sz w:val="16"/>
      <w:szCs w:val="16"/>
    </w:rPr>
  </w:style>
  <w:style w:type="paragraph" w:styleId="Revision">
    <w:name w:val="Revision"/>
    <w:hidden/>
    <w:uiPriority w:val="99"/>
    <w:semiHidden/>
    <w:rsid w:val="007C0869"/>
    <w:pPr>
      <w:spacing w:after="0" w:line="240" w:lineRule="auto"/>
    </w:pPr>
  </w:style>
  <w:style w:type="character" w:styleId="Hyperlink">
    <w:name w:val="Hyperlink"/>
    <w:basedOn w:val="DefaultParagraphFont"/>
    <w:uiPriority w:val="99"/>
    <w:rsid w:val="004579C0"/>
    <w:rPr>
      <w:color w:val="0000FF"/>
      <w:u w:val="single"/>
    </w:rPr>
  </w:style>
  <w:style w:type="paragraph" w:customStyle="1" w:styleId="SymbolsandAbbrevTitle">
    <w:name w:val="Symbols and Abbrev. Title"/>
    <w:basedOn w:val="Normal"/>
    <w:next w:val="Normal"/>
    <w:rsid w:val="004579C0"/>
    <w:pPr>
      <w:jc w:val="center"/>
    </w:pPr>
    <w:rPr>
      <w:rFonts w:ascii="Times New Roman Bold" w:hAnsi="Times New Roman Bold"/>
      <w:b/>
      <w:sz w:val="22"/>
    </w:rPr>
  </w:style>
  <w:style w:type="character" w:styleId="FollowedHyperlink">
    <w:name w:val="FollowedHyperlink"/>
    <w:basedOn w:val="DefaultParagraphFont"/>
    <w:rsid w:val="004579C0"/>
    <w:rPr>
      <w:color w:val="800080"/>
      <w:u w:val="single"/>
    </w:rPr>
  </w:style>
  <w:style w:type="paragraph" w:customStyle="1" w:styleId="Cover-PublSeries">
    <w:name w:val="Cover-Publ Series"/>
    <w:basedOn w:val="Normal"/>
    <w:next w:val="Cover-ReptTitle"/>
    <w:rsid w:val="004579C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4579C0"/>
    <w:pPr>
      <w:suppressAutoHyphens/>
      <w:spacing w:before="600" w:after="1080"/>
      <w:jc w:val="left"/>
    </w:pPr>
    <w:rPr>
      <w:b/>
      <w:sz w:val="40"/>
      <w:szCs w:val="20"/>
    </w:rPr>
  </w:style>
  <w:style w:type="paragraph" w:customStyle="1" w:styleId="Cover-ByAuthors">
    <w:name w:val="Cover-By/Author(s)"/>
    <w:basedOn w:val="Normal"/>
    <w:rsid w:val="004579C0"/>
    <w:pPr>
      <w:suppressAutoHyphens/>
      <w:spacing w:after="0" w:line="360" w:lineRule="auto"/>
      <w:jc w:val="left"/>
    </w:pPr>
    <w:rPr>
      <w:b/>
      <w:sz w:val="28"/>
      <w:szCs w:val="20"/>
    </w:rPr>
  </w:style>
  <w:style w:type="paragraph" w:customStyle="1" w:styleId="Cover-PublDate">
    <w:name w:val="Cover-Publ Date"/>
    <w:basedOn w:val="Normal"/>
    <w:next w:val="Normal"/>
    <w:rsid w:val="004579C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4579C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4579C0"/>
    <w:pPr>
      <w:framePr w:wrap="around" w:vAnchor="page" w:hAnchor="page" w:xAlign="center" w:y="12385" w:anchorLock="1"/>
      <w:suppressAutoHyphens/>
      <w:spacing w:after="0"/>
    </w:pPr>
    <w:rPr>
      <w:szCs w:val="20"/>
    </w:rPr>
  </w:style>
  <w:style w:type="paragraph" w:styleId="Title">
    <w:name w:val="Title"/>
    <w:basedOn w:val="Normal"/>
    <w:link w:val="TitleChar"/>
    <w:qFormat/>
    <w:rsid w:val="004579C0"/>
    <w:pPr>
      <w:suppressAutoHyphens/>
      <w:jc w:val="center"/>
    </w:pPr>
    <w:rPr>
      <w:b/>
      <w:sz w:val="20"/>
      <w:szCs w:val="20"/>
    </w:rPr>
  </w:style>
  <w:style w:type="character" w:customStyle="1" w:styleId="TitleChar">
    <w:name w:val="Title Char"/>
    <w:basedOn w:val="DefaultParagraphFont"/>
    <w:link w:val="Title"/>
    <w:rsid w:val="00293C07"/>
    <w:rPr>
      <w:rFonts w:eastAsia="Times New Roman" w:cs="Times New Roman"/>
      <w:b/>
      <w:sz w:val="20"/>
      <w:szCs w:val="20"/>
    </w:rPr>
  </w:style>
  <w:style w:type="paragraph" w:customStyle="1" w:styleId="TitlePg-ReptSeries">
    <w:name w:val="Title Pg-Rept Series"/>
    <w:basedOn w:val="Normal"/>
    <w:next w:val="TitlePg-Title"/>
    <w:rsid w:val="004579C0"/>
    <w:pPr>
      <w:suppressAutoHyphens/>
      <w:spacing w:before="1320" w:after="960"/>
      <w:jc w:val="center"/>
    </w:pPr>
    <w:rPr>
      <w:b/>
      <w:i/>
      <w:caps/>
      <w:sz w:val="32"/>
      <w:szCs w:val="20"/>
    </w:rPr>
  </w:style>
  <w:style w:type="paragraph" w:customStyle="1" w:styleId="TitlePg-Title">
    <w:name w:val="Title Pg-Title"/>
    <w:basedOn w:val="Normal"/>
    <w:next w:val="TitlePg-Authors"/>
    <w:rsid w:val="004579C0"/>
    <w:pPr>
      <w:suppressAutoHyphens/>
      <w:spacing w:after="480"/>
      <w:jc w:val="center"/>
    </w:pPr>
    <w:rPr>
      <w:b/>
      <w:caps/>
      <w:sz w:val="28"/>
      <w:szCs w:val="20"/>
    </w:rPr>
  </w:style>
  <w:style w:type="paragraph" w:customStyle="1" w:styleId="TitlePg-Authors">
    <w:name w:val="Title Pg-Author(s)"/>
    <w:basedOn w:val="Normal"/>
    <w:rsid w:val="004579C0"/>
    <w:pPr>
      <w:suppressAutoHyphens/>
      <w:spacing w:after="0" w:line="200" w:lineRule="atLeast"/>
      <w:jc w:val="center"/>
    </w:pPr>
    <w:rPr>
      <w:sz w:val="20"/>
      <w:szCs w:val="20"/>
    </w:rPr>
  </w:style>
  <w:style w:type="paragraph" w:customStyle="1" w:styleId="TitlePg-LocDate">
    <w:name w:val="Title Pg-Loc &amp; Date"/>
    <w:basedOn w:val="Normal"/>
    <w:next w:val="Normal"/>
    <w:rsid w:val="004579C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4579C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paragraph" w:customStyle="1" w:styleId="OEOPg-ReptSeries">
    <w:name w:val="OEO Pg-Rept Series"/>
    <w:basedOn w:val="Normal"/>
    <w:rsid w:val="004579C0"/>
    <w:pPr>
      <w:suppressAutoHyphens/>
    </w:pPr>
    <w:rPr>
      <w:sz w:val="20"/>
      <w:szCs w:val="20"/>
    </w:rPr>
  </w:style>
  <w:style w:type="paragraph" w:customStyle="1" w:styleId="OEOPg-Citation">
    <w:name w:val="OEO Pg-Citation"/>
    <w:basedOn w:val="Normal"/>
    <w:rsid w:val="004579C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4579C0"/>
    <w:pPr>
      <w:framePr w:hSpace="187" w:wrap="around" w:hAnchor="margin" w:yAlign="bottom" w:anchorLock="1"/>
      <w:suppressAutoHyphens/>
      <w:spacing w:after="0"/>
    </w:pPr>
    <w:rPr>
      <w:sz w:val="20"/>
      <w:szCs w:val="20"/>
    </w:rPr>
  </w:style>
  <w:style w:type="character" w:customStyle="1" w:styleId="OEOPg-OEOChar">
    <w:name w:val="OEO Pg-OEO Char"/>
    <w:basedOn w:val="DefaultParagraphFont"/>
    <w:link w:val="OEOPg-OEO"/>
    <w:rsid w:val="004579C0"/>
    <w:rPr>
      <w:rFonts w:eastAsia="Times New Roman" w:cs="Times New Roman"/>
      <w:sz w:val="20"/>
      <w:szCs w:val="20"/>
    </w:rPr>
  </w:style>
  <w:style w:type="paragraph" w:styleId="TOC1">
    <w:name w:val="toc 1"/>
    <w:basedOn w:val="Heading1"/>
    <w:next w:val="TOC2"/>
    <w:uiPriority w:val="39"/>
    <w:rsid w:val="004579C0"/>
    <w:pPr>
      <w:keepNext w:val="0"/>
      <w:keepLines w:val="0"/>
      <w:tabs>
        <w:tab w:val="right" w:leader="dot" w:pos="9360"/>
      </w:tabs>
      <w:spacing w:before="0"/>
      <w:ind w:left="0"/>
      <w:jc w:val="both"/>
      <w:outlineLvl w:val="9"/>
    </w:pPr>
    <w:rPr>
      <w:rFonts w:ascii="Times New Roman" w:hAnsi="Times New Roman"/>
      <w:b w:val="0"/>
      <w:sz w:val="20"/>
    </w:rPr>
  </w:style>
  <w:style w:type="paragraph" w:styleId="TOC2">
    <w:name w:val="toc 2"/>
    <w:basedOn w:val="Heading2"/>
    <w:next w:val="Normal"/>
    <w:uiPriority w:val="39"/>
    <w:rsid w:val="004579C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rsid w:val="004579C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4579C0"/>
    <w:pPr>
      <w:tabs>
        <w:tab w:val="right" w:pos="9360"/>
      </w:tabs>
      <w:suppressAutoHyphens/>
      <w:spacing w:after="0"/>
      <w:jc w:val="left"/>
    </w:pPr>
    <w:rPr>
      <w:b/>
      <w:szCs w:val="20"/>
    </w:rPr>
  </w:style>
  <w:style w:type="paragraph" w:styleId="TableofFigures">
    <w:name w:val="table of figures"/>
    <w:basedOn w:val="Normal"/>
    <w:next w:val="Normal"/>
    <w:uiPriority w:val="99"/>
    <w:rsid w:val="004579C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4579C0"/>
    <w:pPr>
      <w:suppressAutoHyphens/>
    </w:pPr>
    <w:rPr>
      <w:sz w:val="20"/>
      <w:szCs w:val="20"/>
    </w:rPr>
  </w:style>
  <w:style w:type="paragraph" w:customStyle="1" w:styleId="Keywords">
    <w:name w:val="Key words"/>
    <w:basedOn w:val="Normal"/>
    <w:next w:val="Normal"/>
    <w:rsid w:val="004579C0"/>
    <w:pPr>
      <w:tabs>
        <w:tab w:val="left" w:pos="1152"/>
      </w:tabs>
      <w:suppressAutoHyphens/>
      <w:ind w:left="1152" w:hanging="1152"/>
    </w:pPr>
    <w:rPr>
      <w:sz w:val="20"/>
      <w:szCs w:val="20"/>
    </w:rPr>
  </w:style>
  <w:style w:type="paragraph" w:customStyle="1" w:styleId="Lit-Cited">
    <w:name w:val="Lit-Cited"/>
    <w:basedOn w:val="Normal"/>
    <w:uiPriority w:val="99"/>
    <w:rsid w:val="004579C0"/>
    <w:pPr>
      <w:keepLines/>
      <w:suppressAutoHyphens/>
      <w:ind w:left="288" w:hanging="288"/>
    </w:pPr>
    <w:rPr>
      <w:sz w:val="20"/>
      <w:szCs w:val="20"/>
    </w:rPr>
  </w:style>
  <w:style w:type="paragraph" w:customStyle="1" w:styleId="Append-Cover">
    <w:name w:val="Append-Cover"/>
    <w:next w:val="Heading1"/>
    <w:rsid w:val="004579C0"/>
    <w:pPr>
      <w:widowControl w:val="0"/>
      <w:spacing w:before="4000" w:after="0" w:line="240" w:lineRule="auto"/>
      <w:jc w:val="center"/>
    </w:pPr>
    <w:rPr>
      <w:rFonts w:ascii="Times New Roman Bold" w:eastAsia="Times New Roman" w:hAnsi="Times New Roman Bold" w:cs="Times New Roman"/>
      <w:b/>
      <w:caps/>
      <w:sz w:val="32"/>
      <w:szCs w:val="20"/>
    </w:rPr>
  </w:style>
  <w:style w:type="paragraph" w:customStyle="1" w:styleId="Table-Footnote">
    <w:name w:val="Table-Footnote"/>
    <w:basedOn w:val="Normal"/>
    <w:next w:val="Normal"/>
    <w:rsid w:val="004579C0"/>
    <w:pPr>
      <w:tabs>
        <w:tab w:val="left" w:pos="216"/>
      </w:tabs>
      <w:suppressAutoHyphens/>
      <w:spacing w:before="40" w:after="20"/>
      <w:ind w:left="216" w:hanging="216"/>
    </w:pPr>
    <w:rPr>
      <w:sz w:val="20"/>
      <w:szCs w:val="20"/>
    </w:rPr>
  </w:style>
  <w:style w:type="paragraph" w:styleId="BodyText">
    <w:name w:val="Body Text"/>
    <w:basedOn w:val="Normal"/>
    <w:link w:val="BodyTextChar"/>
    <w:uiPriority w:val="99"/>
    <w:rsid w:val="004579C0"/>
    <w:rPr>
      <w:sz w:val="22"/>
    </w:rPr>
  </w:style>
  <w:style w:type="character" w:customStyle="1" w:styleId="BodyTextChar">
    <w:name w:val="Body Text Char"/>
    <w:basedOn w:val="DefaultParagraphFont"/>
    <w:link w:val="BodyText"/>
    <w:uiPriority w:val="99"/>
    <w:rsid w:val="00293C07"/>
    <w:rPr>
      <w:rFonts w:eastAsia="Times New Roman" w:cs="Times New Roman"/>
      <w:szCs w:val="24"/>
    </w:rPr>
  </w:style>
  <w:style w:type="paragraph" w:customStyle="1" w:styleId="RefCitedtitlecont">
    <w:name w:val="Ref Cited title cont."/>
    <w:next w:val="Lit-Cited"/>
    <w:rsid w:val="004579C0"/>
    <w:pPr>
      <w:spacing w:after="120" w:line="240" w:lineRule="auto"/>
      <w:jc w:val="center"/>
    </w:pPr>
    <w:rPr>
      <w:rFonts w:ascii="Times New Roman Bold" w:eastAsia="Times New Roman" w:hAnsi="Times New Roman Bold" w:cs="Times New Roman"/>
      <w:b/>
      <w:sz w:val="32"/>
      <w:szCs w:val="20"/>
    </w:rPr>
  </w:style>
  <w:style w:type="paragraph" w:styleId="TOC5">
    <w:name w:val="toc 5"/>
    <w:basedOn w:val="TOC1"/>
    <w:next w:val="Normal"/>
    <w:autoRedefine/>
    <w:rsid w:val="004579C0"/>
    <w:pPr>
      <w:spacing w:after="0"/>
      <w:ind w:left="965"/>
      <w:jc w:val="left"/>
    </w:pPr>
    <w:rPr>
      <w:caps w:val="0"/>
    </w:rPr>
  </w:style>
  <w:style w:type="paragraph" w:styleId="TOC6">
    <w:name w:val="toc 6"/>
    <w:basedOn w:val="Normal"/>
    <w:next w:val="Normal"/>
    <w:autoRedefine/>
    <w:rsid w:val="004579C0"/>
    <w:pPr>
      <w:tabs>
        <w:tab w:val="right" w:leader="dot" w:pos="9350"/>
      </w:tabs>
      <w:spacing w:before="60" w:after="60"/>
      <w:jc w:val="left"/>
    </w:pPr>
    <w:rPr>
      <w:caps/>
      <w:sz w:val="20"/>
      <w:u w:val="single"/>
    </w:rPr>
  </w:style>
  <w:style w:type="paragraph" w:styleId="TOC7">
    <w:name w:val="toc 7"/>
    <w:basedOn w:val="Normal"/>
    <w:next w:val="Normal"/>
    <w:autoRedefine/>
    <w:rsid w:val="004579C0"/>
    <w:pPr>
      <w:spacing w:after="0"/>
      <w:ind w:left="1440"/>
      <w:jc w:val="left"/>
    </w:pPr>
  </w:style>
  <w:style w:type="paragraph" w:styleId="TOC8">
    <w:name w:val="toc 8"/>
    <w:basedOn w:val="Normal"/>
    <w:next w:val="Normal"/>
    <w:autoRedefine/>
    <w:rsid w:val="004579C0"/>
    <w:pPr>
      <w:spacing w:after="0"/>
      <w:ind w:left="1680"/>
      <w:jc w:val="left"/>
    </w:pPr>
  </w:style>
  <w:style w:type="paragraph" w:styleId="TOC9">
    <w:name w:val="toc 9"/>
    <w:basedOn w:val="Normal"/>
    <w:next w:val="Normal"/>
    <w:autoRedefine/>
    <w:rsid w:val="004579C0"/>
    <w:pPr>
      <w:spacing w:before="300" w:after="300"/>
    </w:pPr>
    <w:rPr>
      <w:caps/>
      <w:sz w:val="20"/>
    </w:rPr>
  </w:style>
  <w:style w:type="paragraph" w:customStyle="1" w:styleId="Equation">
    <w:name w:val="Equation"/>
    <w:basedOn w:val="Normal"/>
    <w:rsid w:val="004579C0"/>
    <w:pPr>
      <w:keepLines/>
      <w:suppressAutoHyphens/>
      <w:overflowPunct w:val="0"/>
      <w:autoSpaceDE w:val="0"/>
      <w:autoSpaceDN w:val="0"/>
      <w:adjustRightInd w:val="0"/>
      <w:textAlignment w:val="baseline"/>
    </w:pPr>
    <w:rPr>
      <w:sz w:val="20"/>
      <w:szCs w:val="20"/>
    </w:rPr>
  </w:style>
  <w:style w:type="paragraph" w:customStyle="1" w:styleId="SectionHeading">
    <w:name w:val="Section Heading"/>
    <w:basedOn w:val="Heading6"/>
    <w:next w:val="Heading1"/>
    <w:link w:val="SectionHeadingChar"/>
    <w:autoRedefine/>
    <w:rsid w:val="004579C0"/>
    <w:pPr>
      <w:pBdr>
        <w:bottom w:val="single" w:sz="4" w:space="1" w:color="auto"/>
      </w:pBdr>
      <w:spacing w:before="0" w:after="1080"/>
      <w:jc w:val="center"/>
    </w:pPr>
    <w:rPr>
      <w:rFonts w:ascii="Times New Roman Bold" w:hAnsi="Times New Roman Bold"/>
      <w:b w:val="0"/>
      <w:caps/>
      <w:sz w:val="36"/>
    </w:rPr>
  </w:style>
  <w:style w:type="character" w:customStyle="1" w:styleId="SectionHeadingChar">
    <w:name w:val="Section Heading Char"/>
    <w:basedOn w:val="Heading9Char"/>
    <w:link w:val="SectionHeading"/>
    <w:rsid w:val="004579C0"/>
    <w:rPr>
      <w:rFonts w:ascii="Times New Roman Bold" w:eastAsia="Times New Roman" w:hAnsi="Times New Roman Bold" w:cs="Times New Roman"/>
      <w:bCs/>
      <w:caps/>
      <w:sz w:val="36"/>
    </w:rPr>
  </w:style>
  <w:style w:type="paragraph" w:customStyle="1" w:styleId="OPPLANHEADING">
    <w:name w:val="OP PLAN HEADING"/>
    <w:basedOn w:val="Heading1"/>
    <w:next w:val="Normal"/>
    <w:rsid w:val="004579C0"/>
  </w:style>
  <w:style w:type="paragraph" w:customStyle="1" w:styleId="tablerow0">
    <w:name w:val="table row"/>
    <w:basedOn w:val="Normal"/>
    <w:rsid w:val="004579C0"/>
    <w:pPr>
      <w:spacing w:before="20" w:after="0"/>
    </w:pPr>
    <w:rPr>
      <w:sz w:val="20"/>
    </w:rPr>
  </w:style>
  <w:style w:type="paragraph" w:customStyle="1" w:styleId="Bullet1">
    <w:name w:val="Bullet 1"/>
    <w:basedOn w:val="Normal"/>
    <w:rsid w:val="004579C0"/>
    <w:pPr>
      <w:ind w:left="288" w:hanging="288"/>
    </w:pPr>
  </w:style>
  <w:style w:type="paragraph" w:customStyle="1" w:styleId="Bullet2">
    <w:name w:val="Bullet 2"/>
    <w:basedOn w:val="Normal"/>
    <w:rsid w:val="004579C0"/>
    <w:pPr>
      <w:ind w:left="648" w:hanging="288"/>
    </w:pPr>
  </w:style>
  <w:style w:type="paragraph" w:styleId="Index1">
    <w:name w:val="index 1"/>
    <w:basedOn w:val="Normal"/>
    <w:next w:val="Normal"/>
    <w:autoRedefine/>
    <w:semiHidden/>
    <w:rsid w:val="004579C0"/>
    <w:pPr>
      <w:tabs>
        <w:tab w:val="right" w:pos="4320"/>
      </w:tabs>
      <w:spacing w:after="0"/>
      <w:ind w:left="240" w:hanging="240"/>
      <w:jc w:val="left"/>
    </w:pPr>
    <w:rPr>
      <w:sz w:val="18"/>
      <w:szCs w:val="18"/>
    </w:rPr>
  </w:style>
  <w:style w:type="paragraph" w:styleId="Index2">
    <w:name w:val="index 2"/>
    <w:basedOn w:val="Normal"/>
    <w:next w:val="Normal"/>
    <w:autoRedefine/>
    <w:semiHidden/>
    <w:rsid w:val="004579C0"/>
    <w:pPr>
      <w:tabs>
        <w:tab w:val="right" w:pos="4320"/>
      </w:tabs>
      <w:spacing w:after="0"/>
      <w:ind w:left="480" w:hanging="240"/>
      <w:jc w:val="left"/>
    </w:pPr>
    <w:rPr>
      <w:sz w:val="18"/>
      <w:szCs w:val="18"/>
    </w:rPr>
  </w:style>
  <w:style w:type="paragraph" w:styleId="Index3">
    <w:name w:val="index 3"/>
    <w:basedOn w:val="Normal"/>
    <w:next w:val="Normal"/>
    <w:autoRedefine/>
    <w:semiHidden/>
    <w:rsid w:val="004579C0"/>
    <w:pPr>
      <w:tabs>
        <w:tab w:val="right" w:pos="4320"/>
      </w:tabs>
      <w:spacing w:after="0"/>
      <w:ind w:left="720" w:hanging="240"/>
      <w:jc w:val="left"/>
    </w:pPr>
    <w:rPr>
      <w:sz w:val="18"/>
      <w:szCs w:val="18"/>
    </w:rPr>
  </w:style>
  <w:style w:type="paragraph" w:styleId="Index4">
    <w:name w:val="index 4"/>
    <w:basedOn w:val="Normal"/>
    <w:next w:val="Normal"/>
    <w:autoRedefine/>
    <w:semiHidden/>
    <w:rsid w:val="004579C0"/>
    <w:pPr>
      <w:tabs>
        <w:tab w:val="right" w:pos="4320"/>
      </w:tabs>
      <w:spacing w:after="0"/>
      <w:ind w:left="960" w:hanging="240"/>
      <w:jc w:val="left"/>
    </w:pPr>
    <w:rPr>
      <w:sz w:val="18"/>
      <w:szCs w:val="18"/>
    </w:rPr>
  </w:style>
  <w:style w:type="paragraph" w:styleId="IndexHeading">
    <w:name w:val="index heading"/>
    <w:basedOn w:val="Normal"/>
    <w:next w:val="Index1"/>
    <w:semiHidden/>
    <w:rsid w:val="004579C0"/>
    <w:pPr>
      <w:spacing w:before="240"/>
      <w:jc w:val="center"/>
    </w:pPr>
    <w:rPr>
      <w:b/>
      <w:bCs/>
      <w:sz w:val="26"/>
      <w:szCs w:val="26"/>
    </w:rPr>
  </w:style>
  <w:style w:type="paragraph" w:customStyle="1" w:styleId="List-Header">
    <w:name w:val="List-Header"/>
    <w:basedOn w:val="Normal"/>
    <w:next w:val="List-Page"/>
    <w:rsid w:val="004579C0"/>
    <w:pPr>
      <w:spacing w:after="0"/>
      <w:jc w:val="center"/>
    </w:pPr>
    <w:rPr>
      <w:b/>
      <w:bCs/>
      <w:sz w:val="32"/>
      <w:szCs w:val="32"/>
    </w:rPr>
  </w:style>
  <w:style w:type="paragraph" w:styleId="TableofAuthorities">
    <w:name w:val="table of authorities"/>
    <w:basedOn w:val="Normal"/>
    <w:semiHidden/>
    <w:rsid w:val="004579C0"/>
    <w:pPr>
      <w:keepLines/>
      <w:ind w:left="288" w:hanging="288"/>
    </w:pPr>
    <w:rPr>
      <w:sz w:val="20"/>
      <w:szCs w:val="20"/>
    </w:rPr>
  </w:style>
  <w:style w:type="paragraph" w:styleId="TOAHeading">
    <w:name w:val="toa heading"/>
    <w:basedOn w:val="Heading1"/>
    <w:next w:val="Normal"/>
    <w:semiHidden/>
    <w:rsid w:val="004579C0"/>
    <w:pPr>
      <w:tabs>
        <w:tab w:val="right" w:leader="dot" w:pos="4464"/>
      </w:tabs>
      <w:outlineLvl w:val="9"/>
    </w:pPr>
  </w:style>
  <w:style w:type="paragraph" w:customStyle="1" w:styleId="Default">
    <w:name w:val="Default"/>
    <w:rsid w:val="004579C0"/>
    <w:pPr>
      <w:autoSpaceDE w:val="0"/>
      <w:autoSpaceDN w:val="0"/>
      <w:adjustRightInd w:val="0"/>
      <w:spacing w:after="0" w:line="240" w:lineRule="auto"/>
    </w:pPr>
    <w:rPr>
      <w:rFonts w:ascii="FFBFON+TimesNewRoman,Italic" w:eastAsia="Times New Roman" w:hAnsi="FFBFON+TimesNewRoman,Italic" w:cs="Times New Roman"/>
      <w:color w:val="000000"/>
      <w:sz w:val="24"/>
      <w:szCs w:val="24"/>
    </w:rPr>
  </w:style>
  <w:style w:type="paragraph" w:customStyle="1" w:styleId="OpPlanCovertitle">
    <w:name w:val="Op Plan Cover title"/>
    <w:basedOn w:val="Cover-PublSeries"/>
    <w:rsid w:val="004579C0"/>
    <w:pPr>
      <w:pBdr>
        <w:bottom w:val="none" w:sz="0" w:space="0" w:color="auto"/>
      </w:pBdr>
      <w:jc w:val="center"/>
    </w:pPr>
  </w:style>
  <w:style w:type="paragraph" w:customStyle="1" w:styleId="OpPlanprojecttitle">
    <w:name w:val="Op Plan project title"/>
    <w:basedOn w:val="TitlePg-Title"/>
    <w:next w:val="Normal"/>
    <w:rsid w:val="004579C0"/>
    <w:pPr>
      <w:spacing w:before="240"/>
    </w:pPr>
  </w:style>
  <w:style w:type="paragraph" w:customStyle="1" w:styleId="Opplanpersonnel">
    <w:name w:val="Op plan personnel"/>
    <w:basedOn w:val="Normal"/>
    <w:rsid w:val="004579C0"/>
    <w:pPr>
      <w:ind w:left="720"/>
    </w:pPr>
    <w:rPr>
      <w:rFonts w:ascii="Times New Roman Bold" w:hAnsi="Times New Roman Bold"/>
      <w:b/>
    </w:rPr>
  </w:style>
  <w:style w:type="paragraph" w:customStyle="1" w:styleId="FootnoteReference1">
    <w:name w:val="Footnote Reference1"/>
    <w:basedOn w:val="Table-Footnote"/>
    <w:rsid w:val="004579C0"/>
    <w:rPr>
      <w:vertAlign w:val="superscript"/>
    </w:rPr>
  </w:style>
  <w:style w:type="character" w:styleId="Strong">
    <w:name w:val="Strong"/>
    <w:basedOn w:val="DefaultParagraphFont"/>
    <w:qFormat/>
    <w:rsid w:val="005E0551"/>
    <w:rPr>
      <w:b/>
      <w:bCs/>
    </w:rPr>
  </w:style>
  <w:style w:type="paragraph" w:customStyle="1" w:styleId="FootnoteBase">
    <w:name w:val="Footnote Base"/>
    <w:basedOn w:val="FootnoteText"/>
    <w:rsid w:val="00FE681B"/>
    <w:pPr>
      <w:keepLines/>
      <w:tabs>
        <w:tab w:val="clear" w:pos="216"/>
        <w:tab w:val="left" w:pos="540"/>
      </w:tabs>
      <w:suppressAutoHyphens/>
      <w:ind w:left="547"/>
    </w:pPr>
    <w:rPr>
      <w:color w:val="000000"/>
      <w:szCs w:val="20"/>
    </w:rPr>
  </w:style>
  <w:style w:type="character" w:customStyle="1" w:styleId="DocumentMapChar">
    <w:name w:val="Document Map Char"/>
    <w:basedOn w:val="DefaultParagraphFont"/>
    <w:link w:val="DocumentMap"/>
    <w:semiHidden/>
    <w:rsid w:val="00FE681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A04ECF"/>
    <w:pPr>
      <w:shd w:val="clear" w:color="auto" w:fill="000080"/>
    </w:pPr>
    <w:rPr>
      <w:rFonts w:ascii="Tahoma" w:hAnsi="Tahoma" w:cs="Tahoma"/>
      <w:sz w:val="20"/>
      <w:szCs w:val="20"/>
    </w:rPr>
  </w:style>
  <w:style w:type="paragraph" w:customStyle="1" w:styleId="TableFootnote">
    <w:name w:val="Table Footnote"/>
    <w:basedOn w:val="Normal"/>
    <w:rsid w:val="00FE681B"/>
    <w:pPr>
      <w:tabs>
        <w:tab w:val="left" w:pos="288"/>
      </w:tabs>
      <w:spacing w:after="60"/>
      <w:ind w:left="288" w:hanging="288"/>
    </w:pPr>
    <w:rPr>
      <w:color w:val="000000"/>
      <w:sz w:val="20"/>
      <w:szCs w:val="20"/>
      <w:lang w:bidi="he-IL"/>
    </w:rPr>
  </w:style>
  <w:style w:type="paragraph" w:customStyle="1" w:styleId="Cover-byAuthors0">
    <w:name w:val="Cover-by/Author(s)"/>
    <w:basedOn w:val="Normal"/>
    <w:rsid w:val="001828C0"/>
    <w:pPr>
      <w:spacing w:after="0" w:line="360" w:lineRule="auto"/>
    </w:pPr>
    <w:rPr>
      <w:b/>
      <w:color w:val="000000"/>
      <w:sz w:val="28"/>
      <w:szCs w:val="20"/>
      <w:lang w:bidi="he-IL"/>
    </w:rPr>
  </w:style>
  <w:style w:type="paragraph" w:customStyle="1" w:styleId="TC2">
    <w:name w:val="TC2"/>
    <w:rsid w:val="00FE681B"/>
    <w:pPr>
      <w:tabs>
        <w:tab w:val="left" w:pos="-2160"/>
        <w:tab w:val="left" w:pos="-1440"/>
        <w:tab w:val="left" w:pos="-720"/>
        <w:tab w:val="left" w:pos="0"/>
        <w:tab w:val="right" w:leader="dot" w:pos="7560"/>
      </w:tabs>
      <w:suppressAutoHyphens/>
      <w:spacing w:after="0" w:line="240" w:lineRule="auto"/>
    </w:pPr>
    <w:rPr>
      <w:rFonts w:ascii="Courier New" w:eastAsia="Times New Roman" w:hAnsi="Courier New" w:cs="Times New Roman"/>
      <w:sz w:val="20"/>
      <w:szCs w:val="20"/>
    </w:rPr>
  </w:style>
  <w:style w:type="paragraph" w:customStyle="1" w:styleId="TC1">
    <w:name w:val="TC1"/>
    <w:rsid w:val="00FE681B"/>
    <w:pPr>
      <w:tabs>
        <w:tab w:val="left" w:pos="-1440"/>
        <w:tab w:val="left" w:pos="-720"/>
        <w:tab w:val="left" w:pos="0"/>
        <w:tab w:val="right" w:leader="dot" w:pos="8280"/>
      </w:tabs>
      <w:suppressAutoHyphens/>
      <w:spacing w:after="0" w:line="240" w:lineRule="auto"/>
    </w:pPr>
    <w:rPr>
      <w:rFonts w:ascii="Courier New" w:eastAsia="Times New Roman" w:hAnsi="Courier New" w:cs="Times New Roman"/>
      <w:sz w:val="20"/>
      <w:szCs w:val="20"/>
    </w:rPr>
  </w:style>
  <w:style w:type="paragraph" w:customStyle="1" w:styleId="TC3">
    <w:name w:val="TC3"/>
    <w:rsid w:val="00FE681B"/>
    <w:pPr>
      <w:tabs>
        <w:tab w:val="left" w:pos="-2880"/>
        <w:tab w:val="left" w:pos="-2160"/>
        <w:tab w:val="left" w:pos="-1440"/>
        <w:tab w:val="left" w:pos="-720"/>
        <w:tab w:val="left" w:pos="0"/>
        <w:tab w:val="right" w:leader="dot" w:pos="6840"/>
      </w:tabs>
      <w:suppressAutoHyphens/>
      <w:spacing w:after="0" w:line="240" w:lineRule="auto"/>
    </w:pPr>
    <w:rPr>
      <w:rFonts w:ascii="Courier New" w:eastAsia="Times New Roman" w:hAnsi="Courier New" w:cs="Times New Roman"/>
      <w:sz w:val="20"/>
      <w:szCs w:val="20"/>
    </w:rPr>
  </w:style>
  <w:style w:type="character" w:customStyle="1" w:styleId="EquationCaption">
    <w:name w:val="_Equation Caption"/>
    <w:rsid w:val="00A04ECF"/>
  </w:style>
  <w:style w:type="paragraph" w:customStyle="1" w:styleId="ListBullets">
    <w:name w:val="List Bullets"/>
    <w:basedOn w:val="Normal"/>
    <w:rsid w:val="00A04ECF"/>
    <w:pPr>
      <w:tabs>
        <w:tab w:val="num" w:pos="360"/>
      </w:tabs>
      <w:spacing w:after="0"/>
      <w:ind w:left="360" w:hanging="360"/>
      <w:jc w:val="left"/>
    </w:pPr>
  </w:style>
  <w:style w:type="paragraph" w:styleId="ListBullet">
    <w:name w:val="List Bullet"/>
    <w:basedOn w:val="Normal"/>
    <w:autoRedefine/>
    <w:rsid w:val="00A04ECF"/>
    <w:pPr>
      <w:tabs>
        <w:tab w:val="num" w:pos="360"/>
      </w:tabs>
      <w:ind w:left="360" w:hanging="360"/>
    </w:pPr>
  </w:style>
  <w:style w:type="character" w:styleId="FootnoteReference">
    <w:name w:val="footnote reference"/>
    <w:basedOn w:val="DefaultParagraphFont"/>
    <w:uiPriority w:val="99"/>
    <w:semiHidden/>
    <w:rsid w:val="004579C0"/>
    <w:rPr>
      <w:position w:val="0"/>
      <w:vertAlign w:val="superscript"/>
    </w:rPr>
  </w:style>
  <w:style w:type="paragraph" w:customStyle="1" w:styleId="Number2">
    <w:name w:val="Number 2"/>
    <w:basedOn w:val="Number1"/>
    <w:uiPriority w:val="99"/>
    <w:rsid w:val="004579C0"/>
    <w:pPr>
      <w:ind w:left="720"/>
    </w:pPr>
  </w:style>
  <w:style w:type="paragraph" w:customStyle="1" w:styleId="Number1">
    <w:name w:val="Number 1"/>
    <w:basedOn w:val="Normal"/>
    <w:rsid w:val="004579C0"/>
    <w:pPr>
      <w:suppressAutoHyphens/>
      <w:ind w:left="360" w:hanging="360"/>
    </w:pPr>
    <w:rPr>
      <w:szCs w:val="20"/>
    </w:rPr>
  </w:style>
  <w:style w:type="paragraph" w:styleId="NormalIndent">
    <w:name w:val="Normal Indent"/>
    <w:basedOn w:val="Normal"/>
    <w:semiHidden/>
    <w:rsid w:val="004579C0"/>
    <w:pPr>
      <w:suppressAutoHyphens/>
      <w:ind w:left="720"/>
    </w:pPr>
    <w:rPr>
      <w:szCs w:val="20"/>
    </w:rPr>
  </w:style>
  <w:style w:type="paragraph" w:customStyle="1" w:styleId="Sty">
    <w:name w:val="Sty"/>
    <w:basedOn w:val="Normal"/>
    <w:semiHidden/>
    <w:rsid w:val="004579C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iPriority w:val="99"/>
    <w:semiHidden/>
    <w:rsid w:val="004579C0"/>
    <w:pPr>
      <w:suppressAutoHyphens/>
    </w:pPr>
    <w:rPr>
      <w:b/>
      <w:bCs/>
      <w:szCs w:val="20"/>
    </w:rPr>
  </w:style>
  <w:style w:type="character" w:customStyle="1" w:styleId="BodyText2Char">
    <w:name w:val="Body Text 2 Char"/>
    <w:basedOn w:val="DefaultParagraphFont"/>
    <w:link w:val="BodyText2"/>
    <w:uiPriority w:val="99"/>
    <w:semiHidden/>
    <w:rsid w:val="00A04ECF"/>
    <w:rPr>
      <w:rFonts w:eastAsia="Times New Roman" w:cs="Times New Roman"/>
      <w:b/>
      <w:bCs/>
      <w:sz w:val="24"/>
      <w:szCs w:val="20"/>
    </w:rPr>
  </w:style>
  <w:style w:type="paragraph" w:customStyle="1" w:styleId="Bulletedtest">
    <w:name w:val="Bulleted test"/>
    <w:basedOn w:val="Normal"/>
    <w:rsid w:val="004579C0"/>
    <w:pPr>
      <w:numPr>
        <w:ilvl w:val="1"/>
        <w:numId w:val="1"/>
      </w:numPr>
      <w:ind w:right="288"/>
    </w:pPr>
  </w:style>
  <w:style w:type="paragraph" w:styleId="BodyText3">
    <w:name w:val="Body Text 3"/>
    <w:basedOn w:val="Normal"/>
    <w:link w:val="BodyText3Char"/>
    <w:semiHidden/>
    <w:rsid w:val="004579C0"/>
    <w:pPr>
      <w:ind w:right="1152"/>
    </w:pPr>
    <w:rPr>
      <w:sz w:val="20"/>
    </w:rPr>
  </w:style>
  <w:style w:type="character" w:customStyle="1" w:styleId="BodyText3Char">
    <w:name w:val="Body Text 3 Char"/>
    <w:basedOn w:val="DefaultParagraphFont"/>
    <w:link w:val="BodyText3"/>
    <w:semiHidden/>
    <w:rsid w:val="00A04ECF"/>
    <w:rPr>
      <w:rFonts w:eastAsia="Times New Roman" w:cs="Times New Roman"/>
      <w:sz w:val="20"/>
      <w:szCs w:val="24"/>
    </w:rPr>
  </w:style>
  <w:style w:type="paragraph" w:styleId="TOC4">
    <w:name w:val="toc 4"/>
    <w:basedOn w:val="Heading4"/>
    <w:next w:val="Normal"/>
    <w:autoRedefine/>
    <w:rsid w:val="004579C0"/>
    <w:pPr>
      <w:tabs>
        <w:tab w:val="right" w:leader="dot" w:pos="9360"/>
      </w:tabs>
      <w:spacing w:after="0"/>
      <w:ind w:left="720" w:right="432"/>
      <w:jc w:val="right"/>
      <w:outlineLvl w:val="9"/>
    </w:pPr>
    <w:rPr>
      <w:rFonts w:ascii="Times New Roman" w:hAnsi="Times New Roman"/>
      <w:b w:val="0"/>
      <w:bCs w:val="0"/>
      <w:i w:val="0"/>
      <w:sz w:val="20"/>
      <w:szCs w:val="20"/>
    </w:rPr>
  </w:style>
  <w:style w:type="paragraph" w:customStyle="1" w:styleId="Append-title">
    <w:name w:val="Append-title"/>
    <w:basedOn w:val="Normal"/>
    <w:semiHidden/>
    <w:rsid w:val="004579C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styleId="NormalWeb">
    <w:name w:val="Normal (Web)"/>
    <w:basedOn w:val="Normal"/>
    <w:rsid w:val="00A04ECF"/>
    <w:pPr>
      <w:spacing w:before="100" w:beforeAutospacing="1" w:after="100" w:afterAutospacing="1"/>
      <w:jc w:val="left"/>
    </w:pPr>
    <w:rPr>
      <w:rFonts w:ascii="Arial Unicode MS" w:eastAsia="Arial Unicode MS" w:hAnsi="Arial Unicode MS" w:cs="Arial Unicode MS"/>
    </w:rPr>
  </w:style>
  <w:style w:type="character" w:customStyle="1" w:styleId="sup1">
    <w:name w:val="sup1"/>
    <w:basedOn w:val="DefaultParagraphFont"/>
    <w:rsid w:val="00A04ECF"/>
    <w:rPr>
      <w:rFonts w:ascii="Arial" w:hAnsi="Arial" w:cs="Arial" w:hint="default"/>
      <w:sz w:val="14"/>
      <w:szCs w:val="14"/>
      <w:vertAlign w:val="superscript"/>
    </w:rPr>
  </w:style>
  <w:style w:type="character" w:customStyle="1" w:styleId="RightPar1">
    <w:name w:val="Right Par 1"/>
    <w:basedOn w:val="DefaultParagraphFont"/>
    <w:rsid w:val="00A04ECF"/>
  </w:style>
  <w:style w:type="character" w:customStyle="1" w:styleId="RightPar2">
    <w:name w:val="Right Par 2"/>
    <w:basedOn w:val="DefaultParagraphFont"/>
    <w:rsid w:val="00A04ECF"/>
  </w:style>
  <w:style w:type="character" w:customStyle="1" w:styleId="RightPar3">
    <w:name w:val="Right Par 3"/>
    <w:basedOn w:val="DefaultParagraphFont"/>
    <w:rsid w:val="00A04ECF"/>
  </w:style>
  <w:style w:type="character" w:customStyle="1" w:styleId="RightPar4">
    <w:name w:val="Right Par 4"/>
    <w:basedOn w:val="DefaultParagraphFont"/>
    <w:rsid w:val="00A04ECF"/>
  </w:style>
  <w:style w:type="character" w:customStyle="1" w:styleId="RightPar5">
    <w:name w:val="Right Par 5"/>
    <w:basedOn w:val="DefaultParagraphFont"/>
    <w:rsid w:val="00A04ECF"/>
  </w:style>
  <w:style w:type="character" w:customStyle="1" w:styleId="RightPar6">
    <w:name w:val="Right Par 6"/>
    <w:basedOn w:val="DefaultParagraphFont"/>
    <w:rsid w:val="00A04ECF"/>
  </w:style>
  <w:style w:type="character" w:customStyle="1" w:styleId="RightPar7">
    <w:name w:val="Right Par 7"/>
    <w:basedOn w:val="DefaultParagraphFont"/>
    <w:rsid w:val="00A04ECF"/>
  </w:style>
  <w:style w:type="character" w:customStyle="1" w:styleId="RightPar8">
    <w:name w:val="Right Par 8"/>
    <w:basedOn w:val="DefaultParagraphFont"/>
    <w:rsid w:val="00A04ECF"/>
  </w:style>
  <w:style w:type="character" w:customStyle="1" w:styleId="TechInit">
    <w:name w:val="Tech Init"/>
    <w:basedOn w:val="DefaultParagraphFont"/>
    <w:rsid w:val="00A04ECF"/>
    <w:rPr>
      <w:rFonts w:ascii="Courier" w:hAnsi="Courier"/>
      <w:sz w:val="24"/>
      <w:szCs w:val="24"/>
      <w:lang w:val="en-US"/>
    </w:rPr>
  </w:style>
  <w:style w:type="character" w:customStyle="1" w:styleId="Technical5">
    <w:name w:val="Technical 5"/>
    <w:basedOn w:val="DefaultParagraphFont"/>
    <w:rsid w:val="00A04ECF"/>
  </w:style>
  <w:style w:type="character" w:customStyle="1" w:styleId="Technical6">
    <w:name w:val="Technical 6"/>
    <w:basedOn w:val="DefaultParagraphFont"/>
    <w:rsid w:val="00A04ECF"/>
  </w:style>
  <w:style w:type="character" w:customStyle="1" w:styleId="Technical2">
    <w:name w:val="Technical 2"/>
    <w:basedOn w:val="DefaultParagraphFont"/>
    <w:rsid w:val="00A04ECF"/>
    <w:rPr>
      <w:rFonts w:ascii="Courier" w:hAnsi="Courier"/>
      <w:sz w:val="24"/>
      <w:szCs w:val="24"/>
      <w:lang w:val="en-US"/>
    </w:rPr>
  </w:style>
  <w:style w:type="character" w:customStyle="1" w:styleId="Technical3">
    <w:name w:val="Technical 3"/>
    <w:basedOn w:val="DefaultParagraphFont"/>
    <w:rsid w:val="00A04ECF"/>
    <w:rPr>
      <w:rFonts w:ascii="Courier" w:hAnsi="Courier"/>
      <w:sz w:val="24"/>
      <w:szCs w:val="24"/>
      <w:lang w:val="en-US"/>
    </w:rPr>
  </w:style>
  <w:style w:type="character" w:customStyle="1" w:styleId="Technical4">
    <w:name w:val="Technical 4"/>
    <w:basedOn w:val="DefaultParagraphFont"/>
    <w:rsid w:val="00A04ECF"/>
  </w:style>
  <w:style w:type="character" w:customStyle="1" w:styleId="Technical1">
    <w:name w:val="Technical 1"/>
    <w:basedOn w:val="DefaultParagraphFont"/>
    <w:rsid w:val="00A04ECF"/>
    <w:rPr>
      <w:rFonts w:ascii="Courier" w:hAnsi="Courier"/>
      <w:sz w:val="24"/>
      <w:szCs w:val="24"/>
      <w:lang w:val="en-US"/>
    </w:rPr>
  </w:style>
  <w:style w:type="character" w:customStyle="1" w:styleId="Technical7">
    <w:name w:val="Technical 7"/>
    <w:basedOn w:val="DefaultParagraphFont"/>
    <w:rsid w:val="00A04ECF"/>
  </w:style>
  <w:style w:type="character" w:customStyle="1" w:styleId="Technical8">
    <w:name w:val="Technical 8"/>
    <w:basedOn w:val="DefaultParagraphFont"/>
    <w:rsid w:val="00A04ECF"/>
  </w:style>
  <w:style w:type="paragraph" w:customStyle="1" w:styleId="font7">
    <w:name w:val="font7"/>
    <w:basedOn w:val="Normal"/>
    <w:rsid w:val="00A04ECF"/>
    <w:pPr>
      <w:overflowPunct w:val="0"/>
      <w:spacing w:before="100" w:after="100"/>
      <w:textAlignment w:val="baseline"/>
    </w:pPr>
    <w:rPr>
      <w:rFonts w:ascii="Arial" w:hAnsi="Arial"/>
      <w:sz w:val="16"/>
      <w:szCs w:val="20"/>
    </w:rPr>
  </w:style>
  <w:style w:type="paragraph" w:customStyle="1" w:styleId="xl24">
    <w:name w:val="xl24"/>
    <w:basedOn w:val="Normal"/>
    <w:rsid w:val="00A04ECF"/>
    <w:pPr>
      <w:pBdr>
        <w:left w:val="single" w:sz="6" w:space="0" w:color="auto"/>
        <w:bottom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5">
    <w:name w:val="xl25"/>
    <w:basedOn w:val="Normal"/>
    <w:rsid w:val="00A04ECF"/>
    <w:pPr>
      <w:pBdr>
        <w:top w:val="single" w:sz="6" w:space="0" w:color="auto"/>
        <w:righ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6">
    <w:name w:val="xl26"/>
    <w:basedOn w:val="Normal"/>
    <w:rsid w:val="00A04ECF"/>
    <w:pPr>
      <w:pBdr>
        <w:righ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7">
    <w:name w:val="xl27"/>
    <w:basedOn w:val="Normal"/>
    <w:rsid w:val="00A04ECF"/>
    <w:pPr>
      <w:pBdr>
        <w:top w:val="single" w:sz="6" w:space="0" w:color="auto"/>
      </w:pBdr>
      <w:shd w:val="clear" w:color="auto" w:fill="C0C0C0"/>
      <w:overflowPunct w:val="0"/>
      <w:spacing w:before="100" w:after="100"/>
      <w:textAlignment w:val="baseline"/>
    </w:pPr>
    <w:rPr>
      <w:rFonts w:ascii="Arial" w:hAnsi="Arial"/>
      <w:sz w:val="16"/>
      <w:szCs w:val="20"/>
    </w:rPr>
  </w:style>
  <w:style w:type="paragraph" w:customStyle="1" w:styleId="xl28">
    <w:name w:val="xl28"/>
    <w:basedOn w:val="Normal"/>
    <w:rsid w:val="00A04ECF"/>
    <w:pPr>
      <w:pBdr>
        <w:top w:val="single" w:sz="6" w:space="0" w:color="auto"/>
      </w:pBdr>
      <w:shd w:val="clear" w:color="auto" w:fill="C0C0C0"/>
      <w:overflowPunct w:val="0"/>
      <w:spacing w:before="100" w:after="100"/>
      <w:jc w:val="center"/>
      <w:textAlignment w:val="baseline"/>
    </w:pPr>
    <w:rPr>
      <w:rFonts w:ascii="Arial" w:hAnsi="Arial"/>
      <w:sz w:val="16"/>
      <w:szCs w:val="20"/>
    </w:rPr>
  </w:style>
  <w:style w:type="paragraph" w:customStyle="1" w:styleId="xl29">
    <w:name w:val="xl29"/>
    <w:basedOn w:val="Normal"/>
    <w:rsid w:val="00A04ECF"/>
    <w:pPr>
      <w:shd w:val="clear" w:color="auto" w:fill="C0C0C0"/>
      <w:overflowPunct w:val="0"/>
      <w:spacing w:before="100" w:after="100"/>
      <w:jc w:val="center"/>
      <w:textAlignment w:val="baseline"/>
    </w:pPr>
    <w:rPr>
      <w:rFonts w:ascii="Arial" w:hAnsi="Arial"/>
      <w:sz w:val="40"/>
      <w:szCs w:val="20"/>
    </w:rPr>
  </w:style>
  <w:style w:type="paragraph" w:customStyle="1" w:styleId="xl30">
    <w:name w:val="xl30"/>
    <w:basedOn w:val="Normal"/>
    <w:rsid w:val="00A04ECF"/>
    <w:pPr>
      <w:shd w:val="clear" w:color="auto" w:fill="C0C0C0"/>
      <w:overflowPunct w:val="0"/>
      <w:spacing w:before="100" w:after="100"/>
      <w:textAlignment w:val="baseline"/>
    </w:pPr>
    <w:rPr>
      <w:rFonts w:ascii="Arial" w:hAnsi="Arial"/>
      <w:sz w:val="16"/>
      <w:szCs w:val="20"/>
    </w:rPr>
  </w:style>
  <w:style w:type="paragraph" w:customStyle="1" w:styleId="xl31">
    <w:name w:val="xl31"/>
    <w:basedOn w:val="Normal"/>
    <w:rsid w:val="00A04ECF"/>
    <w:pPr>
      <w:pBdr>
        <w:top w:val="single" w:sz="6" w:space="0" w:color="auto"/>
        <w:left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32">
    <w:name w:val="xl32"/>
    <w:basedOn w:val="Normal"/>
    <w:rsid w:val="00A04ECF"/>
    <w:pPr>
      <w:pBdr>
        <w:top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33">
    <w:name w:val="xl33"/>
    <w:basedOn w:val="Normal"/>
    <w:rsid w:val="00A04ECF"/>
    <w:pPr>
      <w:pBdr>
        <w:top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34">
    <w:name w:val="xl34"/>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35">
    <w:name w:val="xl35"/>
    <w:basedOn w:val="Normal"/>
    <w:rsid w:val="00A04ECF"/>
    <w:pPr>
      <w:shd w:val="clear" w:color="auto" w:fill="C0C0C0"/>
      <w:overflowPunct w:val="0"/>
      <w:spacing w:before="100" w:after="100"/>
      <w:jc w:val="center"/>
      <w:textAlignment w:val="baseline"/>
    </w:pPr>
    <w:rPr>
      <w:rFonts w:ascii="Arial" w:hAnsi="Arial"/>
      <w:sz w:val="16"/>
      <w:szCs w:val="20"/>
    </w:rPr>
  </w:style>
  <w:style w:type="paragraph" w:customStyle="1" w:styleId="xl36">
    <w:name w:val="xl36"/>
    <w:basedOn w:val="Normal"/>
    <w:rsid w:val="00A04ECF"/>
    <w:pPr>
      <w:shd w:val="clear" w:color="auto" w:fill="C0C0C0"/>
      <w:overflowPunct w:val="0"/>
      <w:spacing w:before="100" w:after="100"/>
      <w:jc w:val="center"/>
      <w:textAlignment w:val="baseline"/>
    </w:pPr>
    <w:rPr>
      <w:rFonts w:ascii="Arial" w:hAnsi="Arial"/>
      <w:sz w:val="16"/>
      <w:szCs w:val="20"/>
    </w:rPr>
  </w:style>
  <w:style w:type="paragraph" w:customStyle="1" w:styleId="xl37">
    <w:name w:val="xl37"/>
    <w:basedOn w:val="Normal"/>
    <w:rsid w:val="00A04ECF"/>
    <w:pPr>
      <w:pBdr>
        <w:top w:val="single" w:sz="6" w:space="0" w:color="auto"/>
        <w:left w:val="single" w:sz="6" w:space="0" w:color="auto"/>
      </w:pBdr>
      <w:overflowPunct w:val="0"/>
      <w:spacing w:before="100" w:after="100"/>
      <w:textAlignment w:val="baseline"/>
    </w:pPr>
    <w:rPr>
      <w:rFonts w:ascii="Arial" w:hAnsi="Arial"/>
      <w:sz w:val="16"/>
      <w:szCs w:val="20"/>
    </w:rPr>
  </w:style>
  <w:style w:type="paragraph" w:customStyle="1" w:styleId="xl38">
    <w:name w:val="xl38"/>
    <w:basedOn w:val="Normal"/>
    <w:rsid w:val="00A04ECF"/>
    <w:pPr>
      <w:pBdr>
        <w:top w:val="single" w:sz="6" w:space="0" w:color="auto"/>
      </w:pBdr>
      <w:overflowPunct w:val="0"/>
      <w:spacing w:before="100" w:after="100"/>
      <w:jc w:val="center"/>
      <w:textAlignment w:val="baseline"/>
    </w:pPr>
    <w:rPr>
      <w:rFonts w:ascii="Arial" w:hAnsi="Arial"/>
      <w:sz w:val="16"/>
      <w:szCs w:val="20"/>
    </w:rPr>
  </w:style>
  <w:style w:type="paragraph" w:customStyle="1" w:styleId="xl39">
    <w:name w:val="xl39"/>
    <w:basedOn w:val="Normal"/>
    <w:rsid w:val="00A04ECF"/>
    <w:pPr>
      <w:pBdr>
        <w:left w:val="single" w:sz="6" w:space="0" w:color="auto"/>
      </w:pBdr>
      <w:overflowPunct w:val="0"/>
      <w:spacing w:before="100" w:after="100"/>
      <w:textAlignment w:val="baseline"/>
    </w:pPr>
    <w:rPr>
      <w:rFonts w:ascii="Arial" w:hAnsi="Arial"/>
      <w:sz w:val="16"/>
      <w:szCs w:val="20"/>
    </w:rPr>
  </w:style>
  <w:style w:type="paragraph" w:customStyle="1" w:styleId="xl40">
    <w:name w:val="xl40"/>
    <w:basedOn w:val="Normal"/>
    <w:rsid w:val="00A04ECF"/>
    <w:pPr>
      <w:overflowPunct w:val="0"/>
      <w:spacing w:before="100" w:after="100"/>
      <w:jc w:val="center"/>
      <w:textAlignment w:val="baseline"/>
    </w:pPr>
    <w:rPr>
      <w:rFonts w:ascii="Arial" w:hAnsi="Arial"/>
      <w:sz w:val="16"/>
      <w:szCs w:val="20"/>
    </w:rPr>
  </w:style>
  <w:style w:type="paragraph" w:customStyle="1" w:styleId="xl41">
    <w:name w:val="xl41"/>
    <w:basedOn w:val="Normal"/>
    <w:rsid w:val="00A04ECF"/>
    <w:pPr>
      <w:pBdr>
        <w:left w:val="single" w:sz="6" w:space="0" w:color="auto"/>
        <w:bottom w:val="single" w:sz="6" w:space="0" w:color="auto"/>
      </w:pBdr>
      <w:overflowPunct w:val="0"/>
      <w:spacing w:before="100" w:after="100"/>
      <w:textAlignment w:val="baseline"/>
    </w:pPr>
    <w:rPr>
      <w:rFonts w:ascii="Arial" w:hAnsi="Arial"/>
      <w:sz w:val="16"/>
      <w:szCs w:val="20"/>
    </w:rPr>
  </w:style>
  <w:style w:type="paragraph" w:customStyle="1" w:styleId="xl42">
    <w:name w:val="xl42"/>
    <w:basedOn w:val="Normal"/>
    <w:rsid w:val="00A04ECF"/>
    <w:pPr>
      <w:pBdr>
        <w:bottom w:val="single" w:sz="6" w:space="0" w:color="auto"/>
      </w:pBdr>
      <w:overflowPunct w:val="0"/>
      <w:spacing w:before="100" w:after="100"/>
      <w:jc w:val="center"/>
      <w:textAlignment w:val="baseline"/>
    </w:pPr>
    <w:rPr>
      <w:rFonts w:ascii="Arial" w:hAnsi="Arial"/>
      <w:sz w:val="16"/>
      <w:szCs w:val="20"/>
    </w:rPr>
  </w:style>
  <w:style w:type="paragraph" w:customStyle="1" w:styleId="xl43">
    <w:name w:val="xl43"/>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44">
    <w:name w:val="xl44"/>
    <w:basedOn w:val="Normal"/>
    <w:rsid w:val="00A04ECF"/>
    <w:pPr>
      <w:pBdr>
        <w:top w:val="single" w:sz="6" w:space="0" w:color="auto"/>
        <w:left w:val="single" w:sz="6" w:space="0" w:color="auto"/>
      </w:pBdr>
      <w:overflowPunct w:val="0"/>
      <w:spacing w:before="100" w:after="100"/>
      <w:textAlignment w:val="baseline"/>
    </w:pPr>
    <w:rPr>
      <w:rFonts w:ascii="Arial" w:hAnsi="Arial"/>
      <w:sz w:val="16"/>
      <w:szCs w:val="20"/>
    </w:rPr>
  </w:style>
  <w:style w:type="paragraph" w:customStyle="1" w:styleId="xl45">
    <w:name w:val="xl45"/>
    <w:basedOn w:val="Normal"/>
    <w:rsid w:val="00A04ECF"/>
    <w:pPr>
      <w:pBdr>
        <w:top w:val="single" w:sz="6" w:space="0" w:color="auto"/>
      </w:pBdr>
      <w:overflowPunct w:val="0"/>
      <w:spacing w:before="100" w:after="100"/>
      <w:jc w:val="center"/>
      <w:textAlignment w:val="baseline"/>
    </w:pPr>
    <w:rPr>
      <w:rFonts w:ascii="Arial" w:hAnsi="Arial"/>
      <w:sz w:val="16"/>
      <w:szCs w:val="20"/>
    </w:rPr>
  </w:style>
  <w:style w:type="paragraph" w:customStyle="1" w:styleId="xl46">
    <w:name w:val="xl46"/>
    <w:basedOn w:val="Normal"/>
    <w:rsid w:val="00A04ECF"/>
    <w:pPr>
      <w:pBdr>
        <w:left w:val="single" w:sz="6" w:space="0" w:color="auto"/>
      </w:pBdr>
      <w:overflowPunct w:val="0"/>
      <w:spacing w:before="100" w:after="100"/>
      <w:textAlignment w:val="baseline"/>
    </w:pPr>
    <w:rPr>
      <w:rFonts w:ascii="Arial" w:hAnsi="Arial"/>
      <w:sz w:val="16"/>
      <w:szCs w:val="20"/>
    </w:rPr>
  </w:style>
  <w:style w:type="paragraph" w:customStyle="1" w:styleId="xl47">
    <w:name w:val="xl47"/>
    <w:basedOn w:val="Normal"/>
    <w:rsid w:val="00A04ECF"/>
    <w:pPr>
      <w:overflowPunct w:val="0"/>
      <w:spacing w:before="100" w:after="100"/>
      <w:jc w:val="center"/>
      <w:textAlignment w:val="baseline"/>
    </w:pPr>
    <w:rPr>
      <w:rFonts w:ascii="Arial" w:hAnsi="Arial"/>
      <w:sz w:val="16"/>
      <w:szCs w:val="20"/>
    </w:rPr>
  </w:style>
  <w:style w:type="paragraph" w:customStyle="1" w:styleId="xl48">
    <w:name w:val="xl48"/>
    <w:basedOn w:val="Normal"/>
    <w:rsid w:val="00A04ECF"/>
    <w:pPr>
      <w:shd w:val="clear" w:color="auto" w:fill="C0C0C0"/>
      <w:overflowPunct w:val="0"/>
      <w:spacing w:before="100" w:after="100"/>
      <w:jc w:val="center"/>
      <w:textAlignment w:val="baseline"/>
    </w:pPr>
    <w:rPr>
      <w:rFonts w:ascii="Arial" w:hAnsi="Arial"/>
      <w:sz w:val="16"/>
      <w:szCs w:val="20"/>
    </w:rPr>
  </w:style>
  <w:style w:type="paragraph" w:customStyle="1" w:styleId="xl49">
    <w:name w:val="xl49"/>
    <w:basedOn w:val="Normal"/>
    <w:rsid w:val="00A04ECF"/>
    <w:pPr>
      <w:pBdr>
        <w:top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50">
    <w:name w:val="xl50"/>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51">
    <w:name w:val="xl51"/>
    <w:basedOn w:val="Normal"/>
    <w:rsid w:val="00A04ECF"/>
    <w:pPr>
      <w:shd w:val="clear" w:color="auto" w:fill="C0C0C0"/>
      <w:overflowPunct w:val="0"/>
      <w:spacing w:before="100" w:after="100"/>
      <w:jc w:val="center"/>
      <w:textAlignment w:val="baseline"/>
    </w:pPr>
    <w:rPr>
      <w:rFonts w:ascii="Arial" w:hAnsi="Arial"/>
      <w:szCs w:val="20"/>
    </w:rPr>
  </w:style>
  <w:style w:type="paragraph" w:customStyle="1" w:styleId="xl52">
    <w:name w:val="xl52"/>
    <w:basedOn w:val="Normal"/>
    <w:rsid w:val="00A04ECF"/>
    <w:pPr>
      <w:pBdr>
        <w:bottom w:val="single" w:sz="6" w:space="0" w:color="auto"/>
      </w:pBdr>
      <w:shd w:val="clear" w:color="auto" w:fill="C0C0C0"/>
      <w:overflowPunct w:val="0"/>
      <w:spacing w:before="100" w:after="100"/>
      <w:textAlignment w:val="baseline"/>
    </w:pPr>
    <w:rPr>
      <w:rFonts w:ascii="Arial" w:hAnsi="Arial"/>
      <w:sz w:val="16"/>
      <w:szCs w:val="20"/>
    </w:rPr>
  </w:style>
  <w:style w:type="paragraph" w:customStyle="1" w:styleId="xl53">
    <w:name w:val="xl53"/>
    <w:basedOn w:val="Normal"/>
    <w:rsid w:val="00A04ECF"/>
    <w:pPr>
      <w:pBdr>
        <w:bottom w:val="single" w:sz="6" w:space="0" w:color="auto"/>
      </w:pBdr>
      <w:shd w:val="clear" w:color="auto" w:fill="C0C0C0"/>
      <w:overflowPunct w:val="0"/>
      <w:spacing w:before="100" w:after="100"/>
      <w:jc w:val="center"/>
      <w:textAlignment w:val="baseline"/>
    </w:pPr>
    <w:rPr>
      <w:rFonts w:ascii="Arial" w:hAnsi="Arial"/>
      <w:sz w:val="16"/>
      <w:szCs w:val="20"/>
    </w:rPr>
  </w:style>
  <w:style w:type="paragraph" w:customStyle="1" w:styleId="xl54">
    <w:name w:val="xl54"/>
    <w:basedOn w:val="Normal"/>
    <w:rsid w:val="00A04ECF"/>
    <w:pPr>
      <w:pBdr>
        <w:top w:val="single" w:sz="6" w:space="0" w:color="auto"/>
      </w:pBdr>
      <w:shd w:val="clear" w:color="auto" w:fill="FFFFFF"/>
      <w:overflowPunct w:val="0"/>
      <w:spacing w:before="100" w:after="100"/>
      <w:jc w:val="center"/>
      <w:textAlignment w:val="baseline"/>
    </w:pPr>
    <w:rPr>
      <w:rFonts w:ascii="Arial" w:hAnsi="Arial"/>
      <w:sz w:val="16"/>
      <w:szCs w:val="20"/>
    </w:rPr>
  </w:style>
  <w:style w:type="paragraph" w:customStyle="1" w:styleId="xl55">
    <w:name w:val="xl55"/>
    <w:basedOn w:val="Normal"/>
    <w:rsid w:val="00A04ECF"/>
    <w:pPr>
      <w:pBdr>
        <w:lef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56">
    <w:name w:val="xl56"/>
    <w:basedOn w:val="Normal"/>
    <w:rsid w:val="00A04ECF"/>
    <w:pPr>
      <w:shd w:val="clear" w:color="auto" w:fill="FFFFFF"/>
      <w:overflowPunct w:val="0"/>
      <w:spacing w:before="100" w:after="100"/>
      <w:jc w:val="center"/>
      <w:textAlignment w:val="baseline"/>
    </w:pPr>
    <w:rPr>
      <w:rFonts w:ascii="Arial" w:hAnsi="Arial"/>
      <w:i/>
      <w:sz w:val="16"/>
      <w:szCs w:val="20"/>
    </w:rPr>
  </w:style>
  <w:style w:type="paragraph" w:customStyle="1" w:styleId="xl57">
    <w:name w:val="xl57"/>
    <w:basedOn w:val="Normal"/>
    <w:rsid w:val="00A04ECF"/>
    <w:pPr>
      <w:pBdr>
        <w:left w:val="single" w:sz="6" w:space="0" w:color="auto"/>
        <w:bottom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58">
    <w:name w:val="xl58"/>
    <w:basedOn w:val="Normal"/>
    <w:rsid w:val="00A04ECF"/>
    <w:pPr>
      <w:pBdr>
        <w:top w:val="single" w:sz="6" w:space="0" w:color="auto"/>
        <w:left w:val="single" w:sz="6" w:space="0" w:color="auto"/>
      </w:pBdr>
      <w:shd w:val="clear" w:color="auto" w:fill="FFFFFF"/>
      <w:overflowPunct w:val="0"/>
      <w:spacing w:before="100" w:after="100"/>
      <w:jc w:val="right"/>
      <w:textAlignment w:val="baseline"/>
    </w:pPr>
    <w:rPr>
      <w:rFonts w:ascii="Arial" w:hAnsi="Arial"/>
      <w:b/>
      <w:sz w:val="16"/>
      <w:szCs w:val="20"/>
      <w:u w:val="single"/>
    </w:rPr>
  </w:style>
  <w:style w:type="paragraph" w:customStyle="1" w:styleId="xl59">
    <w:name w:val="xl59"/>
    <w:basedOn w:val="Normal"/>
    <w:rsid w:val="00A04ECF"/>
    <w:pPr>
      <w:pBdr>
        <w:top w:val="single" w:sz="6" w:space="0" w:color="auto"/>
        <w:left w:val="single" w:sz="6" w:space="0" w:color="auto"/>
        <w:bottom w:val="single" w:sz="6" w:space="0" w:color="auto"/>
      </w:pBdr>
      <w:overflowPunct w:val="0"/>
      <w:spacing w:before="100" w:after="100"/>
      <w:textAlignment w:val="baseline"/>
    </w:pPr>
    <w:rPr>
      <w:rFonts w:ascii="Arial" w:hAnsi="Arial"/>
      <w:b/>
      <w:sz w:val="16"/>
      <w:szCs w:val="20"/>
    </w:rPr>
  </w:style>
  <w:style w:type="paragraph" w:customStyle="1" w:styleId="xl60">
    <w:name w:val="xl60"/>
    <w:basedOn w:val="Normal"/>
    <w:rsid w:val="00A04ECF"/>
    <w:pPr>
      <w:pBdr>
        <w:top w:val="single" w:sz="6" w:space="0" w:color="auto"/>
        <w:left w:val="single" w:sz="6" w:space="0" w:color="auto"/>
        <w:bottom w:val="single" w:sz="6" w:space="0" w:color="auto"/>
      </w:pBdr>
      <w:overflowPunct w:val="0"/>
      <w:spacing w:before="100" w:after="100"/>
      <w:textAlignment w:val="baseline"/>
    </w:pPr>
    <w:rPr>
      <w:rFonts w:ascii="Arial" w:hAnsi="Arial"/>
      <w:b/>
      <w:szCs w:val="20"/>
    </w:rPr>
  </w:style>
  <w:style w:type="paragraph" w:customStyle="1" w:styleId="xl61">
    <w:name w:val="xl61"/>
    <w:basedOn w:val="Normal"/>
    <w:rsid w:val="00A04ECF"/>
    <w:pPr>
      <w:pBdr>
        <w:top w:val="single" w:sz="6" w:space="0" w:color="auto"/>
        <w:left w:val="single" w:sz="6" w:space="0" w:color="auto"/>
        <w:bottom w:val="single" w:sz="6" w:space="0" w:color="auto"/>
      </w:pBdr>
      <w:overflowPunct w:val="0"/>
      <w:spacing w:before="100" w:after="100"/>
      <w:textAlignment w:val="baseline"/>
    </w:pPr>
    <w:rPr>
      <w:rFonts w:ascii="Arial" w:hAnsi="Arial"/>
      <w:b/>
      <w:szCs w:val="20"/>
    </w:rPr>
  </w:style>
  <w:style w:type="paragraph" w:customStyle="1" w:styleId="xl62">
    <w:name w:val="xl62"/>
    <w:basedOn w:val="Normal"/>
    <w:rsid w:val="00A04ECF"/>
    <w:pPr>
      <w:pBdr>
        <w:top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63">
    <w:name w:val="xl63"/>
    <w:basedOn w:val="Normal"/>
    <w:rsid w:val="00A04ECF"/>
    <w:pPr>
      <w:pBdr>
        <w:right w:val="single" w:sz="6" w:space="0" w:color="auto"/>
      </w:pBdr>
      <w:overflowPunct w:val="0"/>
      <w:spacing w:before="100" w:after="100"/>
      <w:jc w:val="center"/>
      <w:textAlignment w:val="baseline"/>
    </w:pPr>
    <w:rPr>
      <w:rFonts w:ascii="Arial" w:hAnsi="Arial"/>
      <w:sz w:val="16"/>
      <w:szCs w:val="20"/>
    </w:rPr>
  </w:style>
  <w:style w:type="paragraph" w:customStyle="1" w:styleId="xl64">
    <w:name w:val="xl64"/>
    <w:basedOn w:val="Normal"/>
    <w:rsid w:val="00A04ECF"/>
    <w:pPr>
      <w:pBdr>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65">
    <w:name w:val="xl65"/>
    <w:basedOn w:val="Normal"/>
    <w:rsid w:val="00A04ECF"/>
    <w:pPr>
      <w:pBdr>
        <w:top w:val="single" w:sz="6" w:space="0" w:color="auto"/>
        <w:right w:val="single" w:sz="6" w:space="0" w:color="auto"/>
      </w:pBdr>
      <w:shd w:val="clear" w:color="auto" w:fill="FFFFFF"/>
      <w:overflowPunct w:val="0"/>
      <w:spacing w:before="100" w:after="100"/>
      <w:jc w:val="center"/>
      <w:textAlignment w:val="baseline"/>
    </w:pPr>
    <w:rPr>
      <w:rFonts w:ascii="Arial" w:hAnsi="Arial"/>
      <w:sz w:val="16"/>
      <w:szCs w:val="20"/>
    </w:rPr>
  </w:style>
  <w:style w:type="paragraph" w:customStyle="1" w:styleId="xl66">
    <w:name w:val="xl66"/>
    <w:basedOn w:val="Normal"/>
    <w:rsid w:val="00A04ECF"/>
    <w:pPr>
      <w:shd w:val="clear" w:color="auto" w:fill="C0C0C0"/>
      <w:overflowPunct w:val="0"/>
      <w:spacing w:before="100" w:after="100"/>
      <w:jc w:val="center"/>
      <w:textAlignment w:val="baseline"/>
    </w:pPr>
    <w:rPr>
      <w:rFonts w:ascii="Arial" w:hAnsi="Arial"/>
      <w:color w:val="000000"/>
      <w:sz w:val="16"/>
      <w:szCs w:val="20"/>
    </w:rPr>
  </w:style>
  <w:style w:type="paragraph" w:customStyle="1" w:styleId="xl67">
    <w:name w:val="xl67"/>
    <w:basedOn w:val="Normal"/>
    <w:rsid w:val="00A04ECF"/>
    <w:pPr>
      <w:shd w:val="clear" w:color="auto" w:fill="C0C0C0"/>
      <w:overflowPunct w:val="0"/>
      <w:spacing w:before="100" w:after="100"/>
      <w:jc w:val="center"/>
      <w:textAlignment w:val="baseline"/>
    </w:pPr>
    <w:rPr>
      <w:rFonts w:ascii="Arial" w:hAnsi="Arial"/>
      <w:color w:val="000000"/>
      <w:sz w:val="16"/>
      <w:szCs w:val="20"/>
    </w:rPr>
  </w:style>
  <w:style w:type="paragraph" w:customStyle="1" w:styleId="xl68">
    <w:name w:val="xl68"/>
    <w:basedOn w:val="Normal"/>
    <w:rsid w:val="00A04ECF"/>
    <w:pPr>
      <w:shd w:val="clear" w:color="auto" w:fill="C0C0C0"/>
      <w:overflowPunct w:val="0"/>
      <w:spacing w:before="100" w:after="100"/>
      <w:jc w:val="center"/>
      <w:textAlignment w:val="baseline"/>
    </w:pPr>
    <w:rPr>
      <w:rFonts w:ascii="Arial" w:hAnsi="Arial"/>
      <w:color w:val="000000"/>
      <w:szCs w:val="20"/>
    </w:rPr>
  </w:style>
  <w:style w:type="paragraph" w:customStyle="1" w:styleId="xl69">
    <w:name w:val="xl69"/>
    <w:basedOn w:val="Normal"/>
    <w:rsid w:val="00A04ECF"/>
    <w:pPr>
      <w:pBdr>
        <w:top w:val="single" w:sz="6" w:space="0" w:color="auto"/>
        <w:bottom w:val="single" w:sz="6" w:space="0" w:color="auto"/>
      </w:pBdr>
      <w:overflowPunct w:val="0"/>
      <w:spacing w:before="100" w:after="100"/>
      <w:jc w:val="center"/>
      <w:textAlignment w:val="baseline"/>
    </w:pPr>
    <w:rPr>
      <w:rFonts w:ascii="Arial" w:hAnsi="Arial"/>
      <w:color w:val="000000"/>
      <w:sz w:val="16"/>
      <w:szCs w:val="20"/>
    </w:rPr>
  </w:style>
  <w:style w:type="paragraph" w:customStyle="1" w:styleId="xl70">
    <w:name w:val="xl70"/>
    <w:basedOn w:val="Normal"/>
    <w:rsid w:val="00A04ECF"/>
    <w:pPr>
      <w:overflowPunct w:val="0"/>
      <w:spacing w:before="100" w:after="100"/>
      <w:jc w:val="center"/>
      <w:textAlignment w:val="baseline"/>
    </w:pPr>
    <w:rPr>
      <w:rFonts w:ascii="Arial" w:hAnsi="Arial"/>
      <w:b/>
      <w:color w:val="000000"/>
      <w:sz w:val="16"/>
      <w:szCs w:val="20"/>
      <w:u w:val="single"/>
    </w:rPr>
  </w:style>
  <w:style w:type="paragraph" w:customStyle="1" w:styleId="xl71">
    <w:name w:val="xl71"/>
    <w:basedOn w:val="Normal"/>
    <w:rsid w:val="00A04ECF"/>
    <w:pPr>
      <w:pBdr>
        <w:bottom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2">
    <w:name w:val="xl72"/>
    <w:basedOn w:val="Normal"/>
    <w:rsid w:val="00A04ECF"/>
    <w:pPr>
      <w:pBdr>
        <w:top w:val="single" w:sz="6" w:space="0" w:color="auto"/>
        <w:bottom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3">
    <w:name w:val="xl73"/>
    <w:basedOn w:val="Normal"/>
    <w:rsid w:val="00A04ECF"/>
    <w:pPr>
      <w:pBdr>
        <w:top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4">
    <w:name w:val="xl74"/>
    <w:basedOn w:val="Normal"/>
    <w:rsid w:val="00A04ECF"/>
    <w:pPr>
      <w:overflowPunct w:val="0"/>
      <w:spacing w:before="100" w:after="100"/>
      <w:jc w:val="center"/>
      <w:textAlignment w:val="baseline"/>
    </w:pPr>
    <w:rPr>
      <w:rFonts w:ascii="Arial" w:hAnsi="Arial"/>
      <w:b/>
      <w:color w:val="000000"/>
      <w:sz w:val="16"/>
      <w:szCs w:val="20"/>
      <w:u w:val="single"/>
    </w:rPr>
  </w:style>
  <w:style w:type="paragraph" w:customStyle="1" w:styleId="xl75">
    <w:name w:val="xl75"/>
    <w:basedOn w:val="Normal"/>
    <w:rsid w:val="00A04ECF"/>
    <w:pPr>
      <w:pBdr>
        <w:top w:val="single" w:sz="6" w:space="0" w:color="auto"/>
        <w:bottom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6">
    <w:name w:val="xl76"/>
    <w:basedOn w:val="Normal"/>
    <w:rsid w:val="00A04ECF"/>
    <w:pPr>
      <w:pBdr>
        <w:top w:val="single" w:sz="6" w:space="0" w:color="auto"/>
        <w:left w:val="single" w:sz="6" w:space="0" w:color="auto"/>
        <w:bottom w:val="single" w:sz="6" w:space="0" w:color="auto"/>
        <w:right w:val="single" w:sz="6" w:space="0" w:color="auto"/>
      </w:pBdr>
      <w:overflowPunct w:val="0"/>
      <w:spacing w:before="100" w:after="100"/>
      <w:jc w:val="right"/>
      <w:textAlignment w:val="baseline"/>
    </w:pPr>
    <w:rPr>
      <w:rFonts w:ascii="Arial" w:hAnsi="Arial"/>
      <w:sz w:val="16"/>
      <w:szCs w:val="20"/>
    </w:rPr>
  </w:style>
  <w:style w:type="paragraph" w:customStyle="1" w:styleId="xl77">
    <w:name w:val="xl77"/>
    <w:basedOn w:val="Normal"/>
    <w:rsid w:val="00A04ECF"/>
    <w:pPr>
      <w:pBdr>
        <w:bottom w:val="single" w:sz="6" w:space="0" w:color="auto"/>
        <w:right w:val="single" w:sz="6" w:space="0" w:color="auto"/>
      </w:pBdr>
      <w:shd w:val="clear" w:color="auto" w:fill="C0C0C0"/>
      <w:overflowPunct w:val="0"/>
      <w:spacing w:before="100" w:after="100"/>
      <w:jc w:val="right"/>
      <w:textAlignment w:val="baseline"/>
    </w:pPr>
    <w:rPr>
      <w:rFonts w:ascii="Arial" w:hAnsi="Arial"/>
      <w:i/>
      <w:sz w:val="16"/>
      <w:szCs w:val="20"/>
    </w:rPr>
  </w:style>
  <w:style w:type="paragraph" w:customStyle="1" w:styleId="xl78">
    <w:name w:val="xl78"/>
    <w:basedOn w:val="Normal"/>
    <w:rsid w:val="00A04ECF"/>
    <w:pPr>
      <w:pBdr>
        <w:top w:val="single" w:sz="6" w:space="0" w:color="auto"/>
        <w:bottom w:val="single" w:sz="6" w:space="0" w:color="auto"/>
      </w:pBdr>
      <w:shd w:val="clear" w:color="auto" w:fill="C0C0C0"/>
      <w:overflowPunct w:val="0"/>
      <w:spacing w:before="100" w:after="100"/>
      <w:jc w:val="right"/>
      <w:textAlignment w:val="baseline"/>
    </w:pPr>
    <w:rPr>
      <w:rFonts w:ascii="Arial" w:hAnsi="Arial"/>
      <w:i/>
      <w:sz w:val="16"/>
      <w:szCs w:val="20"/>
    </w:rPr>
  </w:style>
  <w:style w:type="paragraph" w:customStyle="1" w:styleId="xl79">
    <w:name w:val="xl79"/>
    <w:basedOn w:val="Normal"/>
    <w:rsid w:val="00A04ECF"/>
    <w:pPr>
      <w:pBdr>
        <w:top w:val="single" w:sz="6" w:space="0" w:color="auto"/>
        <w:left w:val="single" w:sz="6" w:space="0" w:color="auto"/>
        <w:bottom w:val="single" w:sz="6" w:space="0" w:color="auto"/>
      </w:pBdr>
      <w:overflowPunct w:val="0"/>
      <w:spacing w:before="100" w:after="100"/>
      <w:jc w:val="center"/>
      <w:textAlignment w:val="baseline"/>
    </w:pPr>
    <w:rPr>
      <w:rFonts w:ascii="Arial" w:hAnsi="Arial"/>
      <w:b/>
      <w:sz w:val="32"/>
      <w:szCs w:val="20"/>
    </w:rPr>
  </w:style>
  <w:style w:type="paragraph" w:customStyle="1" w:styleId="xl80">
    <w:name w:val="xl80"/>
    <w:basedOn w:val="Normal"/>
    <w:rsid w:val="00A04ECF"/>
    <w:pPr>
      <w:pBdr>
        <w:top w:val="single" w:sz="6" w:space="0" w:color="auto"/>
        <w:bottom w:val="single" w:sz="6" w:space="0" w:color="auto"/>
      </w:pBdr>
      <w:overflowPunct w:val="0"/>
      <w:spacing w:before="100" w:after="100"/>
      <w:jc w:val="center"/>
      <w:textAlignment w:val="baseline"/>
    </w:pPr>
    <w:rPr>
      <w:rFonts w:ascii="Arial" w:hAnsi="Arial"/>
      <w:b/>
      <w:sz w:val="32"/>
      <w:szCs w:val="20"/>
    </w:rPr>
  </w:style>
  <w:style w:type="paragraph" w:customStyle="1" w:styleId="xl81">
    <w:name w:val="xl81"/>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82">
    <w:name w:val="xl82"/>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83">
    <w:name w:val="xl83"/>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84">
    <w:name w:val="xl84"/>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85">
    <w:name w:val="xl85"/>
    <w:basedOn w:val="Normal"/>
    <w:rsid w:val="00A04ECF"/>
    <w:pPr>
      <w:pBdr>
        <w:bottom w:val="single" w:sz="6" w:space="0" w:color="auto"/>
      </w:pBdr>
      <w:shd w:val="clear" w:color="auto" w:fill="FFFFFF"/>
      <w:overflowPunct w:val="0"/>
      <w:spacing w:before="100" w:after="100"/>
      <w:textAlignment w:val="baseline"/>
    </w:pPr>
    <w:rPr>
      <w:rFonts w:ascii="Arial" w:hAnsi="Arial"/>
      <w:b/>
      <w:color w:val="000000"/>
      <w:sz w:val="16"/>
      <w:szCs w:val="20"/>
      <w:u w:val="single"/>
    </w:rPr>
  </w:style>
  <w:style w:type="paragraph" w:customStyle="1" w:styleId="xl86">
    <w:name w:val="xl86"/>
    <w:basedOn w:val="Normal"/>
    <w:rsid w:val="00A04ECF"/>
    <w:pPr>
      <w:pBdr>
        <w:bottom w:val="single" w:sz="6" w:space="0" w:color="auto"/>
      </w:pBdr>
      <w:shd w:val="clear" w:color="auto" w:fill="FFFFFF"/>
      <w:overflowPunct w:val="0"/>
      <w:spacing w:before="100" w:after="100"/>
      <w:textAlignment w:val="baseline"/>
    </w:pPr>
    <w:rPr>
      <w:rFonts w:ascii="Arial" w:hAnsi="Arial"/>
      <w:b/>
      <w:sz w:val="16"/>
      <w:szCs w:val="20"/>
    </w:rPr>
  </w:style>
  <w:style w:type="paragraph" w:customStyle="1" w:styleId="xl87">
    <w:name w:val="xl87"/>
    <w:basedOn w:val="Normal"/>
    <w:rsid w:val="00A04ECF"/>
    <w:pPr>
      <w:pBdr>
        <w:bottom w:val="single" w:sz="6" w:space="0" w:color="auto"/>
        <w:right w:val="single" w:sz="6" w:space="0" w:color="auto"/>
      </w:pBdr>
      <w:shd w:val="clear" w:color="auto" w:fill="FFFFFF"/>
      <w:overflowPunct w:val="0"/>
      <w:spacing w:before="100" w:after="100"/>
      <w:textAlignment w:val="baseline"/>
    </w:pPr>
    <w:rPr>
      <w:rFonts w:ascii="Arial" w:hAnsi="Arial"/>
      <w:b/>
      <w:sz w:val="16"/>
      <w:szCs w:val="20"/>
    </w:rPr>
  </w:style>
  <w:style w:type="paragraph" w:customStyle="1" w:styleId="xl22">
    <w:name w:val="xl22"/>
    <w:basedOn w:val="Normal"/>
    <w:rsid w:val="00A04ECF"/>
    <w:pPr>
      <w:pBdr>
        <w:top w:val="single" w:sz="6" w:space="0" w:color="auto"/>
        <w:lef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3">
    <w:name w:val="xl23"/>
    <w:basedOn w:val="Normal"/>
    <w:rsid w:val="00A04ECF"/>
    <w:pPr>
      <w:pBdr>
        <w:lef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88">
    <w:name w:val="xl88"/>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b/>
      <w:sz w:val="32"/>
      <w:szCs w:val="20"/>
    </w:rPr>
  </w:style>
  <w:style w:type="paragraph" w:customStyle="1" w:styleId="xl89">
    <w:name w:val="xl89"/>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90">
    <w:name w:val="xl90"/>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91">
    <w:name w:val="xl91"/>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92">
    <w:name w:val="xl92"/>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93">
    <w:name w:val="xl93"/>
    <w:basedOn w:val="Normal"/>
    <w:rsid w:val="00A04ECF"/>
    <w:pPr>
      <w:pBdr>
        <w:bottom w:val="single" w:sz="6" w:space="0" w:color="auto"/>
      </w:pBdr>
      <w:shd w:val="clear" w:color="auto" w:fill="FFFFFF"/>
      <w:overflowPunct w:val="0"/>
      <w:spacing w:before="100" w:after="100"/>
      <w:textAlignment w:val="baseline"/>
    </w:pPr>
    <w:rPr>
      <w:rFonts w:ascii="Arial" w:hAnsi="Arial"/>
      <w:b/>
      <w:color w:val="000000"/>
      <w:sz w:val="16"/>
      <w:szCs w:val="20"/>
      <w:u w:val="single"/>
    </w:rPr>
  </w:style>
  <w:style w:type="paragraph" w:customStyle="1" w:styleId="xl94">
    <w:name w:val="xl94"/>
    <w:basedOn w:val="Normal"/>
    <w:rsid w:val="00A04ECF"/>
    <w:pPr>
      <w:pBdr>
        <w:bottom w:val="single" w:sz="6" w:space="0" w:color="auto"/>
      </w:pBdr>
      <w:shd w:val="clear" w:color="auto" w:fill="FFFFFF"/>
      <w:overflowPunct w:val="0"/>
      <w:spacing w:before="100" w:after="100"/>
      <w:textAlignment w:val="baseline"/>
    </w:pPr>
    <w:rPr>
      <w:rFonts w:ascii="Arial" w:hAnsi="Arial"/>
      <w:b/>
      <w:sz w:val="16"/>
      <w:szCs w:val="20"/>
    </w:rPr>
  </w:style>
  <w:style w:type="paragraph" w:customStyle="1" w:styleId="xl95">
    <w:name w:val="xl95"/>
    <w:basedOn w:val="Normal"/>
    <w:rsid w:val="00A04ECF"/>
    <w:pPr>
      <w:pBdr>
        <w:bottom w:val="single" w:sz="6" w:space="0" w:color="auto"/>
        <w:right w:val="single" w:sz="6" w:space="0" w:color="auto"/>
      </w:pBdr>
      <w:shd w:val="clear" w:color="auto" w:fill="FFFFFF"/>
      <w:overflowPunct w:val="0"/>
      <w:spacing w:before="100" w:after="100"/>
      <w:textAlignment w:val="baseline"/>
    </w:pPr>
    <w:rPr>
      <w:rFonts w:ascii="Arial" w:hAnsi="Arial"/>
      <w:b/>
      <w:sz w:val="16"/>
      <w:szCs w:val="20"/>
    </w:rPr>
  </w:style>
  <w:style w:type="paragraph" w:styleId="PlainText">
    <w:name w:val="Plain Text"/>
    <w:basedOn w:val="Normal"/>
    <w:link w:val="PlainTextChar"/>
    <w:rsid w:val="004579C0"/>
    <w:rPr>
      <w:rFonts w:ascii="Courier New" w:hAnsi="Courier New" w:cs="Courier New"/>
      <w:sz w:val="20"/>
      <w:szCs w:val="20"/>
    </w:rPr>
  </w:style>
  <w:style w:type="character" w:customStyle="1" w:styleId="PlainTextChar">
    <w:name w:val="Plain Text Char"/>
    <w:basedOn w:val="DefaultParagraphFont"/>
    <w:link w:val="PlainText"/>
    <w:rsid w:val="00A04ECF"/>
    <w:rPr>
      <w:rFonts w:ascii="Courier New" w:eastAsia="Times New Roman" w:hAnsi="Courier New" w:cs="Courier New"/>
      <w:sz w:val="20"/>
      <w:szCs w:val="20"/>
    </w:rPr>
  </w:style>
  <w:style w:type="paragraph" w:customStyle="1" w:styleId="Style8">
    <w:name w:val="Style 8"/>
    <w:basedOn w:val="Normal"/>
    <w:rsid w:val="00A04ECF"/>
    <w:pPr>
      <w:widowControl w:val="0"/>
      <w:autoSpaceDE w:val="0"/>
      <w:autoSpaceDN w:val="0"/>
      <w:spacing w:before="252" w:after="0"/>
      <w:jc w:val="center"/>
    </w:pPr>
  </w:style>
  <w:style w:type="paragraph" w:customStyle="1" w:styleId="Style13">
    <w:name w:val="Style 13"/>
    <w:basedOn w:val="Normal"/>
    <w:rsid w:val="00A04ECF"/>
    <w:pPr>
      <w:widowControl w:val="0"/>
      <w:autoSpaceDE w:val="0"/>
      <w:autoSpaceDN w:val="0"/>
      <w:adjustRightInd w:val="0"/>
      <w:spacing w:after="0"/>
      <w:jc w:val="left"/>
    </w:pPr>
  </w:style>
  <w:style w:type="character" w:customStyle="1" w:styleId="mw-headline">
    <w:name w:val="mw-headline"/>
    <w:basedOn w:val="DefaultParagraphFont"/>
    <w:rsid w:val="00A04ECF"/>
  </w:style>
  <w:style w:type="paragraph" w:customStyle="1" w:styleId="paragraph">
    <w:name w:val="paragraph"/>
    <w:basedOn w:val="Normal"/>
    <w:rsid w:val="00A04ECF"/>
    <w:pPr>
      <w:spacing w:before="100" w:beforeAutospacing="1" w:after="100" w:afterAutospacing="1"/>
      <w:jc w:val="left"/>
    </w:pPr>
    <w:rPr>
      <w:color w:val="000000"/>
    </w:rPr>
  </w:style>
  <w:style w:type="paragraph" w:styleId="CommentSubject">
    <w:name w:val="annotation subject"/>
    <w:basedOn w:val="CommentText"/>
    <w:next w:val="CommentText"/>
    <w:link w:val="CommentSubjectChar"/>
    <w:uiPriority w:val="99"/>
    <w:semiHidden/>
    <w:rsid w:val="004579C0"/>
    <w:rPr>
      <w:b/>
      <w:bCs/>
    </w:rPr>
  </w:style>
  <w:style w:type="paragraph" w:styleId="CommentText">
    <w:name w:val="annotation text"/>
    <w:basedOn w:val="Normal"/>
    <w:link w:val="CommentTextChar"/>
    <w:uiPriority w:val="99"/>
    <w:semiHidden/>
    <w:rsid w:val="004579C0"/>
    <w:rPr>
      <w:sz w:val="20"/>
      <w:szCs w:val="20"/>
    </w:rPr>
  </w:style>
  <w:style w:type="character" w:customStyle="1" w:styleId="CommentTextChar">
    <w:name w:val="Comment Text Char"/>
    <w:basedOn w:val="DefaultParagraphFont"/>
    <w:link w:val="CommentText"/>
    <w:uiPriority w:val="99"/>
    <w:semiHidden/>
    <w:rsid w:val="002E786B"/>
    <w:rPr>
      <w:rFonts w:eastAsia="Times New Roman" w:cs="Times New Roman"/>
      <w:sz w:val="20"/>
      <w:szCs w:val="20"/>
    </w:rPr>
  </w:style>
  <w:style w:type="character" w:customStyle="1" w:styleId="CommentSubjectChar">
    <w:name w:val="Comment Subject Char"/>
    <w:basedOn w:val="DefaultParagraphFont"/>
    <w:link w:val="CommentSubject"/>
    <w:uiPriority w:val="99"/>
    <w:semiHidden/>
    <w:rsid w:val="00540B0A"/>
    <w:rPr>
      <w:rFonts w:eastAsia="Times New Roman" w:cs="Times New Roman"/>
      <w:b/>
      <w:bCs/>
      <w:sz w:val="20"/>
      <w:szCs w:val="20"/>
    </w:rPr>
  </w:style>
  <w:style w:type="paragraph" w:customStyle="1" w:styleId="ref-Cited">
    <w:name w:val="ref-Cited"/>
    <w:basedOn w:val="Normal"/>
    <w:rsid w:val="004579C0"/>
    <w:pPr>
      <w:keepLines/>
      <w:suppressAutoHyphens/>
      <w:ind w:left="288" w:hanging="288"/>
    </w:pPr>
    <w:rPr>
      <w:sz w:val="20"/>
      <w:szCs w:val="20"/>
    </w:rPr>
  </w:style>
  <w:style w:type="paragraph" w:customStyle="1" w:styleId="RefCited">
    <w:name w:val="Ref Cited"/>
    <w:rsid w:val="00A04ECF"/>
    <w:pPr>
      <w:keepLines/>
      <w:widowControl w:val="0"/>
      <w:spacing w:after="0" w:line="240" w:lineRule="exact"/>
      <w:ind w:left="720" w:hanging="720"/>
      <w:jc w:val="both"/>
    </w:pPr>
    <w:rPr>
      <w:rFonts w:eastAsia="Times New Roman" w:cs="Times New Roman"/>
      <w:sz w:val="20"/>
      <w:szCs w:val="20"/>
    </w:rPr>
  </w:style>
  <w:style w:type="paragraph" w:customStyle="1" w:styleId="Normal-KeepLine">
    <w:name w:val="Normal-Keep Line"/>
    <w:basedOn w:val="Normal"/>
    <w:rsid w:val="004579C0"/>
    <w:pPr>
      <w:keepLines/>
    </w:pPr>
  </w:style>
  <w:style w:type="paragraph" w:customStyle="1" w:styleId="Normal-KeepNext">
    <w:name w:val="Normal-Keep Next"/>
    <w:basedOn w:val="Normal"/>
    <w:rsid w:val="004579C0"/>
    <w:pPr>
      <w:keepNext/>
      <w:keepLines/>
    </w:pPr>
  </w:style>
  <w:style w:type="paragraph" w:customStyle="1" w:styleId="StyleTableofFiguresLeft046Firstline0">
    <w:name w:val="Style Table of Figures + Left:  0.46&quot; First line:  0&quot;"/>
    <w:basedOn w:val="TableofFigures"/>
    <w:rsid w:val="004579C0"/>
    <w:pPr>
      <w:ind w:left="666" w:firstLine="0"/>
    </w:pPr>
  </w:style>
  <w:style w:type="paragraph" w:customStyle="1" w:styleId="Normal-15">
    <w:name w:val="Normal-1.5"/>
    <w:basedOn w:val="Normal"/>
    <w:next w:val="Normal"/>
    <w:rsid w:val="004579C0"/>
    <w:pPr>
      <w:suppressAutoHyphens/>
      <w:spacing w:line="360" w:lineRule="auto"/>
    </w:pPr>
    <w:rPr>
      <w:szCs w:val="20"/>
    </w:rPr>
  </w:style>
  <w:style w:type="paragraph" w:customStyle="1" w:styleId="Caption-continued">
    <w:name w:val="Caption-continued"/>
    <w:basedOn w:val="Caption"/>
    <w:rsid w:val="004579C0"/>
  </w:style>
  <w:style w:type="paragraph" w:customStyle="1" w:styleId="Captiontitle">
    <w:name w:val="Caption title"/>
    <w:basedOn w:val="Normal"/>
    <w:next w:val="Normal"/>
    <w:link w:val="CaptiontitleChar"/>
    <w:rsid w:val="004579C0"/>
    <w:pPr>
      <w:ind w:firstLine="288"/>
    </w:pPr>
    <w:rPr>
      <w:sz w:val="22"/>
    </w:rPr>
  </w:style>
  <w:style w:type="character" w:customStyle="1" w:styleId="CaptiontitleChar">
    <w:name w:val="Caption title Char"/>
    <w:basedOn w:val="DefaultParagraphFont"/>
    <w:link w:val="Captiontitle"/>
    <w:rsid w:val="004579C0"/>
    <w:rPr>
      <w:rFonts w:eastAsia="Times New Roman" w:cs="Times New Roman"/>
      <w:szCs w:val="24"/>
    </w:rPr>
  </w:style>
  <w:style w:type="character" w:styleId="CommentReference">
    <w:name w:val="annotation reference"/>
    <w:basedOn w:val="DefaultParagraphFont"/>
    <w:uiPriority w:val="99"/>
    <w:semiHidden/>
    <w:rsid w:val="004579C0"/>
    <w:rPr>
      <w:sz w:val="16"/>
      <w:szCs w:val="16"/>
    </w:rPr>
  </w:style>
  <w:style w:type="paragraph" w:styleId="BlockText">
    <w:name w:val="Block Text"/>
    <w:basedOn w:val="Normal"/>
    <w:rsid w:val="004579C0"/>
    <w:pPr>
      <w:ind w:left="432" w:right="432"/>
    </w:pPr>
  </w:style>
  <w:style w:type="paragraph" w:customStyle="1" w:styleId="Append-Titlecontinued">
    <w:name w:val="Append-Title(continued)"/>
    <w:basedOn w:val="Normal"/>
    <w:next w:val="Normal"/>
    <w:rsid w:val="004579C0"/>
    <w:pPr>
      <w:keepNext/>
      <w:keepLines/>
      <w:tabs>
        <w:tab w:val="right" w:pos="9360"/>
      </w:tabs>
      <w:suppressAutoHyphens/>
      <w:overflowPunct w:val="0"/>
      <w:autoSpaceDE w:val="0"/>
      <w:autoSpaceDN w:val="0"/>
      <w:adjustRightInd w:val="0"/>
      <w:ind w:firstLine="288"/>
      <w:textAlignment w:val="baseline"/>
    </w:pPr>
    <w:rPr>
      <w:sz w:val="22"/>
      <w:szCs w:val="20"/>
    </w:rPr>
  </w:style>
  <w:style w:type="paragraph" w:customStyle="1" w:styleId="AppenidixHeading2">
    <w:name w:val="Appenidix Heading 2"/>
    <w:basedOn w:val="Normal"/>
    <w:next w:val="Normal"/>
    <w:rsid w:val="004579C0"/>
    <w:rPr>
      <w:rFonts w:ascii="Times New Roman Bold" w:hAnsi="Times New Roman Bold"/>
      <w:b/>
      <w:smallCaps/>
      <w:sz w:val="28"/>
    </w:rPr>
  </w:style>
  <w:style w:type="paragraph" w:customStyle="1" w:styleId="EqnLegend">
    <w:name w:val="EqnLegend"/>
    <w:basedOn w:val="Normal"/>
    <w:uiPriority w:val="99"/>
    <w:rsid w:val="00A8418B"/>
    <w:pPr>
      <w:tabs>
        <w:tab w:val="left" w:pos="1080"/>
      </w:tabs>
      <w:ind w:left="360"/>
    </w:pPr>
  </w:style>
  <w:style w:type="paragraph" w:styleId="BodyTextIndent3">
    <w:name w:val="Body Text Indent 3"/>
    <w:basedOn w:val="Normal"/>
    <w:link w:val="BodyTextIndent3Char"/>
    <w:uiPriority w:val="99"/>
    <w:semiHidden/>
    <w:rsid w:val="00A8418B"/>
    <w:pPr>
      <w:ind w:left="360"/>
      <w:jc w:val="left"/>
    </w:pPr>
    <w:rPr>
      <w:sz w:val="16"/>
      <w:szCs w:val="16"/>
    </w:rPr>
  </w:style>
  <w:style w:type="character" w:customStyle="1" w:styleId="BodyTextIndent3Char">
    <w:name w:val="Body Text Indent 3 Char"/>
    <w:basedOn w:val="DefaultParagraphFont"/>
    <w:link w:val="BodyTextIndent3"/>
    <w:uiPriority w:val="99"/>
    <w:semiHidden/>
    <w:rsid w:val="00A8418B"/>
    <w:rPr>
      <w:rFonts w:eastAsia="Times New Roman" w:cs="Times New Roman"/>
      <w:sz w:val="16"/>
      <w:szCs w:val="16"/>
    </w:rPr>
  </w:style>
  <w:style w:type="paragraph" w:styleId="BalloonText">
    <w:name w:val="Balloon Text"/>
    <w:basedOn w:val="Normal"/>
    <w:link w:val="BalloonTextChar"/>
    <w:uiPriority w:val="99"/>
    <w:semiHidden/>
    <w:rsid w:val="00A8418B"/>
    <w:pPr>
      <w:spacing w:after="0"/>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18B"/>
    <w:rPr>
      <w:rFonts w:ascii="Tahoma" w:eastAsia="Times New Roman" w:hAnsi="Tahoma" w:cs="Tahoma"/>
      <w:sz w:val="16"/>
      <w:szCs w:val="16"/>
    </w:rPr>
  </w:style>
  <w:style w:type="character" w:customStyle="1" w:styleId="apple-style-span">
    <w:name w:val="apple-style-span"/>
    <w:basedOn w:val="DefaultParagraphFont"/>
    <w:uiPriority w:val="99"/>
    <w:rsid w:val="00A8418B"/>
    <w:rPr>
      <w:rFonts w:cs="Times New Roman"/>
    </w:rPr>
  </w:style>
  <w:style w:type="character" w:customStyle="1" w:styleId="apple-converted-space">
    <w:name w:val="apple-converted-space"/>
    <w:basedOn w:val="DefaultParagraphFont"/>
    <w:uiPriority w:val="99"/>
    <w:rsid w:val="00A8418B"/>
    <w:rPr>
      <w:rFonts w:cs="Times New Roman"/>
    </w:rPr>
  </w:style>
  <w:style w:type="paragraph" w:styleId="ListParagraph">
    <w:name w:val="List Paragraph"/>
    <w:basedOn w:val="Normal"/>
    <w:uiPriority w:val="34"/>
    <w:qFormat/>
    <w:rsid w:val="00A8418B"/>
    <w:pPr>
      <w:spacing w:after="0"/>
      <w:ind w:left="720"/>
      <w:contextualSpacing/>
      <w:jc w:val="left"/>
    </w:pPr>
  </w:style>
  <w:style w:type="character" w:styleId="PlaceholderText">
    <w:name w:val="Placeholder Text"/>
    <w:basedOn w:val="DefaultParagraphFont"/>
    <w:uiPriority w:val="99"/>
    <w:semiHidden/>
    <w:rsid w:val="00C958B6"/>
    <w:rPr>
      <w:color w:val="808080"/>
    </w:rPr>
  </w:style>
  <w:style w:type="character" w:customStyle="1" w:styleId="kno-fv">
    <w:name w:val="kno-fv"/>
    <w:basedOn w:val="DefaultParagraphFont"/>
    <w:rsid w:val="00EA423C"/>
  </w:style>
  <w:style w:type="character" w:customStyle="1" w:styleId="st">
    <w:name w:val="st"/>
    <w:basedOn w:val="DefaultParagraphFont"/>
    <w:rsid w:val="00EA423C"/>
  </w:style>
  <w:style w:type="character" w:styleId="Emphasis">
    <w:name w:val="Emphasis"/>
    <w:basedOn w:val="DefaultParagraphFont"/>
    <w:uiPriority w:val="20"/>
    <w:qFormat/>
    <w:rsid w:val="00EA42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3181">
      <w:bodyDiv w:val="1"/>
      <w:marLeft w:val="0"/>
      <w:marRight w:val="0"/>
      <w:marTop w:val="0"/>
      <w:marBottom w:val="0"/>
      <w:divBdr>
        <w:top w:val="none" w:sz="0" w:space="0" w:color="auto"/>
        <w:left w:val="none" w:sz="0" w:space="0" w:color="auto"/>
        <w:bottom w:val="none" w:sz="0" w:space="0" w:color="auto"/>
        <w:right w:val="none" w:sz="0" w:space="0" w:color="auto"/>
      </w:divBdr>
    </w:div>
    <w:div w:id="302077014">
      <w:bodyDiv w:val="1"/>
      <w:marLeft w:val="0"/>
      <w:marRight w:val="0"/>
      <w:marTop w:val="0"/>
      <w:marBottom w:val="0"/>
      <w:divBdr>
        <w:top w:val="none" w:sz="0" w:space="0" w:color="auto"/>
        <w:left w:val="none" w:sz="0" w:space="0" w:color="auto"/>
        <w:bottom w:val="none" w:sz="0" w:space="0" w:color="auto"/>
        <w:right w:val="none" w:sz="0" w:space="0" w:color="auto"/>
      </w:divBdr>
    </w:div>
    <w:div w:id="387728622">
      <w:bodyDiv w:val="1"/>
      <w:marLeft w:val="0"/>
      <w:marRight w:val="0"/>
      <w:marTop w:val="0"/>
      <w:marBottom w:val="0"/>
      <w:divBdr>
        <w:top w:val="none" w:sz="0" w:space="0" w:color="auto"/>
        <w:left w:val="none" w:sz="0" w:space="0" w:color="auto"/>
        <w:bottom w:val="none" w:sz="0" w:space="0" w:color="auto"/>
        <w:right w:val="none" w:sz="0" w:space="0" w:color="auto"/>
      </w:divBdr>
    </w:div>
    <w:div w:id="463164007">
      <w:bodyDiv w:val="1"/>
      <w:marLeft w:val="0"/>
      <w:marRight w:val="0"/>
      <w:marTop w:val="0"/>
      <w:marBottom w:val="0"/>
      <w:divBdr>
        <w:top w:val="none" w:sz="0" w:space="0" w:color="auto"/>
        <w:left w:val="none" w:sz="0" w:space="0" w:color="auto"/>
        <w:bottom w:val="none" w:sz="0" w:space="0" w:color="auto"/>
        <w:right w:val="none" w:sz="0" w:space="0" w:color="auto"/>
      </w:divBdr>
    </w:div>
    <w:div w:id="525485732">
      <w:bodyDiv w:val="1"/>
      <w:marLeft w:val="0"/>
      <w:marRight w:val="0"/>
      <w:marTop w:val="0"/>
      <w:marBottom w:val="0"/>
      <w:divBdr>
        <w:top w:val="none" w:sz="0" w:space="0" w:color="auto"/>
        <w:left w:val="none" w:sz="0" w:space="0" w:color="auto"/>
        <w:bottom w:val="none" w:sz="0" w:space="0" w:color="auto"/>
        <w:right w:val="none" w:sz="0" w:space="0" w:color="auto"/>
      </w:divBdr>
    </w:div>
    <w:div w:id="907767196">
      <w:bodyDiv w:val="1"/>
      <w:marLeft w:val="0"/>
      <w:marRight w:val="0"/>
      <w:marTop w:val="0"/>
      <w:marBottom w:val="0"/>
      <w:divBdr>
        <w:top w:val="none" w:sz="0" w:space="0" w:color="auto"/>
        <w:left w:val="none" w:sz="0" w:space="0" w:color="auto"/>
        <w:bottom w:val="none" w:sz="0" w:space="0" w:color="auto"/>
        <w:right w:val="none" w:sz="0" w:space="0" w:color="auto"/>
      </w:divBdr>
    </w:div>
    <w:div w:id="1116217744">
      <w:bodyDiv w:val="1"/>
      <w:marLeft w:val="0"/>
      <w:marRight w:val="0"/>
      <w:marTop w:val="0"/>
      <w:marBottom w:val="0"/>
      <w:divBdr>
        <w:top w:val="none" w:sz="0" w:space="0" w:color="auto"/>
        <w:left w:val="none" w:sz="0" w:space="0" w:color="auto"/>
        <w:bottom w:val="none" w:sz="0" w:space="0" w:color="auto"/>
        <w:right w:val="none" w:sz="0" w:space="0" w:color="auto"/>
      </w:divBdr>
    </w:div>
    <w:div w:id="1213419058">
      <w:bodyDiv w:val="1"/>
      <w:marLeft w:val="0"/>
      <w:marRight w:val="0"/>
      <w:marTop w:val="0"/>
      <w:marBottom w:val="0"/>
      <w:divBdr>
        <w:top w:val="none" w:sz="0" w:space="0" w:color="auto"/>
        <w:left w:val="none" w:sz="0" w:space="0" w:color="auto"/>
        <w:bottom w:val="none" w:sz="0" w:space="0" w:color="auto"/>
        <w:right w:val="none" w:sz="0" w:space="0" w:color="auto"/>
      </w:divBdr>
    </w:div>
    <w:div w:id="1679652549">
      <w:bodyDiv w:val="1"/>
      <w:marLeft w:val="0"/>
      <w:marRight w:val="0"/>
      <w:marTop w:val="0"/>
      <w:marBottom w:val="0"/>
      <w:divBdr>
        <w:top w:val="none" w:sz="0" w:space="0" w:color="auto"/>
        <w:left w:val="none" w:sz="0" w:space="0" w:color="auto"/>
        <w:bottom w:val="none" w:sz="0" w:space="0" w:color="auto"/>
        <w:right w:val="none" w:sz="0" w:space="0" w:color="auto"/>
      </w:divBdr>
    </w:div>
    <w:div w:id="1779593987">
      <w:bodyDiv w:val="1"/>
      <w:marLeft w:val="0"/>
      <w:marRight w:val="0"/>
      <w:marTop w:val="0"/>
      <w:marBottom w:val="0"/>
      <w:divBdr>
        <w:top w:val="none" w:sz="0" w:space="0" w:color="auto"/>
        <w:left w:val="none" w:sz="0" w:space="0" w:color="auto"/>
        <w:bottom w:val="none" w:sz="0" w:space="0" w:color="auto"/>
        <w:right w:val="none" w:sz="0" w:space="0" w:color="auto"/>
      </w:divBdr>
    </w:div>
    <w:div w:id="1825703014">
      <w:bodyDiv w:val="1"/>
      <w:marLeft w:val="0"/>
      <w:marRight w:val="0"/>
      <w:marTop w:val="0"/>
      <w:marBottom w:val="0"/>
      <w:divBdr>
        <w:top w:val="none" w:sz="0" w:space="0" w:color="auto"/>
        <w:left w:val="none" w:sz="0" w:space="0" w:color="auto"/>
        <w:bottom w:val="none" w:sz="0" w:space="0" w:color="auto"/>
        <w:right w:val="none" w:sz="0" w:space="0" w:color="auto"/>
      </w:divBdr>
    </w:div>
    <w:div w:id="1842086767">
      <w:bodyDiv w:val="1"/>
      <w:marLeft w:val="0"/>
      <w:marRight w:val="0"/>
      <w:marTop w:val="0"/>
      <w:marBottom w:val="0"/>
      <w:divBdr>
        <w:top w:val="none" w:sz="0" w:space="0" w:color="auto"/>
        <w:left w:val="none" w:sz="0" w:space="0" w:color="auto"/>
        <w:bottom w:val="none" w:sz="0" w:space="0" w:color="auto"/>
        <w:right w:val="none" w:sz="0" w:space="0" w:color="auto"/>
      </w:divBdr>
    </w:div>
    <w:div w:id="202952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6/09/relationships/commentsIds" Target="commentsIds.xm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adfg.alaska.gov/sf/publications/" TargetMode="External"/><Relationship Id="rId34" Type="http://schemas.openxmlformats.org/officeDocument/2006/relationships/hyperlink" Target="http://www.iphc.int/publications/techrep/tech0013.pdf" TargetMode="External"/><Relationship Id="rId7" Type="http://schemas.openxmlformats.org/officeDocument/2006/relationships/footnotes" Target="footnotes.xml"/><Relationship Id="rId12" Type="http://schemas.openxmlformats.org/officeDocument/2006/relationships/footer" Target="footer3.xml"/><Relationship Id="rId17" Type="http://schemas.microsoft.com/office/2011/relationships/commentsExtended" Target="commentsExtended.xml"/><Relationship Id="rId25" Type="http://schemas.openxmlformats.org/officeDocument/2006/relationships/footer" Target="footer7.xml"/><Relationship Id="rId33" Type="http://schemas.openxmlformats.org/officeDocument/2006/relationships/hyperlink" Target="http://www.bslassociation.org/uploads/bigsandy_walleye.pdf"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5.xml"/><Relationship Id="rId32" Type="http://schemas.openxmlformats.org/officeDocument/2006/relationships/hyperlink" Target="http://www.fakr.noaa.gov/npfmc/PDFdocuments/halibut/logbookeval909.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6.xml"/><Relationship Id="rId28" Type="http://schemas.openxmlformats.org/officeDocument/2006/relationships/image" Target="media/image4.png"/><Relationship Id="rId36"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hyperlink" Target="http://www.fakr.noaa.gov/npfmc/PDFdocuments/halibut/HalibutDiscards907.pdf"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 Id="rId27" Type="http://schemas.openxmlformats.org/officeDocument/2006/relationships/image" Target="media/image3.gif"/><Relationship Id="rId30" Type="http://schemas.openxmlformats.org/officeDocument/2006/relationships/hyperlink" Target="http://www.st.nmfs.noaa.gov/Assets/recreational/pdf/Charter_Boat_Logbook_Project_report.pdf" TargetMode="External"/><Relationship Id="rId35"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cclellan\AppData\Roaming\Microsoft\Templates\CFSF1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F3AE2B-1CAE-4DEB-B870-6F26E4ACDF33}">
  <ds:schemaRefs>
    <ds:schemaRef ds:uri="http://schemas.openxmlformats.org/officeDocument/2006/bibliography"/>
  </ds:schemaRefs>
</ds:datastoreItem>
</file>

<file path=customXml/itemProps2.xml><?xml version="1.0" encoding="utf-8"?>
<ds:datastoreItem xmlns:ds="http://schemas.openxmlformats.org/officeDocument/2006/customXml" ds:itemID="{EAF232C8-1C65-439A-81E1-EF3A307F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CFSF1columntemplate</Template>
  <TotalTime>33505</TotalTime>
  <Pages>30</Pages>
  <Words>11405</Words>
  <Characters>65014</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76267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Wuttig</dc:creator>
  <cp:keywords/>
  <dc:description/>
  <cp:lastModifiedBy>Buzzee, Benjamin E (DFG)</cp:lastModifiedBy>
  <cp:revision>24</cp:revision>
  <cp:lastPrinted>2019-06-14T00:13:00Z</cp:lastPrinted>
  <dcterms:created xsi:type="dcterms:W3CDTF">2014-07-30T19:41:00Z</dcterms:created>
  <dcterms:modified xsi:type="dcterms:W3CDTF">2019-10-01T23:16:00Z</dcterms:modified>
</cp:coreProperties>
</file>