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400"/>
        <w:jc w:val="center"/>
      </w:pPr>
      <w:r>
        <w:rPr>
          <w:rFonts w:ascii="Arial" w:cs="Arial" w:eastAsia="Arial" w:hAnsi="Arial"/>
          <w:b/>
          <w:bCs/>
          <w:color w:val="3a5239"/>
          <w:sz w:val="44"/>
          <w:szCs w:val="44"/>
        </w:rPr>
        <w:t xml:space="preserve">ADA 2026 糖尿病诊疗指南：全面科普解读</w:t>
      </w:r>
    </w:p>
    <w:p>
      <w:pPr>
        <w:pBdr>
          <w:left w:val="single" w:color="d95428" w:sz="6" w:space="8"/>
        </w:pBdr>
        <w:shd w:fill="fef5f2" w:val="clear"/>
        <w:spacing w:after="80" w:before="80"/>
        <w:ind w:left="560"/>
      </w:pPr>
      <w:r>
        <w:rPr>
          <w:rFonts w:ascii="Arial" w:cs="Arial" w:eastAsia="Arial" w:hAnsi="Arial"/>
          <w:b/>
          <w:bCs/>
          <w:i/>
          <w:iCs/>
          <w:color w:val="666666"/>
          <w:sz w:val="21"/>
          <w:szCs w:val="21"/>
        </w:rPr>
        <w:t xml:space="preserve">免责声明：</w:t>
      </w:r>
      <w:r>
        <w:rPr>
          <w:rFonts w:ascii="Arial" w:cs="Arial" w:eastAsia="Arial" w:hAnsi="Arial"/>
          <w:i/>
          <w:iCs/>
          <w:color w:val="666666"/>
          <w:sz w:val="21"/>
          <w:szCs w:val="21"/>
        </w:rPr>
        <w:t xml:space="preserve"> 本文基于循证医学整理，仅供健康科普和教育目的，不构成个人医疗建议、诊断或治疗方案。请就个人健康问题咨询专业医疗人员。</w:t>
      </w:r>
    </w:p>
    <w:p>
      <w:pPr>
        <w:pStyle w:val="Heading1"/>
        <w:spacing w:after="180" w:before="360"/>
      </w:pPr>
      <w:r>
        <w:rPr>
          <w:rFonts w:ascii="Arial" w:cs="Arial" w:eastAsia="Arial" w:hAnsi="Arial"/>
          <w:b/>
          <w:bCs/>
          <w:color w:val="3a5239"/>
          <w:sz w:val="32"/>
          <w:szCs w:val="32"/>
        </w:rPr>
        <w:t xml:space="preserve">前言</w:t>
      </w:r>
    </w:p>
    <w:p>
      <w:pPr>
        <w:pBdr>
          <w:bottom w:val="single" w:color="476647" w:sz="3" w:space="4"/>
        </w:pBdr>
        <w:spacing w:after="200" w:before="0"/>
      </w:pPr>
    </w:p>
    <w:p>
      <w:pPr>
        <w:spacing w:after="100" w:before="60"/>
      </w:pPr>
      <w:r>
        <w:rPr>
          <w:rFonts w:ascii="Arial" w:cs="Arial" w:eastAsia="Arial" w:hAnsi="Arial"/>
          <w:color w:val="222222"/>
          <w:sz w:val="21"/>
          <w:szCs w:val="21"/>
        </w:rPr>
        <w:t xml:space="preserve">全球约有5.37亿成人罹患糖尿病，预计到2045年将增至7.83亿（International Diabetes Federation, 2021）。在美国，超过1.36亿人患有糖尿病或糖尿病前期。美国糖尿病协会（ADA）自1989年起每年更新《糖尿病诊疗标准》（Standards of Care in Diabetes），迄今已成为全球糖尿病管理最权威的循证指南之一。</w:t>
      </w:r>
    </w:p>
    <w:p>
      <w:pPr>
        <w:spacing w:after="100" w:before="60"/>
      </w:pPr>
      <w:r>
        <w:rPr>
          <w:rFonts w:ascii="Arial" w:cs="Arial" w:eastAsia="Arial" w:hAnsi="Arial"/>
          <w:b/>
          <w:bCs/>
          <w:color w:val="222222"/>
          <w:sz w:val="21"/>
          <w:szCs w:val="21"/>
        </w:rPr>
        <w:t xml:space="preserve">ADA 2026年版指南</w:t>
      </w:r>
      <w:r>
        <w:rPr>
          <w:rFonts w:ascii="Arial" w:cs="Arial" w:eastAsia="Arial" w:hAnsi="Arial"/>
          <w:color w:val="222222"/>
          <w:sz w:val="21"/>
          <w:szCs w:val="21"/>
        </w:rPr>
        <w:t xml:space="preserve">（Diabetes Care 2026;49(Suppl 1):S1–S320）于2025年12月8日正式发布，涵盖17个章节，由跨学科专家组成的专业实践委员会（Professional Practice Committee for Diabetes）编写，获得美国心脏病学会（ACC）、美国老年医学会（AGS）、国家肾脏基金会（NKF）、国际儿童与青少年糖尿病学会（ISPAD）和肥胖学会（The Obesity Society）等多个权威学术组织的背书。</w:t>
      </w:r>
    </w:p>
    <w:p>
      <w:pPr>
        <w:spacing w:after="100" w:before="60"/>
      </w:pPr>
      <w:r>
        <w:rPr>
          <w:rFonts w:ascii="Arial" w:cs="Arial" w:eastAsia="Arial" w:hAnsi="Arial"/>
          <w:color w:val="222222"/>
          <w:sz w:val="21"/>
          <w:szCs w:val="21"/>
        </w:rPr>
        <w:t xml:space="preserve">本文将基于ADA 2026指南原文及其官方修订摘要，为您系统、详尽地解读糖尿病的预防、诊断、治疗和管理要点。</w:t>
      </w:r>
    </w:p>
    <w:p>
      <w:r>
        <w:br w:type="page"/>
      </w:r>
    </w:p>
    <w:p>
      <w:pPr>
        <w:pStyle w:val="Heading1"/>
        <w:spacing w:after="180" w:before="360"/>
      </w:pPr>
      <w:r>
        <w:rPr>
          <w:rFonts w:ascii="Arial" w:cs="Arial" w:eastAsia="Arial" w:hAnsi="Arial"/>
          <w:b/>
          <w:bCs/>
          <w:color w:val="3a5239"/>
          <w:sz w:val="32"/>
          <w:szCs w:val="32"/>
        </w:rPr>
        <w:t xml:space="preserve">一、糖尿病概述</w:t>
      </w:r>
    </w:p>
    <w:p>
      <w:pPr>
        <w:pBdr>
          <w:bottom w:val="single" w:color="476647" w:sz="3" w:space="4"/>
        </w:pBdr>
        <w:spacing w:after="200" w:before="0"/>
      </w:pPr>
    </w:p>
    <w:p>
      <w:pPr>
        <w:pStyle w:val="Heading2"/>
        <w:spacing w:after="140" w:before="280"/>
      </w:pPr>
      <w:r>
        <w:rPr>
          <w:rFonts w:ascii="Arial" w:cs="Arial" w:eastAsia="Arial" w:hAnsi="Arial"/>
          <w:b/>
          <w:bCs/>
          <w:color w:val="31432f"/>
          <w:sz w:val="26"/>
          <w:szCs w:val="26"/>
        </w:rPr>
        <w:t xml:space="preserve">1.1 什么是糖尿病</w:t>
      </w:r>
    </w:p>
    <w:p>
      <w:pPr>
        <w:spacing w:after="100" w:before="60"/>
      </w:pPr>
      <w:r>
        <w:rPr>
          <w:rFonts w:ascii="Arial" w:cs="Arial" w:eastAsia="Arial" w:hAnsi="Arial"/>
          <w:color w:val="222222"/>
          <w:sz w:val="21"/>
          <w:szCs w:val="21"/>
        </w:rPr>
        <w:t xml:space="preserve">糖尿病是一组以慢性高血糖为特征的代谢性疾病。其核心病理机制是胰岛素分泌缺陷和/或胰岛素作用障碍，导致碳水化合物、脂肪和蛋白质代谢紊乱。长期未控制的高血糖可引起全身多个器官系统的损伤，包括眼睛、肾脏、神经、心脏和血管。</w:t>
      </w:r>
    </w:p>
    <w:p>
      <w:pPr>
        <w:pStyle w:val="Heading2"/>
        <w:spacing w:after="140" w:before="280"/>
      </w:pPr>
      <w:r>
        <w:rPr>
          <w:rFonts w:ascii="Arial" w:cs="Arial" w:eastAsia="Arial" w:hAnsi="Arial"/>
          <w:b/>
          <w:bCs/>
          <w:color w:val="31432f"/>
          <w:sz w:val="26"/>
          <w:szCs w:val="26"/>
        </w:rPr>
        <w:t xml:space="preserve">1.2 糖尿病的分型</w:t>
      </w:r>
    </w:p>
    <w:p>
      <w:pPr>
        <w:spacing w:after="100" w:before="60"/>
      </w:pPr>
      <w:r>
        <w:rPr>
          <w:rFonts w:ascii="Arial" w:cs="Arial" w:eastAsia="Arial" w:hAnsi="Arial"/>
          <w:color w:val="222222"/>
          <w:sz w:val="21"/>
          <w:szCs w:val="21"/>
        </w:rPr>
        <w:t xml:space="preserve">根据ADA 2026指南，糖尿病主要分为以下类型：</w:t>
      </w:r>
    </w:p>
    <w:p>
      <w:pPr>
        <w:pStyle w:val="ListParagraph"/>
        <w:numPr>
          <w:ilvl w:val="0"/>
          <w:numId w:val="2"/>
        </w:numPr>
        <w:spacing w:after="40" w:before="40"/>
      </w:pPr>
      <w:r>
        <w:rPr>
          <w:rFonts w:ascii="Arial" w:cs="Arial" w:eastAsia="Arial" w:hAnsi="Arial"/>
          <w:b/>
          <w:bCs/>
          <w:color w:val="222222"/>
          <w:sz w:val="21"/>
          <w:szCs w:val="21"/>
        </w:rPr>
        <w:t xml:space="preserve">1型糖尿病（T1D）</w:t>
      </w:r>
      <w:r>
        <w:rPr>
          <w:rFonts w:ascii="Arial" w:cs="Arial" w:eastAsia="Arial" w:hAnsi="Arial"/>
          <w:color w:val="222222"/>
          <w:sz w:val="21"/>
          <w:szCs w:val="21"/>
        </w:rPr>
        <w:t xml:space="preserve">：由自身免疫介导的胰岛β细胞破坏所致，导致绝对胰岛素缺乏。可发生于任何年龄，但多见于儿童和青少年。分为三个阶段：</w:t>
      </w:r>
    </w:p>
    <w:p>
      <w:pPr>
        <w:pStyle w:val="ListParagraph"/>
        <w:numPr>
          <w:ilvl w:val="1"/>
          <w:numId w:val="2"/>
        </w:numPr>
        <w:spacing w:after="40" w:before="40"/>
      </w:pPr>
      <w:r>
        <w:rPr>
          <w:rFonts w:ascii="Arial" w:cs="Arial" w:eastAsia="Arial" w:hAnsi="Arial"/>
          <w:b/>
          <w:bCs/>
          <w:color w:val="222222"/>
          <w:sz w:val="21"/>
          <w:szCs w:val="21"/>
        </w:rPr>
        <w:t xml:space="preserve">阶段1</w:t>
      </w:r>
      <w:r>
        <w:rPr>
          <w:rFonts w:ascii="Arial" w:cs="Arial" w:eastAsia="Arial" w:hAnsi="Arial"/>
          <w:color w:val="222222"/>
          <w:sz w:val="21"/>
          <w:szCs w:val="21"/>
        </w:rPr>
        <w:t xml:space="preserve">：存在≥2种胰岛自身抗体，血糖正常</w:t>
      </w:r>
    </w:p>
    <w:p>
      <w:pPr>
        <w:pStyle w:val="ListParagraph"/>
        <w:numPr>
          <w:ilvl w:val="1"/>
          <w:numId w:val="2"/>
        </w:numPr>
        <w:spacing w:after="40" w:before="40"/>
      </w:pPr>
      <w:r>
        <w:rPr>
          <w:rFonts w:ascii="Arial" w:cs="Arial" w:eastAsia="Arial" w:hAnsi="Arial"/>
          <w:b/>
          <w:bCs/>
          <w:color w:val="222222"/>
          <w:sz w:val="21"/>
          <w:szCs w:val="21"/>
        </w:rPr>
        <w:t xml:space="preserve">阶段2</w:t>
      </w:r>
      <w:r>
        <w:rPr>
          <w:rFonts w:ascii="Arial" w:cs="Arial" w:eastAsia="Arial" w:hAnsi="Arial"/>
          <w:color w:val="222222"/>
          <w:sz w:val="21"/>
          <w:szCs w:val="21"/>
        </w:rPr>
        <w:t xml:space="preserve">：存在胰岛自身抗体，出现血糖异常（糖耐量异常）</w:t>
      </w:r>
    </w:p>
    <w:p>
      <w:pPr>
        <w:pStyle w:val="ListParagraph"/>
        <w:numPr>
          <w:ilvl w:val="1"/>
          <w:numId w:val="2"/>
        </w:numPr>
        <w:spacing w:after="40" w:before="40"/>
      </w:pPr>
      <w:r>
        <w:rPr>
          <w:rFonts w:ascii="Arial" w:cs="Arial" w:eastAsia="Arial" w:hAnsi="Arial"/>
          <w:b/>
          <w:bCs/>
          <w:color w:val="222222"/>
          <w:sz w:val="21"/>
          <w:szCs w:val="21"/>
        </w:rPr>
        <w:t xml:space="preserve">阶段3</w:t>
      </w:r>
      <w:r>
        <w:rPr>
          <w:rFonts w:ascii="Arial" w:cs="Arial" w:eastAsia="Arial" w:hAnsi="Arial"/>
          <w:color w:val="222222"/>
          <w:sz w:val="21"/>
          <w:szCs w:val="21"/>
        </w:rPr>
        <w:t xml:space="preserve">：临床显性糖尿病，出现高血糖症状</w:t>
      </w:r>
    </w:p>
    <w:p>
      <w:pPr>
        <w:pStyle w:val="ListParagraph"/>
        <w:numPr>
          <w:ilvl w:val="0"/>
          <w:numId w:val="2"/>
        </w:numPr>
        <w:spacing w:after="40" w:before="40"/>
      </w:pPr>
      <w:r>
        <w:rPr>
          <w:rFonts w:ascii="Arial" w:cs="Arial" w:eastAsia="Arial" w:hAnsi="Arial"/>
          <w:b/>
          <w:bCs/>
          <w:color w:val="222222"/>
          <w:sz w:val="21"/>
          <w:szCs w:val="21"/>
        </w:rPr>
        <w:t xml:space="preserve">2型糖尿病（T2D）</w:t>
      </w:r>
      <w:r>
        <w:rPr>
          <w:rFonts w:ascii="Arial" w:cs="Arial" w:eastAsia="Arial" w:hAnsi="Arial"/>
          <w:color w:val="222222"/>
          <w:sz w:val="21"/>
          <w:szCs w:val="21"/>
        </w:rPr>
        <w:t xml:space="preserve">：以胰岛素抵抗为主，伴有相对胰岛素分泌不足。占所有糖尿病病例的90%–95%，与肥胖、久坐不动的生活方式和遗传因素密切相关</w:t>
      </w:r>
    </w:p>
    <w:p>
      <w:pPr>
        <w:pStyle w:val="ListParagraph"/>
        <w:numPr>
          <w:ilvl w:val="0"/>
          <w:numId w:val="2"/>
        </w:numPr>
        <w:spacing w:after="40" w:before="40"/>
      </w:pPr>
      <w:r>
        <w:rPr>
          <w:rFonts w:ascii="Arial" w:cs="Arial" w:eastAsia="Arial" w:hAnsi="Arial"/>
          <w:b/>
          <w:bCs/>
          <w:color w:val="222222"/>
          <w:sz w:val="21"/>
          <w:szCs w:val="21"/>
        </w:rPr>
        <w:t xml:space="preserve">妊娠期糖尿病（GDM）</w:t>
      </w:r>
      <w:r>
        <w:rPr>
          <w:rFonts w:ascii="Arial" w:cs="Arial" w:eastAsia="Arial" w:hAnsi="Arial"/>
          <w:color w:val="222222"/>
          <w:sz w:val="21"/>
          <w:szCs w:val="21"/>
        </w:rPr>
        <w:t xml:space="preserve">：妊娠期间首次诊断的糖代谢异常，通常在妊娠24–28周筛查发现</w:t>
      </w:r>
    </w:p>
    <w:p>
      <w:pPr>
        <w:pStyle w:val="ListParagraph"/>
        <w:numPr>
          <w:ilvl w:val="0"/>
          <w:numId w:val="2"/>
        </w:numPr>
        <w:spacing w:after="40" w:before="40"/>
      </w:pPr>
      <w:r>
        <w:rPr>
          <w:rFonts w:ascii="Arial" w:cs="Arial" w:eastAsia="Arial" w:hAnsi="Arial"/>
          <w:b/>
          <w:bCs/>
          <w:color w:val="222222"/>
          <w:sz w:val="21"/>
          <w:szCs w:val="21"/>
        </w:rPr>
        <w:t xml:space="preserve">其他特殊类型</w:t>
      </w:r>
      <w:r>
        <w:rPr>
          <w:rFonts w:ascii="Arial" w:cs="Arial" w:eastAsia="Arial" w:hAnsi="Arial"/>
          <w:color w:val="222222"/>
          <w:sz w:val="21"/>
          <w:szCs w:val="21"/>
        </w:rPr>
        <w:t xml:space="preserve">：</w:t>
      </w:r>
    </w:p>
    <w:p>
      <w:pPr>
        <w:pStyle w:val="ListParagraph"/>
        <w:numPr>
          <w:ilvl w:val="1"/>
          <w:numId w:val="2"/>
        </w:numPr>
        <w:spacing w:after="40" w:before="40"/>
      </w:pPr>
      <w:r>
        <w:rPr>
          <w:rFonts w:ascii="Arial" w:cs="Arial" w:eastAsia="Arial" w:hAnsi="Arial"/>
          <w:color w:val="222222"/>
          <w:sz w:val="21"/>
          <w:szCs w:val="21"/>
        </w:rPr>
        <w:t xml:space="preserve">单基因糖尿病（如MODY、新生儿糖尿病）</w:t>
      </w:r>
    </w:p>
    <w:p>
      <w:pPr>
        <w:pStyle w:val="ListParagraph"/>
        <w:numPr>
          <w:ilvl w:val="1"/>
          <w:numId w:val="2"/>
        </w:numPr>
        <w:spacing w:after="40" w:before="40"/>
      </w:pPr>
      <w:r>
        <w:rPr>
          <w:rFonts w:ascii="Arial" w:cs="Arial" w:eastAsia="Arial" w:hAnsi="Arial"/>
          <w:color w:val="222222"/>
          <w:sz w:val="21"/>
          <w:szCs w:val="21"/>
        </w:rPr>
        <w:t xml:space="preserve">囊性纤维化相关糖尿病（CFRD）</w:t>
      </w:r>
    </w:p>
    <w:p>
      <w:pPr>
        <w:pStyle w:val="ListParagraph"/>
        <w:numPr>
          <w:ilvl w:val="1"/>
          <w:numId w:val="2"/>
        </w:numPr>
        <w:spacing w:after="40" w:before="40"/>
      </w:pPr>
      <w:r>
        <w:rPr>
          <w:rFonts w:ascii="Arial" w:cs="Arial" w:eastAsia="Arial" w:hAnsi="Arial"/>
          <w:color w:val="222222"/>
          <w:sz w:val="21"/>
          <w:szCs w:val="21"/>
        </w:rPr>
        <w:t xml:space="preserve">器官移植后糖尿病（PTDM）</w:t>
      </w:r>
    </w:p>
    <w:p>
      <w:pPr>
        <w:pStyle w:val="ListParagraph"/>
        <w:numPr>
          <w:ilvl w:val="1"/>
          <w:numId w:val="2"/>
        </w:numPr>
        <w:spacing w:after="40" w:before="40"/>
      </w:pPr>
      <w:r>
        <w:rPr>
          <w:rFonts w:ascii="Arial" w:cs="Arial" w:eastAsia="Arial" w:hAnsi="Arial"/>
          <w:color w:val="222222"/>
          <w:sz w:val="21"/>
          <w:szCs w:val="21"/>
        </w:rPr>
        <w:t xml:space="preserve">胰腺外分泌疾病引起的糖尿病</w:t>
      </w:r>
    </w:p>
    <w:p>
      <w:pPr>
        <w:pStyle w:val="ListParagraph"/>
        <w:numPr>
          <w:ilvl w:val="1"/>
          <w:numId w:val="2"/>
        </w:numPr>
        <w:spacing w:after="40" w:before="40"/>
      </w:pPr>
      <w:r>
        <w:rPr>
          <w:rFonts w:ascii="Arial" w:cs="Arial" w:eastAsia="Arial" w:hAnsi="Arial"/>
          <w:color w:val="222222"/>
          <w:sz w:val="21"/>
          <w:szCs w:val="21"/>
        </w:rPr>
        <w:t xml:space="preserve">药物诱导的糖尿病（如糖皮质激素、免疫检查点抑制剂、PI3Kα抑制剂等）</w:t>
      </w:r>
    </w:p>
    <w:p>
      <w:pPr>
        <w:pStyle w:val="Heading2"/>
        <w:spacing w:after="140" w:before="280"/>
      </w:pPr>
      <w:r>
        <w:rPr>
          <w:rFonts w:ascii="Arial" w:cs="Arial" w:eastAsia="Arial" w:hAnsi="Arial"/>
          <w:b/>
          <w:bCs/>
          <w:color w:val="31432f"/>
          <w:sz w:val="26"/>
          <w:szCs w:val="26"/>
        </w:rPr>
        <w:t xml:space="preserve">1.3 糖尿病前期（Prediabetes）</w:t>
      </w:r>
    </w:p>
    <w:p>
      <w:pPr>
        <w:spacing w:after="100" w:before="60"/>
      </w:pPr>
      <w:r>
        <w:rPr>
          <w:rFonts w:ascii="Arial" w:cs="Arial" w:eastAsia="Arial" w:hAnsi="Arial"/>
          <w:color w:val="222222"/>
          <w:sz w:val="21"/>
          <w:szCs w:val="21"/>
        </w:rPr>
        <w:t xml:space="preserve">糖尿病前期是介于正常血糖和糖尿病之间的中间状态，是发展为2型糖尿病的高危阶段。诊断标准包括：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476647"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指标</w:t>
            </w:r>
          </w:p>
        </w:tc>
        <w:tc>
          <w:tcPr>
            <w:tcW w:type="dxa" w:w="2340"/>
            <w:tcBorders>
              <w:top w:val="single" w:color="CCCCCC" w:sz="1"/>
              <w:left w:val="single" w:color="CCCCCC" w:sz="1"/>
              <w:bottom w:val="single" w:color="CCCCCC" w:sz="1"/>
              <w:right w:val="single" w:color="CCCCCC" w:sz="1"/>
            </w:tcBorders>
            <w:shd w:fill="476647"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正常</w:t>
            </w:r>
          </w:p>
        </w:tc>
        <w:tc>
          <w:tcPr>
            <w:tcW w:type="dxa" w:w="2340"/>
            <w:tcBorders>
              <w:top w:val="single" w:color="CCCCCC" w:sz="1"/>
              <w:left w:val="single" w:color="CCCCCC" w:sz="1"/>
              <w:bottom w:val="single" w:color="CCCCCC" w:sz="1"/>
              <w:right w:val="single" w:color="CCCCCC" w:sz="1"/>
            </w:tcBorders>
            <w:shd w:fill="476647"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糖尿病前期</w:t>
            </w:r>
          </w:p>
        </w:tc>
        <w:tc>
          <w:tcPr>
            <w:tcW w:type="dxa" w:w="2340"/>
            <w:tcBorders>
              <w:top w:val="single" w:color="CCCCCC" w:sz="1"/>
              <w:left w:val="single" w:color="CCCCCC" w:sz="1"/>
              <w:bottom w:val="single" w:color="CCCCCC" w:sz="1"/>
              <w:right w:val="single" w:color="CCCCCC" w:sz="1"/>
            </w:tcBorders>
            <w:shd w:fill="476647"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糖尿病</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空腹血糖</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&lt;100 mg/dL (&lt;5.6 mmol/L)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100–125 mg/dL (5.6–6.9 mmol/L)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≥126 mg/dL (≥7.0 mmol/L)</w:t>
            </w:r>
          </w:p>
        </w:tc>
      </w:tr>
      <w:tr>
        <w:tc>
          <w:tcPr>
            <w:tcW w:type="dxa" w:w="234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OGTT 2小时血糖</w:t>
            </w:r>
          </w:p>
        </w:tc>
        <w:tc>
          <w:tcPr>
            <w:tcW w:type="dxa" w:w="234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&lt;140 mg/dL (&lt;7.8 mmol/L)</w:t>
            </w:r>
          </w:p>
        </w:tc>
        <w:tc>
          <w:tcPr>
            <w:tcW w:type="dxa" w:w="234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140–199 mg/dL (7.8–11.0 mmol/L)</w:t>
            </w:r>
          </w:p>
        </w:tc>
        <w:tc>
          <w:tcPr>
            <w:tcW w:type="dxa" w:w="234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≥200 mg/dL (≥11.1 mmol/L)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HbA1c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&lt;5.7%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5.7%–6.4%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≥6.5%</w:t>
            </w:r>
          </w:p>
        </w:tc>
      </w:tr>
    </w:tbl>
    <w:p>
      <w:pPr>
        <w:spacing w:after="80" w:before="80"/>
      </w:pPr>
    </w:p>
    <w:p>
      <w:r>
        <w:br w:type="page"/>
      </w:r>
    </w:p>
    <w:p>
      <w:pPr>
        <w:pStyle w:val="Heading1"/>
        <w:spacing w:after="180" w:before="360"/>
      </w:pPr>
      <w:r>
        <w:rPr>
          <w:rFonts w:ascii="Arial" w:cs="Arial" w:eastAsia="Arial" w:hAnsi="Arial"/>
          <w:b/>
          <w:bCs/>
          <w:color w:val="3a5239"/>
          <w:sz w:val="32"/>
          <w:szCs w:val="32"/>
        </w:rPr>
        <w:t xml:space="preserve">二、ADA 2026 指南核心更新内容</w:t>
      </w:r>
    </w:p>
    <w:p>
      <w:pPr>
        <w:pBdr>
          <w:bottom w:val="single" w:color="476647" w:sz="3" w:space="4"/>
        </w:pBdr>
        <w:spacing w:after="200" w:before="0"/>
      </w:pPr>
    </w:p>
    <w:p>
      <w:pPr>
        <w:pStyle w:val="Heading2"/>
        <w:spacing w:after="140" w:before="280"/>
      </w:pPr>
      <w:r>
        <w:rPr>
          <w:rFonts w:ascii="Arial" w:cs="Arial" w:eastAsia="Arial" w:hAnsi="Arial"/>
          <w:b/>
          <w:bCs/>
          <w:color w:val="31432f"/>
          <w:sz w:val="26"/>
          <w:szCs w:val="26"/>
        </w:rPr>
        <w:t xml:space="preserve">2.1 诊断标准</w:t>
      </w:r>
    </w:p>
    <w:p>
      <w:pPr>
        <w:spacing w:after="100" w:before="60"/>
      </w:pPr>
      <w:r>
        <w:rPr>
          <w:rFonts w:ascii="Arial" w:cs="Arial" w:eastAsia="Arial" w:hAnsi="Arial"/>
          <w:color w:val="222222"/>
          <w:sz w:val="21"/>
          <w:szCs w:val="21"/>
        </w:rPr>
        <w:t xml:space="preserve">ADA 2026指南维持以下糖尿病诊断标准（任一项满足即可诊断，无明确高血糖危象时需重复确认）：</w:t>
      </w:r>
    </w:p>
    <w:p>
      <w:pPr>
        <w:pStyle w:val="ListParagraph"/>
        <w:numPr>
          <w:ilvl w:val="0"/>
          <w:numId w:val="2"/>
        </w:numPr>
        <w:spacing w:after="40" w:before="40"/>
      </w:pPr>
      <w:r>
        <w:rPr>
          <w:rFonts w:ascii="Arial" w:cs="Arial" w:eastAsia="Arial" w:hAnsi="Arial"/>
          <w:b/>
          <w:bCs/>
          <w:color w:val="222222"/>
          <w:sz w:val="21"/>
          <w:szCs w:val="21"/>
        </w:rPr>
        <w:t xml:space="preserve">空腹血糖（FPG）</w:t>
      </w:r>
      <w:r>
        <w:rPr>
          <w:rFonts w:ascii="Arial" w:cs="Arial" w:eastAsia="Arial" w:hAnsi="Arial"/>
          <w:color w:val="222222"/>
          <w:sz w:val="21"/>
          <w:szCs w:val="21"/>
        </w:rPr>
        <w:t xml:space="preserve">：≥126 mg/dL（7.0 mmol/L），空腹定义为至少8小时未摄入热量</w:t>
      </w:r>
    </w:p>
    <w:p>
      <w:pPr>
        <w:pStyle w:val="ListParagraph"/>
        <w:numPr>
          <w:ilvl w:val="0"/>
          <w:numId w:val="2"/>
        </w:numPr>
        <w:spacing w:after="40" w:before="40"/>
      </w:pPr>
      <w:r>
        <w:rPr>
          <w:rFonts w:ascii="Arial" w:cs="Arial" w:eastAsia="Arial" w:hAnsi="Arial"/>
          <w:b/>
          <w:bCs/>
          <w:color w:val="222222"/>
          <w:sz w:val="21"/>
          <w:szCs w:val="21"/>
        </w:rPr>
        <w:t xml:space="preserve">口服葡萄糖耐量试验（OGTT）</w:t>
      </w:r>
      <w:r>
        <w:rPr>
          <w:rFonts w:ascii="Arial" w:cs="Arial" w:eastAsia="Arial" w:hAnsi="Arial"/>
          <w:color w:val="222222"/>
          <w:sz w:val="21"/>
          <w:szCs w:val="21"/>
        </w:rPr>
        <w:t xml:space="preserve">：75g葡萄糖负荷后2小时血糖≥200 mg/dL（11.1 mmol/L）</w:t>
      </w:r>
    </w:p>
    <w:p>
      <w:pPr>
        <w:pStyle w:val="ListParagraph"/>
        <w:numPr>
          <w:ilvl w:val="0"/>
          <w:numId w:val="2"/>
        </w:numPr>
        <w:spacing w:after="40" w:before="40"/>
      </w:pPr>
      <w:r>
        <w:rPr>
          <w:rFonts w:ascii="Arial" w:cs="Arial" w:eastAsia="Arial" w:hAnsi="Arial"/>
          <w:b/>
          <w:bCs/>
          <w:color w:val="222222"/>
          <w:sz w:val="21"/>
          <w:szCs w:val="21"/>
        </w:rPr>
        <w:t xml:space="preserve">糖化血红蛋白（HbA1c）</w:t>
      </w:r>
      <w:r>
        <w:rPr>
          <w:rFonts w:ascii="Arial" w:cs="Arial" w:eastAsia="Arial" w:hAnsi="Arial"/>
          <w:color w:val="222222"/>
          <w:sz w:val="21"/>
          <w:szCs w:val="21"/>
        </w:rPr>
        <w:t xml:space="preserve">：≥6.5%，需使用经NGSP认证且可追溯至DCCT参考测定法的检测方法</w:t>
      </w:r>
    </w:p>
    <w:p>
      <w:pPr>
        <w:pStyle w:val="ListParagraph"/>
        <w:numPr>
          <w:ilvl w:val="0"/>
          <w:numId w:val="2"/>
        </w:numPr>
        <w:spacing w:after="40" w:before="40"/>
      </w:pPr>
      <w:r>
        <w:rPr>
          <w:rFonts w:ascii="Arial" w:cs="Arial" w:eastAsia="Arial" w:hAnsi="Arial"/>
          <w:b/>
          <w:bCs/>
          <w:color w:val="222222"/>
          <w:sz w:val="21"/>
          <w:szCs w:val="21"/>
        </w:rPr>
        <w:t xml:space="preserve">随机血糖</w:t>
      </w:r>
      <w:r>
        <w:rPr>
          <w:rFonts w:ascii="Arial" w:cs="Arial" w:eastAsia="Arial" w:hAnsi="Arial"/>
          <w:color w:val="222222"/>
          <w:sz w:val="21"/>
          <w:szCs w:val="21"/>
        </w:rPr>
        <w:t xml:space="preserve">：≥200 mg/dL（11.1 mmol/L），伴有典型高血糖症状（多饮、多尿、不明原因体重下降）</w:t>
      </w:r>
    </w:p>
    <w:p>
      <w:pPr>
        <w:spacing w:after="100" w:before="60"/>
      </w:pPr>
      <w:r>
        <w:rPr>
          <w:rFonts w:ascii="Arial" w:cs="Arial" w:eastAsia="Arial" w:hAnsi="Arial"/>
          <w:b/>
          <w:bCs/>
          <w:color w:val="222222"/>
          <w:sz w:val="21"/>
          <w:szCs w:val="21"/>
        </w:rPr>
        <w:t xml:space="preserve">2026年新增要点：</w:t>
      </w:r>
    </w:p>
    <w:p>
      <w:pPr>
        <w:pStyle w:val="ListParagraph"/>
        <w:numPr>
          <w:ilvl w:val="0"/>
          <w:numId w:val="2"/>
        </w:numPr>
        <w:spacing w:after="40" w:before="40"/>
      </w:pPr>
      <w:r>
        <w:rPr>
          <w:rFonts w:ascii="Arial" w:cs="Arial" w:eastAsia="Arial" w:hAnsi="Arial"/>
          <w:color w:val="222222"/>
          <w:sz w:val="21"/>
          <w:szCs w:val="21"/>
        </w:rPr>
        <w:t xml:space="preserve">新增关于即时检测（POC）HbA1c用于糖尿病筛查和诊断的指导：仅限于FDA批准用于诊断的设备</w:t>
      </w:r>
    </w:p>
    <w:p>
      <w:pPr>
        <w:pStyle w:val="ListParagraph"/>
        <w:numPr>
          <w:ilvl w:val="0"/>
          <w:numId w:val="2"/>
        </w:numPr>
        <w:spacing w:after="40" w:before="40"/>
      </w:pPr>
      <w:r>
        <w:rPr>
          <w:rFonts w:ascii="Arial" w:cs="Arial" w:eastAsia="Arial" w:hAnsi="Arial"/>
          <w:color w:val="222222"/>
          <w:sz w:val="21"/>
          <w:szCs w:val="21"/>
        </w:rPr>
        <w:t xml:space="preserve">在HbA1c与血糖存在明显不一致时，应考虑血红蛋白变异体、妊娠、G6PD缺乏、HIV等影响因素</w:t>
      </w:r>
    </w:p>
    <w:p>
      <w:pPr>
        <w:pStyle w:val="ListParagraph"/>
        <w:numPr>
          <w:ilvl w:val="0"/>
          <w:numId w:val="2"/>
        </w:numPr>
        <w:spacing w:after="40" w:before="40"/>
      </w:pPr>
      <w:r>
        <w:rPr>
          <w:rFonts w:ascii="Arial" w:cs="Arial" w:eastAsia="Arial" w:hAnsi="Arial"/>
          <w:color w:val="222222"/>
          <w:sz w:val="21"/>
          <w:szCs w:val="21"/>
        </w:rPr>
        <w:t xml:space="preserve">新增药物诱导糖尿病的筛查建议：使用免疫检查点抑制剂（ICI）、PI3Kα抑制剂、mTOR抑制剂的患者需密切监测血糖</w:t>
      </w:r>
    </w:p>
    <w:p>
      <w:pPr>
        <w:pStyle w:val="Heading2"/>
        <w:spacing w:after="140" w:before="280"/>
      </w:pPr>
      <w:r>
        <w:rPr>
          <w:rFonts w:ascii="Arial" w:cs="Arial" w:eastAsia="Arial" w:hAnsi="Arial"/>
          <w:b/>
          <w:bCs/>
          <w:color w:val="31432f"/>
          <w:sz w:val="26"/>
          <w:szCs w:val="26"/>
        </w:rPr>
        <w:t xml:space="preserve">2.2 1型糖尿病的筛查与早期干预</w:t>
      </w:r>
    </w:p>
    <w:p>
      <w:pPr>
        <w:spacing w:after="100" w:before="60"/>
      </w:pPr>
      <w:r>
        <w:rPr>
          <w:rFonts w:ascii="Arial" w:cs="Arial" w:eastAsia="Arial" w:hAnsi="Arial"/>
          <w:color w:val="222222"/>
          <w:sz w:val="21"/>
          <w:szCs w:val="21"/>
        </w:rPr>
        <w:t xml:space="preserve">ADA 2026指南显著加强了对1型糖尿病症状前筛查的指导：</w:t>
      </w:r>
    </w:p>
    <w:p>
      <w:pPr>
        <w:pStyle w:val="ListParagraph"/>
        <w:numPr>
          <w:ilvl w:val="0"/>
          <w:numId w:val="2"/>
        </w:numPr>
        <w:spacing w:after="40" w:before="40"/>
      </w:pPr>
      <w:r>
        <w:rPr>
          <w:rFonts w:ascii="Arial" w:cs="Arial" w:eastAsia="Arial" w:hAnsi="Arial"/>
          <w:b/>
          <w:bCs/>
          <w:color w:val="222222"/>
          <w:sz w:val="21"/>
          <w:szCs w:val="21"/>
        </w:rPr>
        <w:t xml:space="preserve">筛查方法</w:t>
      </w:r>
      <w:r>
        <w:rPr>
          <w:rFonts w:ascii="Arial" w:cs="Arial" w:eastAsia="Arial" w:hAnsi="Arial"/>
          <w:color w:val="222222"/>
          <w:sz w:val="21"/>
          <w:szCs w:val="21"/>
        </w:rPr>
        <w:t xml:space="preserve">：检测针对胰岛素（IA）、谷氨酸脱羧酶（GAD）、胰岛抗原2（IA-2）或锌转运蛋白8（ZnT8）的自身抗体</w:t>
      </w:r>
    </w:p>
    <w:p>
      <w:pPr>
        <w:pStyle w:val="ListParagraph"/>
        <w:numPr>
          <w:ilvl w:val="0"/>
          <w:numId w:val="2"/>
        </w:numPr>
        <w:spacing w:after="40" w:before="40"/>
      </w:pPr>
      <w:r>
        <w:rPr>
          <w:rFonts w:ascii="Arial" w:cs="Arial" w:eastAsia="Arial" w:hAnsi="Arial"/>
          <w:b/>
          <w:bCs/>
          <w:color w:val="222222"/>
          <w:sz w:val="21"/>
          <w:szCs w:val="21"/>
        </w:rPr>
        <w:t xml:space="preserve">筛查对象</w:t>
      </w:r>
      <w:r>
        <w:rPr>
          <w:rFonts w:ascii="Arial" w:cs="Arial" w:eastAsia="Arial" w:hAnsi="Arial"/>
          <w:color w:val="222222"/>
          <w:sz w:val="21"/>
          <w:szCs w:val="21"/>
        </w:rPr>
        <w:t xml:space="preserve">：有1型糖尿病家族史或已知遗传风险升高者</w:t>
      </w:r>
    </w:p>
    <w:p>
      <w:pPr>
        <w:pStyle w:val="ListParagraph"/>
        <w:numPr>
          <w:ilvl w:val="0"/>
          <w:numId w:val="2"/>
        </w:numPr>
        <w:spacing w:after="40" w:before="40"/>
      </w:pPr>
      <w:r>
        <w:rPr>
          <w:rFonts w:ascii="Arial" w:cs="Arial" w:eastAsia="Arial" w:hAnsi="Arial"/>
          <w:b/>
          <w:bCs/>
          <w:color w:val="222222"/>
          <w:sz w:val="21"/>
          <w:szCs w:val="21"/>
        </w:rPr>
        <w:t xml:space="preserve">2026年新增</w:t>
      </w:r>
      <w:r>
        <w:rPr>
          <w:rFonts w:ascii="Arial" w:cs="Arial" w:eastAsia="Arial" w:hAnsi="Arial"/>
          <w:color w:val="222222"/>
          <w:sz w:val="21"/>
          <w:szCs w:val="21"/>
        </w:rPr>
        <w:t xml:space="preserve">：</w:t>
      </w:r>
    </w:p>
    <w:p>
      <w:pPr>
        <w:pStyle w:val="ListParagraph"/>
        <w:numPr>
          <w:ilvl w:val="1"/>
          <w:numId w:val="2"/>
        </w:numPr>
        <w:spacing w:after="40" w:before="40"/>
      </w:pPr>
      <w:r>
        <w:rPr>
          <w:rFonts w:ascii="Arial" w:cs="Arial" w:eastAsia="Arial" w:hAnsi="Arial"/>
          <w:color w:val="222222"/>
          <w:sz w:val="21"/>
          <w:szCs w:val="21"/>
        </w:rPr>
        <w:t xml:space="preserve">单一IA-2抗体阳性者应按类似多抗体阳性者的方式监测，因IA-2自身抗体阳性是独立的进展风险因素</w:t>
      </w:r>
    </w:p>
    <w:p>
      <w:pPr>
        <w:pStyle w:val="ListParagraph"/>
        <w:numPr>
          <w:ilvl w:val="1"/>
          <w:numId w:val="2"/>
        </w:numPr>
        <w:spacing w:after="40" w:before="40"/>
      </w:pPr>
      <w:r>
        <w:rPr>
          <w:rFonts w:ascii="Arial" w:cs="Arial" w:eastAsia="Arial" w:hAnsi="Arial"/>
          <w:color w:val="222222"/>
          <w:sz w:val="21"/>
          <w:szCs w:val="21"/>
        </w:rPr>
        <w:t xml:space="preserve">可考虑使用动态血糖监测（CGM）数据监测症状前1型糖尿病的疾病进展</w:t>
      </w:r>
    </w:p>
    <w:p>
      <w:pPr>
        <w:pStyle w:val="ListParagraph"/>
        <w:numPr>
          <w:ilvl w:val="1"/>
          <w:numId w:val="2"/>
        </w:numPr>
        <w:spacing w:after="40" w:before="40"/>
      </w:pPr>
      <w:r>
        <w:rPr>
          <w:rFonts w:ascii="Arial" w:cs="Arial" w:eastAsia="Arial" w:hAnsi="Arial"/>
          <w:color w:val="222222"/>
          <w:sz w:val="21"/>
          <w:szCs w:val="21"/>
        </w:rPr>
        <w:t xml:space="preserve">多抗体阳性且无显性1型糖尿病者应转诊至专业中心，考虑预防性治疗（如替普利珠单抗teplizumab）</w:t>
      </w:r>
    </w:p>
    <w:p>
      <w:pPr>
        <w:pStyle w:val="Heading2"/>
        <w:spacing w:after="140" w:before="280"/>
      </w:pPr>
      <w:r>
        <w:rPr>
          <w:rFonts w:ascii="Arial" w:cs="Arial" w:eastAsia="Arial" w:hAnsi="Arial"/>
          <w:b/>
          <w:bCs/>
          <w:color w:val="31432f"/>
          <w:sz w:val="26"/>
          <w:szCs w:val="26"/>
        </w:rPr>
        <w:t xml:space="preserve">2.3 血糖控制目标</w:t>
      </w:r>
    </w:p>
    <w:p>
      <w:pPr>
        <w:pStyle w:val="Heading3"/>
        <w:spacing w:after="100" w:before="220"/>
      </w:pPr>
      <w:r>
        <w:rPr>
          <w:rFonts w:ascii="Arial" w:cs="Arial" w:eastAsia="Arial" w:hAnsi="Arial"/>
          <w:b/>
          <w:bCs/>
          <w:color w:val="31432f"/>
          <w:sz w:val="23"/>
          <w:szCs w:val="23"/>
        </w:rPr>
        <w:t xml:space="preserve">2.3.1 HbA1c目标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76647"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人群</w:t>
            </w:r>
          </w:p>
        </w:tc>
        <w:tc>
          <w:tcPr>
            <w:tcW w:type="dxa" w:w="3120"/>
            <w:tcBorders>
              <w:top w:val="single" w:color="CCCCCC" w:sz="1"/>
              <w:left w:val="single" w:color="CCCCCC" w:sz="1"/>
              <w:bottom w:val="single" w:color="CCCCCC" w:sz="1"/>
              <w:right w:val="single" w:color="CCCCCC" w:sz="1"/>
            </w:tcBorders>
            <w:shd w:fill="476647"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HbA1c目标</w:t>
            </w:r>
          </w:p>
        </w:tc>
        <w:tc>
          <w:tcPr>
            <w:tcW w:type="dxa" w:w="3120"/>
            <w:tcBorders>
              <w:top w:val="single" w:color="CCCCCC" w:sz="1"/>
              <w:left w:val="single" w:color="CCCCCC" w:sz="1"/>
              <w:bottom w:val="single" w:color="CCCCCC" w:sz="1"/>
              <w:right w:val="single" w:color="CCCCCC" w:sz="1"/>
            </w:tcBorders>
            <w:shd w:fill="476647"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说明</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大多数非妊娠成人</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&lt;7.0%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已证实可减少微血管并发症</w:t>
            </w:r>
          </w:p>
        </w:tc>
      </w:tr>
      <w:tr>
        <w:tc>
          <w:tcPr>
            <w:tcW w:type="dxa" w:w="312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年轻/健康/低血糖风险低的患者</w:t>
            </w:r>
          </w:p>
        </w:tc>
        <w:tc>
          <w:tcPr>
            <w:tcW w:type="dxa" w:w="312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&lt;6.5%</w:t>
            </w:r>
          </w:p>
        </w:tc>
        <w:tc>
          <w:tcPr>
            <w:tcW w:type="dxa" w:w="312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如不增加显著低血糖风险可考虑</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老年人/多合并症/预期寿命有限者</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&lt;8.0%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避免过度治疗和低血糖</w:t>
            </w:r>
          </w:p>
        </w:tc>
      </w:tr>
      <w:tr>
        <w:tc>
          <w:tcPr>
            <w:tcW w:type="dxa" w:w="312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妊娠期</w:t>
            </w:r>
          </w:p>
        </w:tc>
        <w:tc>
          <w:tcPr>
            <w:tcW w:type="dxa" w:w="312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&lt;6.0%–6.5%</w:t>
            </w:r>
          </w:p>
        </w:tc>
        <w:tc>
          <w:tcPr>
            <w:tcW w:type="dxa" w:w="312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需个体化评估</w:t>
            </w:r>
          </w:p>
        </w:tc>
      </w:tr>
    </w:tbl>
    <w:p>
      <w:pPr>
        <w:spacing w:after="80" w:before="80"/>
      </w:pPr>
    </w:p>
    <w:p>
      <w:pPr>
        <w:pStyle w:val="Heading3"/>
        <w:spacing w:after="100" w:before="220"/>
      </w:pPr>
      <w:r>
        <w:rPr>
          <w:rFonts w:ascii="Arial" w:cs="Arial" w:eastAsia="Arial" w:hAnsi="Arial"/>
          <w:b/>
          <w:bCs/>
          <w:color w:val="31432f"/>
          <w:sz w:val="23"/>
          <w:szCs w:val="23"/>
        </w:rPr>
        <w:t xml:space="preserve">2.3.2 动态血糖监测（CGM）指标</w:t>
      </w:r>
    </w:p>
    <w:p>
      <w:pPr>
        <w:spacing w:after="100" w:before="60"/>
      </w:pPr>
      <w:r>
        <w:rPr>
          <w:rFonts w:ascii="Arial" w:cs="Arial" w:eastAsia="Arial" w:hAnsi="Arial"/>
          <w:color w:val="222222"/>
          <w:sz w:val="21"/>
          <w:szCs w:val="21"/>
        </w:rPr>
        <w:t xml:space="preserve">ADA 2026指南进一步强调CGM指标的重要性：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76647"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CGM指标</w:t>
            </w:r>
          </w:p>
        </w:tc>
        <w:tc>
          <w:tcPr>
            <w:tcW w:type="dxa" w:w="4680"/>
            <w:tcBorders>
              <w:top w:val="single" w:color="CCCCCC" w:sz="1"/>
              <w:left w:val="single" w:color="CCCCCC" w:sz="1"/>
              <w:bottom w:val="single" w:color="CCCCCC" w:sz="1"/>
              <w:right w:val="single" w:color="CCCCCC" w:sz="1"/>
            </w:tcBorders>
            <w:shd w:fill="476647"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目标</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目标范围时间（TIR，70–180 mg/dL）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&gt;70%</w:t>
            </w:r>
          </w:p>
        </w:tc>
      </w:tr>
      <w:tr>
        <w:tc>
          <w:tcPr>
            <w:tcW w:type="dxa" w:w="468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低于目标时间（TBR，&lt;70 mg/dL）</w:t>
            </w:r>
          </w:p>
        </w:tc>
        <w:tc>
          <w:tcPr>
            <w:tcW w:type="dxa" w:w="468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&lt;4%</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严重低血糖时间（&lt;54 mg/dL）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&lt;1%</w:t>
            </w:r>
          </w:p>
        </w:tc>
      </w:tr>
      <w:tr>
        <w:tc>
          <w:tcPr>
            <w:tcW w:type="dxa" w:w="468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高于目标时间（TAR，&gt;180 mg/dL）</w:t>
            </w:r>
          </w:p>
        </w:tc>
        <w:tc>
          <w:tcPr>
            <w:tcW w:type="dxa" w:w="468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&lt;25%</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血糖变异系数（CV）</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≤36%</w:t>
            </w:r>
          </w:p>
        </w:tc>
      </w:tr>
    </w:tbl>
    <w:p>
      <w:pPr>
        <w:spacing w:after="80" w:before="80"/>
      </w:pPr>
    </w:p>
    <w:p>
      <w:pPr>
        <w:pStyle w:val="Heading2"/>
        <w:spacing w:after="140" w:before="280"/>
      </w:pPr>
      <w:r>
        <w:rPr>
          <w:rFonts w:ascii="Arial" w:cs="Arial" w:eastAsia="Arial" w:hAnsi="Arial"/>
          <w:b/>
          <w:bCs/>
          <w:color w:val="31432f"/>
          <w:sz w:val="26"/>
          <w:szCs w:val="26"/>
        </w:rPr>
        <w:t xml:space="preserve">2.4 2026年重大更新一览</w:t>
      </w:r>
    </w:p>
    <w:p>
      <w:pPr>
        <w:spacing w:after="100" w:before="60"/>
      </w:pPr>
      <w:r>
        <w:rPr>
          <w:rFonts w:ascii="Arial" w:cs="Arial" w:eastAsia="Arial" w:hAnsi="Arial"/>
          <w:b/>
          <w:bCs/>
          <w:color w:val="222222"/>
          <w:sz w:val="21"/>
          <w:szCs w:val="21"/>
        </w:rPr>
        <w:t xml:space="preserve">指南采用新的治疗优先级排序——不再"HbA1c优先"，而是"心肾优先"：</w:t>
      </w:r>
    </w:p>
    <w:p>
      <w:pPr>
        <w:pStyle w:val="ListParagraph"/>
        <w:numPr>
          <w:ilvl w:val="0"/>
          <w:numId w:val="3"/>
        </w:numPr>
        <w:spacing w:after="40" w:before="40"/>
      </w:pPr>
      <w:r>
        <w:rPr>
          <w:rFonts w:ascii="Arial" w:cs="Arial" w:eastAsia="Arial" w:hAnsi="Arial"/>
          <w:b/>
          <w:bCs/>
          <w:color w:val="222222"/>
          <w:sz w:val="21"/>
          <w:szCs w:val="21"/>
        </w:rPr>
        <w:t xml:space="preserve">第一优先：心血管和肾脏风险降低</w:t>
      </w:r>
    </w:p>
    <w:p>
      <w:pPr>
        <w:pStyle w:val="ListParagraph"/>
        <w:numPr>
          <w:ilvl w:val="0"/>
          <w:numId w:val="3"/>
        </w:numPr>
        <w:spacing w:after="40" w:before="40"/>
      </w:pPr>
      <w:r>
        <w:rPr>
          <w:rFonts w:ascii="Arial" w:cs="Arial" w:eastAsia="Arial" w:hAnsi="Arial"/>
          <w:b/>
          <w:bCs/>
          <w:color w:val="222222"/>
          <w:sz w:val="21"/>
          <w:szCs w:val="21"/>
        </w:rPr>
        <w:t xml:space="preserve">第二优先：体重管理</w:t>
      </w:r>
    </w:p>
    <w:p>
      <w:pPr>
        <w:pStyle w:val="ListParagraph"/>
        <w:numPr>
          <w:ilvl w:val="0"/>
          <w:numId w:val="3"/>
        </w:numPr>
        <w:spacing w:after="40" w:before="40"/>
      </w:pPr>
      <w:r>
        <w:rPr>
          <w:rFonts w:ascii="Arial" w:cs="Arial" w:eastAsia="Arial" w:hAnsi="Arial"/>
          <w:b/>
          <w:bCs/>
          <w:color w:val="222222"/>
          <w:sz w:val="21"/>
          <w:szCs w:val="21"/>
        </w:rPr>
        <w:t xml:space="preserve">第三优先：血糖控制</w:t>
      </w:r>
    </w:p>
    <w:p>
      <w:pPr>
        <w:pStyle w:val="ListParagraph"/>
        <w:numPr>
          <w:ilvl w:val="0"/>
          <w:numId w:val="3"/>
        </w:numPr>
        <w:spacing w:after="40" w:before="40"/>
      </w:pPr>
      <w:r>
        <w:rPr>
          <w:rFonts w:ascii="Arial" w:cs="Arial" w:eastAsia="Arial" w:hAnsi="Arial"/>
          <w:b/>
          <w:bCs/>
          <w:color w:val="222222"/>
          <w:sz w:val="21"/>
          <w:szCs w:val="21"/>
        </w:rPr>
        <w:t xml:space="preserve">新增焦点：MASLD/MASH（代谢相关脂肪性肝病）管理</w:t>
      </w:r>
    </w:p>
    <w:p>
      <w:r>
        <w:br w:type="page"/>
      </w:r>
    </w:p>
    <w:p>
      <w:pPr>
        <w:pStyle w:val="Heading1"/>
        <w:spacing w:after="180" w:before="360"/>
      </w:pPr>
      <w:r>
        <w:rPr>
          <w:rFonts w:ascii="Arial" w:cs="Arial" w:eastAsia="Arial" w:hAnsi="Arial"/>
          <w:b/>
          <w:bCs/>
          <w:color w:val="3a5239"/>
          <w:sz w:val="32"/>
          <w:szCs w:val="32"/>
        </w:rPr>
        <w:t xml:space="preserve">三、糖尿病预防策略</w:t>
      </w:r>
    </w:p>
    <w:p>
      <w:pPr>
        <w:pBdr>
          <w:bottom w:val="single" w:color="476647" w:sz="3" w:space="4"/>
        </w:pBdr>
        <w:spacing w:after="200" w:before="0"/>
      </w:pPr>
    </w:p>
    <w:p>
      <w:pPr>
        <w:pStyle w:val="Heading2"/>
        <w:spacing w:after="140" w:before="280"/>
      </w:pPr>
      <w:r>
        <w:rPr>
          <w:rFonts w:ascii="Arial" w:cs="Arial" w:eastAsia="Arial" w:hAnsi="Arial"/>
          <w:b/>
          <w:bCs/>
          <w:color w:val="31432f"/>
          <w:sz w:val="26"/>
          <w:szCs w:val="26"/>
        </w:rPr>
        <w:t xml:space="preserve">3.1 一级预防——生活方式干预</w:t>
      </w:r>
    </w:p>
    <w:p>
      <w:pPr>
        <w:spacing w:after="100" w:before="60"/>
      </w:pPr>
      <w:r>
        <w:rPr>
          <w:rFonts w:ascii="Arial" w:cs="Arial" w:eastAsia="Arial" w:hAnsi="Arial"/>
          <w:color w:val="222222"/>
          <w:sz w:val="21"/>
          <w:szCs w:val="21"/>
        </w:rPr>
        <w:t xml:space="preserve">对于糖尿病前期人群，ADA 2026指南强调：</w:t>
      </w:r>
    </w:p>
    <w:p>
      <w:pPr>
        <w:pStyle w:val="ListParagraph"/>
        <w:numPr>
          <w:ilvl w:val="0"/>
          <w:numId w:val="2"/>
        </w:numPr>
        <w:spacing w:after="40" w:before="40"/>
      </w:pPr>
      <w:r>
        <w:rPr>
          <w:rFonts w:ascii="Arial" w:cs="Arial" w:eastAsia="Arial" w:hAnsi="Arial"/>
          <w:b/>
          <w:bCs/>
          <w:color w:val="222222"/>
          <w:sz w:val="21"/>
          <w:szCs w:val="21"/>
        </w:rPr>
        <w:t xml:space="preserve">体重管理</w:t>
      </w:r>
      <w:r>
        <w:rPr>
          <w:rFonts w:ascii="Arial" w:cs="Arial" w:eastAsia="Arial" w:hAnsi="Arial"/>
          <w:color w:val="222222"/>
          <w:sz w:val="21"/>
          <w:szCs w:val="21"/>
        </w:rPr>
        <w:t xml:space="preserve">：转诊至糖尿病预防计划（DPP），目标为实现并维持初始体重减轻</w:t>
      </w:r>
      <w:r>
        <w:rPr>
          <w:rFonts w:ascii="Arial" w:cs="Arial" w:eastAsia="Arial" w:hAnsi="Arial"/>
          <w:b/>
          <w:bCs/>
          <w:color w:val="222222"/>
          <w:sz w:val="21"/>
          <w:szCs w:val="21"/>
        </w:rPr>
        <w:t xml:space="preserve">至少5%–7%</w:t>
      </w:r>
    </w:p>
    <w:p>
      <w:pPr>
        <w:pStyle w:val="ListParagraph"/>
        <w:numPr>
          <w:ilvl w:val="0"/>
          <w:numId w:val="2"/>
        </w:numPr>
        <w:spacing w:after="40" w:before="40"/>
      </w:pPr>
      <w:r>
        <w:rPr>
          <w:rFonts w:ascii="Arial" w:cs="Arial" w:eastAsia="Arial" w:hAnsi="Arial"/>
          <w:b/>
          <w:bCs/>
          <w:color w:val="222222"/>
          <w:sz w:val="21"/>
          <w:szCs w:val="21"/>
        </w:rPr>
        <w:t xml:space="preserve">饮食模式</w:t>
      </w:r>
      <w:r>
        <w:rPr>
          <w:rFonts w:ascii="Arial" w:cs="Arial" w:eastAsia="Arial" w:hAnsi="Arial"/>
          <w:color w:val="222222"/>
          <w:sz w:val="21"/>
          <w:szCs w:val="21"/>
        </w:rPr>
        <w:t xml:space="preserve">：2026年特别推荐具有最强证据基础的饮食模式预防2型糖尿病：</w:t>
      </w:r>
    </w:p>
    <w:p>
      <w:pPr>
        <w:pStyle w:val="ListParagraph"/>
        <w:numPr>
          <w:ilvl w:val="1"/>
          <w:numId w:val="2"/>
        </w:numPr>
        <w:spacing w:after="40" w:before="40"/>
      </w:pPr>
      <w:r>
        <w:rPr>
          <w:rFonts w:ascii="Arial" w:cs="Arial" w:eastAsia="Arial" w:hAnsi="Arial"/>
          <w:b/>
          <w:bCs/>
          <w:color w:val="222222"/>
          <w:sz w:val="21"/>
          <w:szCs w:val="21"/>
        </w:rPr>
        <w:t xml:space="preserve">地中海饮食</w:t>
      </w:r>
      <w:r>
        <w:rPr>
          <w:rFonts w:ascii="Arial" w:cs="Arial" w:eastAsia="Arial" w:hAnsi="Arial"/>
          <w:color w:val="222222"/>
          <w:sz w:val="21"/>
          <w:szCs w:val="21"/>
        </w:rPr>
        <w:t xml:space="preserve">：富含橄榄油、坚果、鱼类、全谷物、蔬果</w:t>
      </w:r>
    </w:p>
    <w:p>
      <w:pPr>
        <w:pStyle w:val="ListParagraph"/>
        <w:numPr>
          <w:ilvl w:val="1"/>
          <w:numId w:val="2"/>
        </w:numPr>
        <w:spacing w:after="40" w:before="40"/>
      </w:pPr>
      <w:r>
        <w:rPr>
          <w:rFonts w:ascii="Arial" w:cs="Arial" w:eastAsia="Arial" w:hAnsi="Arial"/>
          <w:b/>
          <w:bCs/>
          <w:color w:val="222222"/>
          <w:sz w:val="21"/>
          <w:szCs w:val="21"/>
        </w:rPr>
        <w:t xml:space="preserve">低碳水化合物饮食</w:t>
      </w:r>
      <w:r>
        <w:rPr>
          <w:rFonts w:ascii="Arial" w:cs="Arial" w:eastAsia="Arial" w:hAnsi="Arial"/>
          <w:color w:val="222222"/>
          <w:sz w:val="21"/>
          <w:szCs w:val="21"/>
        </w:rPr>
        <w:t xml:space="preserve">：限制精制碳水化合物摄入</w:t>
      </w:r>
    </w:p>
    <w:p>
      <w:pPr>
        <w:pStyle w:val="ListParagraph"/>
        <w:numPr>
          <w:ilvl w:val="0"/>
          <w:numId w:val="2"/>
        </w:numPr>
        <w:spacing w:after="40" w:before="40"/>
      </w:pPr>
      <w:r>
        <w:rPr>
          <w:rFonts w:ascii="Arial" w:cs="Arial" w:eastAsia="Arial" w:hAnsi="Arial"/>
          <w:b/>
          <w:bCs/>
          <w:color w:val="222222"/>
          <w:sz w:val="21"/>
          <w:szCs w:val="21"/>
        </w:rPr>
        <w:t xml:space="preserve">规律运动</w:t>
      </w:r>
      <w:r>
        <w:rPr>
          <w:rFonts w:ascii="Arial" w:cs="Arial" w:eastAsia="Arial" w:hAnsi="Arial"/>
          <w:color w:val="222222"/>
          <w:sz w:val="21"/>
          <w:szCs w:val="21"/>
        </w:rPr>
        <w:t xml:space="preserve">：每周至少</w:t>
      </w:r>
      <w:r>
        <w:rPr>
          <w:rFonts w:ascii="Arial" w:cs="Arial" w:eastAsia="Arial" w:hAnsi="Arial"/>
          <w:b/>
          <w:bCs/>
          <w:color w:val="222222"/>
          <w:sz w:val="21"/>
          <w:szCs w:val="21"/>
        </w:rPr>
        <w:t xml:space="preserve">150分钟</w:t>
      </w:r>
      <w:r>
        <w:rPr>
          <w:rFonts w:ascii="Arial" w:cs="Arial" w:eastAsia="Arial" w:hAnsi="Arial"/>
          <w:color w:val="222222"/>
          <w:sz w:val="21"/>
          <w:szCs w:val="21"/>
        </w:rPr>
        <w:t xml:space="preserve">中等强度有氧运动（如快走），或</w:t>
      </w:r>
      <w:r>
        <w:rPr>
          <w:rFonts w:ascii="Arial" w:cs="Arial" w:eastAsia="Arial" w:hAnsi="Arial"/>
          <w:b/>
          <w:bCs/>
          <w:color w:val="222222"/>
          <w:sz w:val="21"/>
          <w:szCs w:val="21"/>
        </w:rPr>
        <w:t xml:space="preserve">75分钟</w:t>
      </w:r>
      <w:r>
        <w:rPr>
          <w:rFonts w:ascii="Arial" w:cs="Arial" w:eastAsia="Arial" w:hAnsi="Arial"/>
          <w:color w:val="222222"/>
          <w:sz w:val="21"/>
          <w:szCs w:val="21"/>
        </w:rPr>
        <w:t xml:space="preserve">高强度运动</w:t>
      </w:r>
    </w:p>
    <w:p>
      <w:pPr>
        <w:pStyle w:val="ListParagraph"/>
        <w:numPr>
          <w:ilvl w:val="0"/>
          <w:numId w:val="2"/>
        </w:numPr>
        <w:spacing w:after="40" w:before="40"/>
      </w:pPr>
      <w:r>
        <w:rPr>
          <w:rFonts w:ascii="Arial" w:cs="Arial" w:eastAsia="Arial" w:hAnsi="Arial"/>
          <w:b/>
          <w:bCs/>
          <w:color w:val="222222"/>
          <w:sz w:val="21"/>
          <w:szCs w:val="21"/>
        </w:rPr>
        <w:t xml:space="preserve">戒烟</w:t>
      </w:r>
      <w:r>
        <w:rPr>
          <w:rFonts w:ascii="Arial" w:cs="Arial" w:eastAsia="Arial" w:hAnsi="Arial"/>
          <w:color w:val="222222"/>
          <w:sz w:val="21"/>
          <w:szCs w:val="21"/>
        </w:rPr>
        <w:t xml:space="preserve">：2026年新增电子烟/雾化器使用的评估和戒除建议</w:t>
      </w:r>
    </w:p>
    <w:p>
      <w:pPr>
        <w:pStyle w:val="ListParagraph"/>
        <w:numPr>
          <w:ilvl w:val="0"/>
          <w:numId w:val="2"/>
        </w:numPr>
        <w:spacing w:after="40" w:before="40"/>
      </w:pPr>
      <w:r>
        <w:rPr>
          <w:rFonts w:ascii="Arial" w:cs="Arial" w:eastAsia="Arial" w:hAnsi="Arial"/>
          <w:b/>
          <w:bCs/>
          <w:color w:val="222222"/>
          <w:sz w:val="21"/>
          <w:szCs w:val="21"/>
        </w:rPr>
        <w:t xml:space="preserve">技术辅助</w:t>
      </w:r>
      <w:r>
        <w:rPr>
          <w:rFonts w:ascii="Arial" w:cs="Arial" w:eastAsia="Arial" w:hAnsi="Arial"/>
          <w:color w:val="222222"/>
          <w:sz w:val="21"/>
          <w:szCs w:val="21"/>
        </w:rPr>
        <w:t xml:space="preserve">：经认证的糖尿病预防计划可通过智能手机、网络应用和远程医疗方式提供</w:t>
      </w:r>
    </w:p>
    <w:p>
      <w:pPr>
        <w:pStyle w:val="Heading2"/>
        <w:spacing w:after="140" w:before="280"/>
      </w:pPr>
      <w:r>
        <w:rPr>
          <w:rFonts w:ascii="Arial" w:cs="Arial" w:eastAsia="Arial" w:hAnsi="Arial"/>
          <w:b/>
          <w:bCs/>
          <w:color w:val="31432f"/>
          <w:sz w:val="26"/>
          <w:szCs w:val="26"/>
        </w:rPr>
        <w:t xml:space="preserve">3.2 药物预防</w:t>
      </w:r>
    </w:p>
    <w:p>
      <w:pPr>
        <w:pStyle w:val="ListParagraph"/>
        <w:numPr>
          <w:ilvl w:val="0"/>
          <w:numId w:val="2"/>
        </w:numPr>
        <w:spacing w:after="40" w:before="40"/>
      </w:pPr>
      <w:r>
        <w:rPr>
          <w:rFonts w:ascii="Arial" w:cs="Arial" w:eastAsia="Arial" w:hAnsi="Arial"/>
          <w:b/>
          <w:bCs/>
          <w:color w:val="222222"/>
          <w:sz w:val="21"/>
          <w:szCs w:val="21"/>
        </w:rPr>
        <w:t xml:space="preserve">二甲双胍</w:t>
      </w:r>
      <w:r>
        <w:rPr>
          <w:rFonts w:ascii="Arial" w:cs="Arial" w:eastAsia="Arial" w:hAnsi="Arial"/>
          <w:color w:val="222222"/>
          <w:sz w:val="21"/>
          <w:szCs w:val="21"/>
        </w:rPr>
        <w:t xml:space="preserve">：可考虑用于BMI≥35 kg/m²、年龄&lt;60岁或有妊娠期糖尿病史的高危糖尿病前期个体</w:t>
      </w:r>
    </w:p>
    <w:p>
      <w:pPr>
        <w:pStyle w:val="ListParagraph"/>
        <w:numPr>
          <w:ilvl w:val="0"/>
          <w:numId w:val="2"/>
        </w:numPr>
        <w:spacing w:after="40" w:before="40"/>
      </w:pPr>
      <w:r>
        <w:rPr>
          <w:rFonts w:ascii="Arial" w:cs="Arial" w:eastAsia="Arial" w:hAnsi="Arial"/>
          <w:b/>
          <w:bCs/>
          <w:color w:val="222222"/>
          <w:sz w:val="21"/>
          <w:szCs w:val="21"/>
        </w:rPr>
        <w:t xml:space="preserve">2026年新增</w:t>
      </w:r>
      <w:r>
        <w:rPr>
          <w:rFonts w:ascii="Arial" w:cs="Arial" w:eastAsia="Arial" w:hAnsi="Arial"/>
          <w:color w:val="222222"/>
          <w:sz w:val="21"/>
          <w:szCs w:val="21"/>
        </w:rPr>
        <w:t xml:space="preserve">：</w:t>
      </w:r>
    </w:p>
    <w:p>
      <w:pPr>
        <w:pStyle w:val="ListParagraph"/>
        <w:numPr>
          <w:ilvl w:val="1"/>
          <w:numId w:val="2"/>
        </w:numPr>
        <w:spacing w:after="40" w:before="40"/>
      </w:pPr>
      <w:r>
        <w:rPr>
          <w:rFonts w:ascii="Arial" w:cs="Arial" w:eastAsia="Arial" w:hAnsi="Arial"/>
          <w:color w:val="222222"/>
          <w:sz w:val="21"/>
          <w:szCs w:val="21"/>
        </w:rPr>
        <w:t xml:space="preserve">考虑使用二甲双胍预防接受PI3Kα抑制剂（如alpelisib、inavolisib）治疗的高危个体的高血糖</w:t>
      </w:r>
    </w:p>
    <w:p>
      <w:pPr>
        <w:pStyle w:val="ListParagraph"/>
        <w:numPr>
          <w:ilvl w:val="1"/>
          <w:numId w:val="2"/>
        </w:numPr>
        <w:spacing w:after="40" w:before="40"/>
      </w:pPr>
      <w:r>
        <w:rPr>
          <w:rFonts w:ascii="Arial" w:cs="Arial" w:eastAsia="Arial" w:hAnsi="Arial"/>
          <w:color w:val="222222"/>
          <w:sz w:val="21"/>
          <w:szCs w:val="21"/>
        </w:rPr>
        <w:t xml:space="preserve">考虑使用二甲双胍预防接受大剂量糖皮质激素治疗的高危个体的高血糖</w:t>
      </w:r>
    </w:p>
    <w:p>
      <w:pPr>
        <w:pStyle w:val="Heading2"/>
        <w:spacing w:after="140" w:before="280"/>
      </w:pPr>
      <w:r>
        <w:rPr>
          <w:rFonts w:ascii="Arial" w:cs="Arial" w:eastAsia="Arial" w:hAnsi="Arial"/>
          <w:b/>
          <w:bCs/>
          <w:color w:val="31432f"/>
          <w:sz w:val="26"/>
          <w:szCs w:val="26"/>
        </w:rPr>
        <w:t xml:space="preserve">3.3 高危人群筛查</w:t>
      </w:r>
    </w:p>
    <w:p>
      <w:pPr>
        <w:spacing w:after="100" w:before="60"/>
      </w:pPr>
      <w:r>
        <w:rPr>
          <w:rFonts w:ascii="Arial" w:cs="Arial" w:eastAsia="Arial" w:hAnsi="Arial"/>
          <w:color w:val="222222"/>
          <w:sz w:val="21"/>
          <w:szCs w:val="21"/>
        </w:rPr>
        <w:t xml:space="preserve">ADA 2026建议以下人群进行筛查：</w:t>
      </w:r>
    </w:p>
    <w:p>
      <w:pPr>
        <w:pStyle w:val="ListParagraph"/>
        <w:numPr>
          <w:ilvl w:val="0"/>
          <w:numId w:val="2"/>
        </w:numPr>
        <w:spacing w:after="40" w:before="40"/>
      </w:pPr>
      <w:r>
        <w:rPr>
          <w:rFonts w:ascii="Arial" w:cs="Arial" w:eastAsia="Arial" w:hAnsi="Arial"/>
          <w:color w:val="222222"/>
          <w:sz w:val="21"/>
          <w:szCs w:val="21"/>
        </w:rPr>
        <w:t xml:space="preserve">任何年龄的超重或肥胖（BMI≥25 kg/m²；亚裔≥23 kg/m²）且有≥1个危险因素的成人</w:t>
      </w:r>
    </w:p>
    <w:p>
      <w:pPr>
        <w:pStyle w:val="ListParagraph"/>
        <w:numPr>
          <w:ilvl w:val="0"/>
          <w:numId w:val="2"/>
        </w:numPr>
        <w:spacing w:after="40" w:before="40"/>
      </w:pPr>
      <w:r>
        <w:rPr>
          <w:rFonts w:ascii="Arial" w:cs="Arial" w:eastAsia="Arial" w:hAnsi="Arial"/>
          <w:color w:val="222222"/>
          <w:sz w:val="21"/>
          <w:szCs w:val="21"/>
        </w:rPr>
        <w:t xml:space="preserve">所有≥35岁成人</w:t>
      </w:r>
    </w:p>
    <w:p>
      <w:pPr>
        <w:pStyle w:val="ListParagraph"/>
        <w:numPr>
          <w:ilvl w:val="0"/>
          <w:numId w:val="2"/>
        </w:numPr>
        <w:spacing w:after="40" w:before="40"/>
      </w:pPr>
      <w:r>
        <w:rPr>
          <w:rFonts w:ascii="Arial" w:cs="Arial" w:eastAsia="Arial" w:hAnsi="Arial"/>
          <w:color w:val="222222"/>
          <w:sz w:val="21"/>
          <w:szCs w:val="21"/>
        </w:rPr>
        <w:t xml:space="preserve">有妊娠期糖尿病史的女性：产后4–12周及此后每1–3年终身筛查</w:t>
      </w:r>
    </w:p>
    <w:p>
      <w:pPr>
        <w:pStyle w:val="ListParagraph"/>
        <w:numPr>
          <w:ilvl w:val="0"/>
          <w:numId w:val="2"/>
        </w:numPr>
        <w:spacing w:after="40" w:before="40"/>
      </w:pPr>
      <w:r>
        <w:rPr>
          <w:rFonts w:ascii="Arial" w:cs="Arial" w:eastAsia="Arial" w:hAnsi="Arial"/>
          <w:color w:val="222222"/>
          <w:sz w:val="21"/>
          <w:szCs w:val="21"/>
        </w:rPr>
        <w:t xml:space="preserve">使用抗精神病药物、他汀类药物、噻嗪类利尿剂等可能升高血糖的药物的患者</w:t>
      </w:r>
    </w:p>
    <w:p>
      <w:pPr>
        <w:pStyle w:val="ListParagraph"/>
        <w:numPr>
          <w:ilvl w:val="0"/>
          <w:numId w:val="2"/>
        </w:numPr>
        <w:spacing w:after="40" w:before="40"/>
      </w:pPr>
      <w:r>
        <w:rPr>
          <w:rFonts w:ascii="Arial" w:cs="Arial" w:eastAsia="Arial" w:hAnsi="Arial"/>
          <w:color w:val="222222"/>
          <w:sz w:val="21"/>
          <w:szCs w:val="21"/>
        </w:rPr>
        <w:t xml:space="preserve">HIV感染者</w:t>
      </w:r>
    </w:p>
    <w:p>
      <w:pPr>
        <w:pStyle w:val="ListParagraph"/>
        <w:numPr>
          <w:ilvl w:val="0"/>
          <w:numId w:val="2"/>
        </w:numPr>
        <w:spacing w:after="40" w:before="40"/>
      </w:pPr>
      <w:r>
        <w:rPr>
          <w:rFonts w:ascii="Arial" w:cs="Arial" w:eastAsia="Arial" w:hAnsi="Arial"/>
          <w:color w:val="222222"/>
          <w:sz w:val="21"/>
          <w:szCs w:val="21"/>
        </w:rPr>
        <w:t xml:space="preserve">儿童/青少年：青春期后或10岁后（取较早者），BMI≥85百分位且有≥1个危险因素</w:t>
      </w:r>
    </w:p>
    <w:p>
      <w:r>
        <w:br w:type="page"/>
      </w:r>
    </w:p>
    <w:p>
      <w:pPr>
        <w:pStyle w:val="Heading1"/>
        <w:spacing w:after="180" w:before="360"/>
      </w:pPr>
      <w:r>
        <w:rPr>
          <w:rFonts w:ascii="Arial" w:cs="Arial" w:eastAsia="Arial" w:hAnsi="Arial"/>
          <w:b/>
          <w:bCs/>
          <w:color w:val="3a5239"/>
          <w:sz w:val="32"/>
          <w:szCs w:val="32"/>
        </w:rPr>
        <w:t xml:space="preserve">四、糖尿病综合管理</w:t>
      </w:r>
    </w:p>
    <w:p>
      <w:pPr>
        <w:pBdr>
          <w:bottom w:val="single" w:color="476647" w:sz="3" w:space="4"/>
        </w:pBdr>
        <w:spacing w:after="200" w:before="0"/>
      </w:pPr>
    </w:p>
    <w:p>
      <w:pPr>
        <w:pStyle w:val="Heading2"/>
        <w:spacing w:after="140" w:before="280"/>
      </w:pPr>
      <w:r>
        <w:rPr>
          <w:rFonts w:ascii="Arial" w:cs="Arial" w:eastAsia="Arial" w:hAnsi="Arial"/>
          <w:b/>
          <w:bCs/>
          <w:color w:val="31432f"/>
          <w:sz w:val="26"/>
          <w:szCs w:val="26"/>
        </w:rPr>
        <w:t xml:space="preserve">4.1 以人为中心的综合照护</w:t>
      </w:r>
    </w:p>
    <w:p>
      <w:pPr>
        <w:spacing w:after="100" w:before="60"/>
      </w:pPr>
      <w:r>
        <w:rPr>
          <w:rFonts w:ascii="Arial" w:cs="Arial" w:eastAsia="Arial" w:hAnsi="Arial"/>
          <w:color w:val="222222"/>
          <w:sz w:val="21"/>
          <w:szCs w:val="21"/>
        </w:rPr>
        <w:t xml:space="preserve">ADA 2026强调</w:t>
      </w:r>
      <w:r>
        <w:rPr>
          <w:rFonts w:ascii="Arial" w:cs="Arial" w:eastAsia="Arial" w:hAnsi="Arial"/>
          <w:b/>
          <w:bCs/>
          <w:color w:val="222222"/>
          <w:sz w:val="21"/>
          <w:szCs w:val="21"/>
        </w:rPr>
        <w:t xml:space="preserve">以人为中心、共享决策</w:t>
      </w:r>
      <w:r>
        <w:rPr>
          <w:rFonts w:ascii="Arial" w:cs="Arial" w:eastAsia="Arial" w:hAnsi="Arial"/>
          <w:color w:val="222222"/>
          <w:sz w:val="21"/>
          <w:szCs w:val="21"/>
        </w:rPr>
        <w:t xml:space="preserve">的照护模式：</w:t>
      </w:r>
    </w:p>
    <w:p>
      <w:pPr>
        <w:pStyle w:val="ListParagraph"/>
        <w:numPr>
          <w:ilvl w:val="0"/>
          <w:numId w:val="2"/>
        </w:numPr>
        <w:spacing w:after="40" w:before="40"/>
      </w:pPr>
      <w:r>
        <w:rPr>
          <w:rFonts w:ascii="Arial" w:cs="Arial" w:eastAsia="Arial" w:hAnsi="Arial"/>
          <w:color w:val="222222"/>
          <w:sz w:val="21"/>
          <w:szCs w:val="21"/>
        </w:rPr>
        <w:t xml:space="preserve">基于个人价值观、偏好、预后、合并症和经济状况进行共享决策</w:t>
      </w:r>
    </w:p>
    <w:p>
      <w:pPr>
        <w:pStyle w:val="ListParagraph"/>
        <w:numPr>
          <w:ilvl w:val="0"/>
          <w:numId w:val="2"/>
        </w:numPr>
        <w:spacing w:after="40" w:before="40"/>
      </w:pPr>
      <w:r>
        <w:rPr>
          <w:rFonts w:ascii="Arial" w:cs="Arial" w:eastAsia="Arial" w:hAnsi="Arial"/>
          <w:color w:val="222222"/>
          <w:sz w:val="21"/>
          <w:szCs w:val="21"/>
        </w:rPr>
        <w:t xml:space="preserve">评估社会健康决定因素（SDOH）：食物不安全、住房不安全、经济障碍、医疗可及性</w:t>
      </w:r>
    </w:p>
    <w:p>
      <w:pPr>
        <w:pStyle w:val="ListParagraph"/>
        <w:numPr>
          <w:ilvl w:val="0"/>
          <w:numId w:val="2"/>
        </w:numPr>
        <w:spacing w:after="40" w:before="40"/>
      </w:pPr>
      <w:r>
        <w:rPr>
          <w:rFonts w:ascii="Arial" w:cs="Arial" w:eastAsia="Arial" w:hAnsi="Arial"/>
          <w:color w:val="222222"/>
          <w:sz w:val="21"/>
          <w:szCs w:val="21"/>
        </w:rPr>
        <w:t xml:space="preserve">组建多学科团队：医生、护理人员、糖尿病教育者、营养师、药剂师、心理健康专家</w:t>
      </w:r>
    </w:p>
    <w:p>
      <w:pPr>
        <w:pStyle w:val="ListParagraph"/>
        <w:numPr>
          <w:ilvl w:val="0"/>
          <w:numId w:val="2"/>
        </w:numPr>
        <w:spacing w:after="40" w:before="40"/>
      </w:pPr>
      <w:r>
        <w:rPr>
          <w:rFonts w:ascii="Arial" w:cs="Arial" w:eastAsia="Arial" w:hAnsi="Arial"/>
          <w:color w:val="222222"/>
          <w:sz w:val="21"/>
          <w:szCs w:val="21"/>
        </w:rPr>
        <w:t xml:space="preserve">2026年新增：可考虑数字自我管理工具或教练提供辅助支持</w:t>
      </w:r>
    </w:p>
    <w:p>
      <w:pPr>
        <w:pStyle w:val="Heading2"/>
        <w:spacing w:after="140" w:before="280"/>
      </w:pPr>
      <w:r>
        <w:rPr>
          <w:rFonts w:ascii="Arial" w:cs="Arial" w:eastAsia="Arial" w:hAnsi="Arial"/>
          <w:b/>
          <w:bCs/>
          <w:color w:val="31432f"/>
          <w:sz w:val="26"/>
          <w:szCs w:val="26"/>
        </w:rPr>
        <w:t xml:space="preserve">4.2 饮食管理</w:t>
      </w:r>
    </w:p>
    <w:p>
      <w:pPr>
        <w:spacing w:after="100" w:before="60"/>
      </w:pPr>
      <w:r>
        <w:rPr>
          <w:rFonts w:ascii="Arial" w:cs="Arial" w:eastAsia="Arial" w:hAnsi="Arial"/>
          <w:color w:val="222222"/>
          <w:sz w:val="21"/>
          <w:szCs w:val="21"/>
        </w:rPr>
        <w:t xml:space="preserve">ADA 2026对营养治疗的建议更加个体化和灵活：</w:t>
      </w:r>
    </w:p>
    <w:p>
      <w:pPr>
        <w:pStyle w:val="ListParagraph"/>
        <w:numPr>
          <w:ilvl w:val="0"/>
          <w:numId w:val="2"/>
        </w:numPr>
        <w:spacing w:after="40" w:before="40"/>
      </w:pPr>
      <w:r>
        <w:rPr>
          <w:rFonts w:ascii="Arial" w:cs="Arial" w:eastAsia="Arial" w:hAnsi="Arial"/>
          <w:b/>
          <w:bCs/>
          <w:color w:val="222222"/>
          <w:sz w:val="21"/>
          <w:szCs w:val="21"/>
        </w:rPr>
        <w:t xml:space="preserve">没有"一刀切"的饮食方案</w:t>
      </w:r>
      <w:r>
        <w:rPr>
          <w:rFonts w:ascii="Arial" w:cs="Arial" w:eastAsia="Arial" w:hAnsi="Arial"/>
          <w:color w:val="222222"/>
          <w:sz w:val="21"/>
          <w:szCs w:val="21"/>
        </w:rPr>
        <w:t xml:space="preserve">——应根据个人偏好、文化背景和营养需求制定</w:t>
      </w:r>
    </w:p>
    <w:p>
      <w:pPr>
        <w:pStyle w:val="ListParagraph"/>
        <w:numPr>
          <w:ilvl w:val="0"/>
          <w:numId w:val="2"/>
        </w:numPr>
        <w:spacing w:after="40" w:before="40"/>
      </w:pPr>
      <w:r>
        <w:rPr>
          <w:rFonts w:ascii="Arial" w:cs="Arial" w:eastAsia="Arial" w:hAnsi="Arial"/>
          <w:b/>
          <w:bCs/>
          <w:color w:val="222222"/>
          <w:sz w:val="21"/>
          <w:szCs w:val="21"/>
        </w:rPr>
        <w:t xml:space="preserve">推荐的饮食模式</w:t>
      </w:r>
      <w:r>
        <w:rPr>
          <w:rFonts w:ascii="Arial" w:cs="Arial" w:eastAsia="Arial" w:hAnsi="Arial"/>
          <w:color w:val="222222"/>
          <w:sz w:val="21"/>
          <w:szCs w:val="21"/>
        </w:rPr>
        <w:t xml:space="preserve">（均有RCT证据支持）：</w:t>
      </w:r>
    </w:p>
    <w:p>
      <w:pPr>
        <w:pStyle w:val="ListParagraph"/>
        <w:numPr>
          <w:ilvl w:val="1"/>
          <w:numId w:val="2"/>
        </w:numPr>
        <w:spacing w:after="40" w:before="40"/>
      </w:pPr>
      <w:r>
        <w:rPr>
          <w:rFonts w:ascii="Arial" w:cs="Arial" w:eastAsia="Arial" w:hAnsi="Arial"/>
          <w:color w:val="222222"/>
          <w:sz w:val="21"/>
          <w:szCs w:val="21"/>
        </w:rPr>
        <w:t xml:space="preserve">地中海饮食</w:t>
      </w:r>
    </w:p>
    <w:p>
      <w:pPr>
        <w:pStyle w:val="ListParagraph"/>
        <w:numPr>
          <w:ilvl w:val="1"/>
          <w:numId w:val="2"/>
        </w:numPr>
        <w:spacing w:after="40" w:before="40"/>
      </w:pPr>
      <w:r>
        <w:rPr>
          <w:rFonts w:ascii="Arial" w:cs="Arial" w:eastAsia="Arial" w:hAnsi="Arial"/>
          <w:color w:val="222222"/>
          <w:sz w:val="21"/>
          <w:szCs w:val="21"/>
        </w:rPr>
        <w:t xml:space="preserve">低碳水化合物饮食</w:t>
      </w:r>
    </w:p>
    <w:p>
      <w:pPr>
        <w:pStyle w:val="ListParagraph"/>
        <w:numPr>
          <w:ilvl w:val="1"/>
          <w:numId w:val="2"/>
        </w:numPr>
        <w:spacing w:after="40" w:before="40"/>
      </w:pPr>
      <w:r>
        <w:rPr>
          <w:rFonts w:ascii="Arial" w:cs="Arial" w:eastAsia="Arial" w:hAnsi="Arial"/>
          <w:color w:val="222222"/>
          <w:sz w:val="21"/>
          <w:szCs w:val="21"/>
        </w:rPr>
        <w:t xml:space="preserve">DASH饮食</w:t>
      </w:r>
    </w:p>
    <w:p>
      <w:pPr>
        <w:pStyle w:val="ListParagraph"/>
        <w:numPr>
          <w:ilvl w:val="1"/>
          <w:numId w:val="2"/>
        </w:numPr>
        <w:spacing w:after="40" w:before="40"/>
      </w:pPr>
      <w:r>
        <w:rPr>
          <w:rFonts w:ascii="Arial" w:cs="Arial" w:eastAsia="Arial" w:hAnsi="Arial"/>
          <w:color w:val="222222"/>
          <w:sz w:val="21"/>
          <w:szCs w:val="21"/>
        </w:rPr>
        <w:t xml:space="preserve">植物性饮食</w:t>
      </w:r>
    </w:p>
    <w:p>
      <w:pPr>
        <w:pStyle w:val="ListParagraph"/>
        <w:numPr>
          <w:ilvl w:val="0"/>
          <w:numId w:val="2"/>
        </w:numPr>
        <w:spacing w:after="40" w:before="40"/>
      </w:pPr>
      <w:r>
        <w:rPr>
          <w:rFonts w:ascii="Arial" w:cs="Arial" w:eastAsia="Arial" w:hAnsi="Arial"/>
          <w:b/>
          <w:bCs/>
          <w:color w:val="222222"/>
          <w:sz w:val="21"/>
          <w:szCs w:val="21"/>
        </w:rPr>
        <w:t xml:space="preserve">营养素分配建议</w:t>
      </w:r>
      <w:r>
        <w:rPr>
          <w:rFonts w:ascii="Arial" w:cs="Arial" w:eastAsia="Arial" w:hAnsi="Arial"/>
          <w:color w:val="222222"/>
          <w:sz w:val="21"/>
          <w:szCs w:val="21"/>
        </w:rPr>
        <w:t xml:space="preserve">：</w:t>
      </w:r>
    </w:p>
    <w:p>
      <w:pPr>
        <w:pStyle w:val="ListParagraph"/>
        <w:numPr>
          <w:ilvl w:val="1"/>
          <w:numId w:val="2"/>
        </w:numPr>
        <w:spacing w:after="40" w:before="40"/>
      </w:pPr>
      <w:r>
        <w:rPr>
          <w:rFonts w:ascii="Arial" w:cs="Arial" w:eastAsia="Arial" w:hAnsi="Arial"/>
          <w:color w:val="222222"/>
          <w:sz w:val="21"/>
          <w:szCs w:val="21"/>
        </w:rPr>
        <w:t xml:space="preserve">碳水化合物：总热量的45%–60%，强调选择高纤维、低升糖指数来源</w:t>
      </w:r>
    </w:p>
    <w:p>
      <w:pPr>
        <w:pStyle w:val="ListParagraph"/>
        <w:numPr>
          <w:ilvl w:val="1"/>
          <w:numId w:val="2"/>
        </w:numPr>
        <w:spacing w:after="40" w:before="40"/>
      </w:pPr>
      <w:r>
        <w:rPr>
          <w:rFonts w:ascii="Arial" w:cs="Arial" w:eastAsia="Arial" w:hAnsi="Arial"/>
          <w:color w:val="222222"/>
          <w:sz w:val="21"/>
          <w:szCs w:val="21"/>
        </w:rPr>
        <w:t xml:space="preserve">蛋白质：总热量的15%–20%；老年人建议至少0.8 g/kg体重/天</w:t>
      </w:r>
    </w:p>
    <w:p>
      <w:pPr>
        <w:pStyle w:val="ListParagraph"/>
        <w:numPr>
          <w:ilvl w:val="1"/>
          <w:numId w:val="2"/>
        </w:numPr>
        <w:spacing w:after="40" w:before="40"/>
      </w:pPr>
      <w:r>
        <w:rPr>
          <w:rFonts w:ascii="Arial" w:cs="Arial" w:eastAsia="Arial" w:hAnsi="Arial"/>
          <w:color w:val="222222"/>
          <w:sz w:val="21"/>
          <w:szCs w:val="21"/>
        </w:rPr>
        <w:t xml:space="preserve">脂肪：总热量的20%–35%，优先选择不饱和脂肪酸</w:t>
      </w:r>
    </w:p>
    <w:p>
      <w:pPr>
        <w:pStyle w:val="ListParagraph"/>
        <w:numPr>
          <w:ilvl w:val="1"/>
          <w:numId w:val="2"/>
        </w:numPr>
        <w:spacing w:after="40" w:before="40"/>
      </w:pPr>
      <w:r>
        <w:rPr>
          <w:rFonts w:ascii="Arial" w:cs="Arial" w:eastAsia="Arial" w:hAnsi="Arial"/>
          <w:color w:val="222222"/>
          <w:sz w:val="21"/>
          <w:szCs w:val="21"/>
        </w:rPr>
        <w:t xml:space="preserve">膳食纤维：每日25–30克</w:t>
      </w:r>
    </w:p>
    <w:p>
      <w:pPr>
        <w:pStyle w:val="ListParagraph"/>
        <w:numPr>
          <w:ilvl w:val="0"/>
          <w:numId w:val="2"/>
        </w:numPr>
        <w:spacing w:after="40" w:before="40"/>
      </w:pPr>
      <w:r>
        <w:rPr>
          <w:rFonts w:ascii="Arial" w:cs="Arial" w:eastAsia="Arial" w:hAnsi="Arial"/>
          <w:b/>
          <w:bCs/>
          <w:color w:val="222222"/>
          <w:sz w:val="21"/>
          <w:szCs w:val="21"/>
        </w:rPr>
        <w:t xml:space="preserve">减少添加糖和精制碳水化合物</w:t>
      </w:r>
      <w:r>
        <w:rPr>
          <w:rFonts w:ascii="Arial" w:cs="Arial" w:eastAsia="Arial" w:hAnsi="Arial"/>
          <w:color w:val="222222"/>
          <w:sz w:val="21"/>
          <w:szCs w:val="21"/>
        </w:rPr>
        <w:t xml:space="preserve">摄入</w:t>
      </w:r>
    </w:p>
    <w:p>
      <w:pPr>
        <w:pStyle w:val="ListParagraph"/>
        <w:numPr>
          <w:ilvl w:val="0"/>
          <w:numId w:val="2"/>
        </w:numPr>
        <w:spacing w:after="40" w:before="40"/>
      </w:pPr>
      <w:r>
        <w:rPr>
          <w:rFonts w:ascii="Arial" w:cs="Arial" w:eastAsia="Arial" w:hAnsi="Arial"/>
          <w:b/>
          <w:bCs/>
          <w:color w:val="222222"/>
          <w:sz w:val="21"/>
          <w:szCs w:val="21"/>
        </w:rPr>
        <w:t xml:space="preserve">2026年新增</w:t>
      </w:r>
      <w:r>
        <w:rPr>
          <w:rFonts w:ascii="Arial" w:cs="Arial" w:eastAsia="Arial" w:hAnsi="Arial"/>
          <w:color w:val="222222"/>
          <w:sz w:val="21"/>
          <w:szCs w:val="21"/>
        </w:rPr>
        <w:t xml:space="preserve">：在减重治疗期间加强对充足营养摄入的监测</w:t>
      </w:r>
    </w:p>
    <w:p>
      <w:pPr>
        <w:pStyle w:val="ListParagraph"/>
        <w:numPr>
          <w:ilvl w:val="0"/>
          <w:numId w:val="2"/>
        </w:numPr>
        <w:spacing w:after="40" w:before="40"/>
      </w:pPr>
      <w:r>
        <w:rPr>
          <w:rFonts w:ascii="Arial" w:cs="Arial" w:eastAsia="Arial" w:hAnsi="Arial"/>
          <w:b/>
          <w:bCs/>
          <w:color w:val="222222"/>
          <w:sz w:val="21"/>
          <w:szCs w:val="21"/>
        </w:rPr>
        <w:t xml:space="preserve">不推荐膳食补充剂</w:t>
      </w:r>
      <w:r>
        <w:rPr>
          <w:rFonts w:ascii="Arial" w:cs="Arial" w:eastAsia="Arial" w:hAnsi="Arial"/>
          <w:color w:val="222222"/>
          <w:sz w:val="21"/>
          <w:szCs w:val="21"/>
        </w:rPr>
        <w:t xml:space="preserve">用于降糖或减重</w:t>
      </w:r>
    </w:p>
    <w:p>
      <w:pPr>
        <w:pStyle w:val="Heading2"/>
        <w:spacing w:after="140" w:before="280"/>
      </w:pPr>
      <w:r>
        <w:rPr>
          <w:rFonts w:ascii="Arial" w:cs="Arial" w:eastAsia="Arial" w:hAnsi="Arial"/>
          <w:b/>
          <w:bCs/>
          <w:color w:val="31432f"/>
          <w:sz w:val="26"/>
          <w:szCs w:val="26"/>
        </w:rPr>
        <w:t xml:space="preserve">4.3 运动治疗</w:t>
      </w:r>
    </w:p>
    <w:p>
      <w:pPr>
        <w:pStyle w:val="ListParagraph"/>
        <w:numPr>
          <w:ilvl w:val="0"/>
          <w:numId w:val="2"/>
        </w:numPr>
        <w:spacing w:after="40" w:before="40"/>
      </w:pPr>
      <w:r>
        <w:rPr>
          <w:rFonts w:ascii="Arial" w:cs="Arial" w:eastAsia="Arial" w:hAnsi="Arial"/>
          <w:b/>
          <w:bCs/>
          <w:color w:val="222222"/>
          <w:sz w:val="21"/>
          <w:szCs w:val="21"/>
        </w:rPr>
        <w:t xml:space="preserve">有氧运动</w:t>
      </w:r>
      <w:r>
        <w:rPr>
          <w:rFonts w:ascii="Arial" w:cs="Arial" w:eastAsia="Arial" w:hAnsi="Arial"/>
          <w:color w:val="222222"/>
          <w:sz w:val="21"/>
          <w:szCs w:val="21"/>
        </w:rPr>
        <w:t xml:space="preserve">：每周≥150分钟中等强度（如快走、游泳、骑自行车）或75分钟高强度运动</w:t>
      </w:r>
    </w:p>
    <w:p>
      <w:pPr>
        <w:pStyle w:val="ListParagraph"/>
        <w:numPr>
          <w:ilvl w:val="0"/>
          <w:numId w:val="2"/>
        </w:numPr>
        <w:spacing w:after="40" w:before="40"/>
      </w:pPr>
      <w:r>
        <w:rPr>
          <w:rFonts w:ascii="Arial" w:cs="Arial" w:eastAsia="Arial" w:hAnsi="Arial"/>
          <w:b/>
          <w:bCs/>
          <w:color w:val="222222"/>
          <w:sz w:val="21"/>
          <w:szCs w:val="21"/>
        </w:rPr>
        <w:t xml:space="preserve">抗阻训练</w:t>
      </w:r>
      <w:r>
        <w:rPr>
          <w:rFonts w:ascii="Arial" w:cs="Arial" w:eastAsia="Arial" w:hAnsi="Arial"/>
          <w:color w:val="222222"/>
          <w:sz w:val="21"/>
          <w:szCs w:val="21"/>
        </w:rPr>
        <w:t xml:space="preserve">：每周2–3次，非连续日进行，改善胰岛素敏感性和肌肉质量</w:t>
      </w:r>
    </w:p>
    <w:p>
      <w:pPr>
        <w:pStyle w:val="ListParagraph"/>
        <w:numPr>
          <w:ilvl w:val="0"/>
          <w:numId w:val="2"/>
        </w:numPr>
        <w:spacing w:after="40" w:before="40"/>
      </w:pPr>
      <w:r>
        <w:rPr>
          <w:rFonts w:ascii="Arial" w:cs="Arial" w:eastAsia="Arial" w:hAnsi="Arial"/>
          <w:b/>
          <w:bCs/>
          <w:color w:val="222222"/>
          <w:sz w:val="21"/>
          <w:szCs w:val="21"/>
        </w:rPr>
        <w:t xml:space="preserve">柔韧性和平衡训练</w:t>
      </w:r>
      <w:r>
        <w:rPr>
          <w:rFonts w:ascii="Arial" w:cs="Arial" w:eastAsia="Arial" w:hAnsi="Arial"/>
          <w:color w:val="222222"/>
          <w:sz w:val="21"/>
          <w:szCs w:val="21"/>
        </w:rPr>
        <w:t xml:space="preserve">：瑜伽、太极——特别推荐给老年人</w:t>
      </w:r>
    </w:p>
    <w:p>
      <w:pPr>
        <w:pStyle w:val="ListParagraph"/>
        <w:numPr>
          <w:ilvl w:val="0"/>
          <w:numId w:val="2"/>
        </w:numPr>
        <w:spacing w:after="40" w:before="40"/>
      </w:pPr>
      <w:r>
        <w:rPr>
          <w:rFonts w:ascii="Arial" w:cs="Arial" w:eastAsia="Arial" w:hAnsi="Arial"/>
          <w:b/>
          <w:bCs/>
          <w:color w:val="222222"/>
          <w:sz w:val="21"/>
          <w:szCs w:val="21"/>
        </w:rPr>
        <w:t xml:space="preserve">减少久坐时间</w:t>
      </w:r>
      <w:r>
        <w:rPr>
          <w:rFonts w:ascii="Arial" w:cs="Arial" w:eastAsia="Arial" w:hAnsi="Arial"/>
          <w:color w:val="222222"/>
          <w:sz w:val="21"/>
          <w:szCs w:val="21"/>
        </w:rPr>
        <w:t xml:space="preserve">：每30分钟起身活动</w:t>
      </w:r>
    </w:p>
    <w:p>
      <w:pPr>
        <w:pStyle w:val="ListParagraph"/>
        <w:numPr>
          <w:ilvl w:val="0"/>
          <w:numId w:val="2"/>
        </w:numPr>
        <w:spacing w:after="40" w:before="40"/>
      </w:pPr>
      <w:r>
        <w:rPr>
          <w:rFonts w:ascii="Arial" w:cs="Arial" w:eastAsia="Arial" w:hAnsi="Arial"/>
          <w:b/>
          <w:bCs/>
          <w:color w:val="222222"/>
          <w:sz w:val="21"/>
          <w:szCs w:val="21"/>
        </w:rPr>
        <w:t xml:space="preserve">运动安全</w:t>
      </w:r>
      <w:r>
        <w:rPr>
          <w:rFonts w:ascii="Arial" w:cs="Arial" w:eastAsia="Arial" w:hAnsi="Arial"/>
          <w:color w:val="222222"/>
          <w:sz w:val="21"/>
          <w:szCs w:val="21"/>
        </w:rPr>
        <w:t xml:space="preserve">：</w:t>
      </w:r>
    </w:p>
    <w:p>
      <w:pPr>
        <w:pStyle w:val="ListParagraph"/>
        <w:numPr>
          <w:ilvl w:val="1"/>
          <w:numId w:val="2"/>
        </w:numPr>
        <w:spacing w:after="40" w:before="40"/>
      </w:pPr>
      <w:r>
        <w:rPr>
          <w:rFonts w:ascii="Arial" w:cs="Arial" w:eastAsia="Arial" w:hAnsi="Arial"/>
          <w:color w:val="222222"/>
          <w:sz w:val="21"/>
          <w:szCs w:val="21"/>
        </w:rPr>
        <w:t xml:space="preserve">使用胰岛素或胰岛素促泌剂的患者需预防低血糖</w:t>
      </w:r>
    </w:p>
    <w:p>
      <w:pPr>
        <w:pStyle w:val="ListParagraph"/>
        <w:numPr>
          <w:ilvl w:val="1"/>
          <w:numId w:val="2"/>
        </w:numPr>
        <w:spacing w:after="40" w:before="40"/>
      </w:pPr>
      <w:r>
        <w:rPr>
          <w:rFonts w:ascii="Arial" w:cs="Arial" w:eastAsia="Arial" w:hAnsi="Arial"/>
          <w:color w:val="222222"/>
          <w:sz w:val="21"/>
          <w:szCs w:val="21"/>
        </w:rPr>
        <w:t xml:space="preserve">运动前、中、后监测血糖</w:t>
      </w:r>
    </w:p>
    <w:p>
      <w:pPr>
        <w:pStyle w:val="ListParagraph"/>
        <w:numPr>
          <w:ilvl w:val="1"/>
          <w:numId w:val="2"/>
        </w:numPr>
        <w:spacing w:after="40" w:before="40"/>
      </w:pPr>
      <w:r>
        <w:rPr>
          <w:rFonts w:ascii="Arial" w:cs="Arial" w:eastAsia="Arial" w:hAnsi="Arial"/>
          <w:color w:val="222222"/>
          <w:sz w:val="21"/>
          <w:szCs w:val="21"/>
        </w:rPr>
        <w:t xml:space="preserve">有增殖性视网膜病变者避免剧烈运动</w:t>
      </w:r>
    </w:p>
    <w:p>
      <w:pPr>
        <w:pStyle w:val="ListParagraph"/>
        <w:numPr>
          <w:ilvl w:val="0"/>
          <w:numId w:val="2"/>
        </w:numPr>
        <w:spacing w:after="40" w:before="40"/>
      </w:pPr>
      <w:r>
        <w:rPr>
          <w:rFonts w:ascii="Arial" w:cs="Arial" w:eastAsia="Arial" w:hAnsi="Arial"/>
          <w:b/>
          <w:bCs/>
          <w:color w:val="222222"/>
          <w:sz w:val="21"/>
          <w:szCs w:val="21"/>
        </w:rPr>
        <w:t xml:space="preserve">2026年新增</w:t>
      </w:r>
      <w:r>
        <w:rPr>
          <w:rFonts w:ascii="Arial" w:cs="Arial" w:eastAsia="Arial" w:hAnsi="Arial"/>
          <w:color w:val="222222"/>
          <w:sz w:val="21"/>
          <w:szCs w:val="21"/>
        </w:rPr>
        <w:t xml:space="preserve">：在肥胖治疗期间鼓励增加体力活动水平以达到活动指南目标</w:t>
      </w:r>
    </w:p>
    <w:p>
      <w:pPr>
        <w:pStyle w:val="Heading2"/>
        <w:spacing w:after="140" w:before="280"/>
      </w:pPr>
      <w:r>
        <w:rPr>
          <w:rFonts w:ascii="Arial" w:cs="Arial" w:eastAsia="Arial" w:hAnsi="Arial"/>
          <w:b/>
          <w:bCs/>
          <w:color w:val="31432f"/>
          <w:sz w:val="26"/>
          <w:szCs w:val="26"/>
        </w:rPr>
        <w:t xml:space="preserve">4.4 药物治疗</w:t>
      </w:r>
    </w:p>
    <w:p>
      <w:pPr>
        <w:pStyle w:val="Heading3"/>
        <w:spacing w:after="100" w:before="220"/>
      </w:pPr>
      <w:r>
        <w:rPr>
          <w:rFonts w:ascii="Arial" w:cs="Arial" w:eastAsia="Arial" w:hAnsi="Arial"/>
          <w:b/>
          <w:bCs/>
          <w:color w:val="31432f"/>
          <w:sz w:val="23"/>
          <w:szCs w:val="23"/>
        </w:rPr>
        <w:t xml:space="preserve">4.4.1 2型糖尿病降糖药物的优先级框架（2026核心算法）</w:t>
      </w:r>
    </w:p>
    <w:p>
      <w:pPr>
        <w:spacing w:after="100" w:before="60"/>
      </w:pPr>
      <w:r>
        <w:rPr>
          <w:rFonts w:ascii="Arial" w:cs="Arial" w:eastAsia="Arial" w:hAnsi="Arial"/>
          <w:color w:val="222222"/>
          <w:sz w:val="21"/>
          <w:szCs w:val="21"/>
        </w:rPr>
        <w:t xml:space="preserve">ADA 2026建立了全新的基于治疗优先级的药物选择框架：</w:t>
      </w:r>
    </w:p>
    <w:p>
      <w:pPr>
        <w:spacing w:after="100" w:before="60"/>
      </w:pPr>
      <w:r>
        <w:rPr>
          <w:rFonts w:ascii="Arial" w:cs="Arial" w:eastAsia="Arial" w:hAnsi="Arial"/>
          <w:b/>
          <w:bCs/>
          <w:color w:val="222222"/>
          <w:sz w:val="21"/>
          <w:szCs w:val="21"/>
        </w:rPr>
        <w:t xml:space="preserve">▶ 第一优先——心血管和肾脏风险降低：</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76647"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合并症</w:t>
            </w:r>
          </w:p>
        </w:tc>
        <w:tc>
          <w:tcPr>
            <w:tcW w:type="dxa" w:w="3120"/>
            <w:tcBorders>
              <w:top w:val="single" w:color="CCCCCC" w:sz="1"/>
              <w:left w:val="single" w:color="CCCCCC" w:sz="1"/>
              <w:bottom w:val="single" w:color="CCCCCC" w:sz="1"/>
              <w:right w:val="single" w:color="CCCCCC" w:sz="1"/>
            </w:tcBorders>
            <w:shd w:fill="476647"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首选药物</w:t>
            </w:r>
          </w:p>
        </w:tc>
        <w:tc>
          <w:tcPr>
            <w:tcW w:type="dxa" w:w="3120"/>
            <w:tcBorders>
              <w:top w:val="single" w:color="CCCCCC" w:sz="1"/>
              <w:left w:val="single" w:color="CCCCCC" w:sz="1"/>
              <w:bottom w:val="single" w:color="CCCCCC" w:sz="1"/>
              <w:right w:val="single" w:color="CCCCCC" w:sz="1"/>
            </w:tcBorders>
            <w:shd w:fill="476647"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替代/联合</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ASCVD或高CV风险</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具有心血管获益证据的</w:t>
            </w:r>
            <w:r>
              <w:rPr>
                <w:rFonts w:ascii="Arial" w:cs="Arial" w:eastAsia="Arial" w:hAnsi="Arial"/>
                <w:b w:val="false"/>
                <w:bCs w:val="false"/>
                <w:color w:val="222222"/>
                <w:sz w:val="19"/>
                <w:szCs w:val="19"/>
              </w:rPr>
              <w:t xml:space="preserve">GLP-1 RA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具有CV获益的</w:t>
            </w:r>
            <w:r>
              <w:rPr>
                <w:rFonts w:ascii="Arial" w:cs="Arial" w:eastAsia="Arial" w:hAnsi="Arial"/>
                <w:b w:val="false"/>
                <w:bCs w:val="false"/>
                <w:color w:val="222222"/>
                <w:sz w:val="19"/>
                <w:szCs w:val="19"/>
              </w:rPr>
              <w:t xml:space="preserve">SGLT2i</w:t>
            </w:r>
            <w:r>
              <w:rPr>
                <w:rFonts w:ascii="Arial" w:cs="Arial" w:eastAsia="Arial" w:hAnsi="Arial"/>
                <w:b w:val="false"/>
                <w:bCs w:val="false"/>
                <w:color w:val="222222"/>
                <w:sz w:val="19"/>
                <w:szCs w:val="19"/>
              </w:rPr>
              <w:t xml:space="preserve">；HbA1c未达标时联合使用</w:t>
            </w:r>
          </w:p>
        </w:tc>
      </w:tr>
      <w:tr>
        <w:tc>
          <w:tcPr>
            <w:tcW w:type="dxa" w:w="312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心力衰竭（HFpEF或HFrEF）</w:t>
            </w:r>
          </w:p>
        </w:tc>
        <w:tc>
          <w:tcPr>
            <w:tcW w:type="dxa" w:w="312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SGLT2抑制剂</w:t>
            </w:r>
          </w:p>
        </w:tc>
        <w:tc>
          <w:tcPr>
            <w:tcW w:type="dxa" w:w="312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联合具有CV获益的GLP-1 RA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CKD（eGFR&lt;60或ACR≥30 mg/g）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具有CKD保护证据的</w:t>
            </w:r>
            <w:r>
              <w:rPr>
                <w:rFonts w:ascii="Arial" w:cs="Arial" w:eastAsia="Arial" w:hAnsi="Arial"/>
                <w:b w:val="false"/>
                <w:bCs w:val="false"/>
                <w:color w:val="222222"/>
                <w:sz w:val="19"/>
                <w:szCs w:val="19"/>
              </w:rPr>
              <w:t xml:space="preserve">SGLT2i</w:t>
            </w:r>
            <w:r>
              <w:rPr>
                <w:rFonts w:ascii="Arial" w:cs="Arial" w:eastAsia="Arial" w:hAnsi="Arial"/>
                <w:b w:val="false"/>
                <w:bCs w:val="false"/>
                <w:color w:val="222222"/>
                <w:sz w:val="19"/>
                <w:szCs w:val="19"/>
              </w:rPr>
              <w:t xml:space="preserve">（eGFR≥20即可起始）</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eGFR&lt;45时加用GLP-1 RA；</w:t>
            </w:r>
            <w:r>
              <w:rPr>
                <w:rFonts w:ascii="Arial" w:cs="Arial" w:eastAsia="Arial" w:hAnsi="Arial"/>
                <w:b w:val="false"/>
                <w:bCs w:val="false"/>
                <w:color w:val="222222"/>
                <w:sz w:val="19"/>
                <w:szCs w:val="19"/>
              </w:rPr>
              <w:t xml:space="preserve">2026新增：同时启动SGLT2i+非甾体MRA（finerenone）</w:t>
            </w:r>
          </w:p>
        </w:tc>
      </w:tr>
    </w:tbl>
    <w:p>
      <w:pPr>
        <w:spacing w:after="80" w:before="80"/>
      </w:pPr>
    </w:p>
    <w:p>
      <w:pPr>
        <w:spacing w:after="100" w:before="60"/>
      </w:pPr>
      <w:r>
        <w:rPr>
          <w:rFonts w:ascii="Arial" w:cs="Arial" w:eastAsia="Arial" w:hAnsi="Arial"/>
          <w:b/>
          <w:bCs/>
          <w:color w:val="222222"/>
          <w:sz w:val="21"/>
          <w:szCs w:val="21"/>
        </w:rPr>
        <w:t xml:space="preserve">▶ 第二优先——体重管理：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76647"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减重效力</w:t>
            </w:r>
          </w:p>
        </w:tc>
        <w:tc>
          <w:tcPr>
            <w:tcW w:type="dxa" w:w="4680"/>
            <w:tcBorders>
              <w:top w:val="single" w:color="CCCCCC" w:sz="1"/>
              <w:left w:val="single" w:color="CCCCCC" w:sz="1"/>
              <w:bottom w:val="single" w:color="CCCCCC" w:sz="1"/>
              <w:right w:val="single" w:color="CCCCCC" w:sz="1"/>
            </w:tcBorders>
            <w:shd w:fill="476647"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药物</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非常高</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司美格鲁肽（Semaglutide）</w:t>
            </w:r>
            <w:r>
              <w:rPr>
                <w:rFonts w:ascii="Arial" w:cs="Arial" w:eastAsia="Arial" w:hAnsi="Arial"/>
                <w:b w:val="false"/>
                <w:bCs w:val="false"/>
                <w:color w:val="222222"/>
                <w:sz w:val="19"/>
                <w:szCs w:val="19"/>
              </w:rPr>
              <w:t xml:space="preserve">、</w:t>
            </w:r>
            <w:r>
              <w:rPr>
                <w:rFonts w:ascii="Arial" w:cs="Arial" w:eastAsia="Arial" w:hAnsi="Arial"/>
                <w:b w:val="false"/>
                <w:bCs w:val="false"/>
                <w:color w:val="222222"/>
                <w:sz w:val="19"/>
                <w:szCs w:val="19"/>
              </w:rPr>
              <w:t xml:space="preserve">替尔泊肽（Tirzepatide）</w:t>
            </w:r>
          </w:p>
        </w:tc>
      </w:tr>
      <w:tr>
        <w:tc>
          <w:tcPr>
            <w:tcW w:type="dxa" w:w="468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高</w:t>
            </w:r>
          </w:p>
        </w:tc>
        <w:tc>
          <w:tcPr>
            <w:tcW w:type="dxa" w:w="468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度拉糖肽（高剂量）、利拉鲁肽</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中等</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其他GLP-1 RA、SGLT2i</w:t>
            </w:r>
          </w:p>
        </w:tc>
      </w:tr>
      <w:tr>
        <w:tc>
          <w:tcPr>
            <w:tcW w:type="dxa" w:w="468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中性</w:t>
            </w:r>
          </w:p>
        </w:tc>
        <w:tc>
          <w:tcPr>
            <w:tcW w:type="dxa" w:w="468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DPP-4抑制剂</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增重</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胰岛素、磺脲类、噻唑烷二酮类</w:t>
            </w:r>
          </w:p>
        </w:tc>
      </w:tr>
    </w:tbl>
    <w:p>
      <w:pPr>
        <w:spacing w:after="80" w:before="80"/>
      </w:pPr>
    </w:p>
    <w:p>
      <w:pPr>
        <w:spacing w:after="100" w:before="60"/>
      </w:pPr>
      <w:r>
        <w:rPr>
          <w:rFonts w:ascii="Arial" w:cs="Arial" w:eastAsia="Arial" w:hAnsi="Arial"/>
          <w:b/>
          <w:bCs/>
          <w:color w:val="222222"/>
          <w:sz w:val="21"/>
          <w:szCs w:val="21"/>
        </w:rPr>
        <w:t xml:space="preserve">▶ 第三优先——血糖控制：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76647"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降糖效力</w:t>
            </w:r>
          </w:p>
        </w:tc>
        <w:tc>
          <w:tcPr>
            <w:tcW w:type="dxa" w:w="4680"/>
            <w:tcBorders>
              <w:top w:val="single" w:color="CCCCCC" w:sz="1"/>
              <w:left w:val="single" w:color="CCCCCC" w:sz="1"/>
              <w:bottom w:val="single" w:color="CCCCCC" w:sz="1"/>
              <w:right w:val="single" w:color="CCCCCC" w:sz="1"/>
            </w:tcBorders>
            <w:shd w:fill="476647"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药物</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非常高</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司美格鲁肽、替尔泊肽、胰岛素联合治疗</w:t>
            </w:r>
          </w:p>
        </w:tc>
      </w:tr>
      <w:tr>
        <w:tc>
          <w:tcPr>
            <w:tcW w:type="dxa" w:w="468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高</w:t>
            </w:r>
          </w:p>
        </w:tc>
        <w:tc>
          <w:tcPr>
            <w:tcW w:type="dxa" w:w="468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GLP-1 RA、SGLT2i、二甲双胍、噻唑烷二酮类、磺脲类</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中等</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DPP-4抑制剂</w:t>
            </w:r>
          </w:p>
        </w:tc>
      </w:tr>
    </w:tbl>
    <w:p>
      <w:pPr>
        <w:spacing w:after="80" w:before="80"/>
      </w:pPr>
    </w:p>
    <w:p>
      <w:pPr>
        <w:spacing w:after="100" w:before="60"/>
      </w:pPr>
      <w:r>
        <w:rPr>
          <w:rFonts w:ascii="Arial" w:cs="Arial" w:eastAsia="Arial" w:hAnsi="Arial"/>
          <w:b/>
          <w:bCs/>
          <w:color w:val="222222"/>
          <w:sz w:val="21"/>
          <w:szCs w:val="21"/>
        </w:rPr>
        <w:t xml:space="preserve">▶ 新增焦点——MASLD/MASH（代谢相关脂肪性肝病）：</w:t>
      </w:r>
    </w:p>
    <w:p>
      <w:pPr>
        <w:pStyle w:val="ListParagraph"/>
        <w:numPr>
          <w:ilvl w:val="0"/>
          <w:numId w:val="2"/>
        </w:numPr>
        <w:spacing w:after="40" w:before="40"/>
      </w:pPr>
      <w:r>
        <w:rPr>
          <w:rFonts w:ascii="Arial" w:cs="Arial" w:eastAsia="Arial" w:hAnsi="Arial"/>
          <w:color w:val="222222"/>
          <w:sz w:val="21"/>
          <w:szCs w:val="21"/>
        </w:rPr>
        <w:t xml:space="preserve">在合并MASLD和超重/肥胖的2型糖尿病患者中，可考虑使用具有MASH获益证据的</w:t>
      </w:r>
      <w:r>
        <w:rPr>
          <w:rFonts w:ascii="Arial" w:cs="Arial" w:eastAsia="Arial" w:hAnsi="Arial"/>
          <w:b/>
          <w:bCs/>
          <w:color w:val="222222"/>
          <w:sz w:val="21"/>
          <w:szCs w:val="21"/>
        </w:rPr>
        <w:t xml:space="preserve">GLP-1 RA</w:t>
      </w:r>
    </w:p>
    <w:p>
      <w:pPr>
        <w:pStyle w:val="ListParagraph"/>
        <w:numPr>
          <w:ilvl w:val="0"/>
          <w:numId w:val="2"/>
        </w:numPr>
        <w:spacing w:after="40" w:before="40"/>
      </w:pPr>
      <w:r>
        <w:rPr>
          <w:rFonts w:ascii="Arial" w:cs="Arial" w:eastAsia="Arial" w:hAnsi="Arial"/>
          <w:color w:val="222222"/>
          <w:sz w:val="21"/>
          <w:szCs w:val="21"/>
        </w:rPr>
        <w:t xml:space="preserve">在活检证实的MASH或高纤维化风险患者中，优选具有MASH获益证据的GLP-1 RA进行血糖管理</w:t>
      </w:r>
    </w:p>
    <w:p>
      <w:pPr>
        <w:pStyle w:val="Heading3"/>
        <w:spacing w:after="100" w:before="220"/>
      </w:pPr>
      <w:r>
        <w:rPr>
          <w:rFonts w:ascii="Arial" w:cs="Arial" w:eastAsia="Arial" w:hAnsi="Arial"/>
          <w:b/>
          <w:bCs/>
          <w:color w:val="31432f"/>
          <w:sz w:val="23"/>
          <w:szCs w:val="23"/>
        </w:rPr>
        <w:t xml:space="preserve">4.4.2 主要降糖药物详解</w:t>
      </w:r>
    </w:p>
    <w:p>
      <w:pPr>
        <w:spacing w:after="100" w:before="60"/>
      </w:pPr>
      <w:r>
        <w:rPr>
          <w:rFonts w:ascii="Arial" w:cs="Arial" w:eastAsia="Arial" w:hAnsi="Arial"/>
          <w:b/>
          <w:bCs/>
          <w:color w:val="222222"/>
          <w:sz w:val="21"/>
          <w:szCs w:val="21"/>
        </w:rPr>
        <w:t xml:space="preserve">二甲双胍（Metformin）：</w:t>
      </w:r>
    </w:p>
    <w:p>
      <w:pPr>
        <w:pStyle w:val="ListParagraph"/>
        <w:numPr>
          <w:ilvl w:val="0"/>
          <w:numId w:val="2"/>
        </w:numPr>
        <w:spacing w:after="40" w:before="40"/>
      </w:pPr>
      <w:r>
        <w:rPr>
          <w:rFonts w:ascii="Arial" w:cs="Arial" w:eastAsia="Arial" w:hAnsi="Arial"/>
          <w:color w:val="222222"/>
          <w:sz w:val="21"/>
          <w:szCs w:val="21"/>
        </w:rPr>
        <w:t xml:space="preserve">仍可作为2型糖尿病的起始治疗选择之一</w:t>
      </w:r>
    </w:p>
    <w:p>
      <w:pPr>
        <w:pStyle w:val="ListParagraph"/>
        <w:numPr>
          <w:ilvl w:val="0"/>
          <w:numId w:val="2"/>
        </w:numPr>
        <w:spacing w:after="40" w:before="40"/>
      </w:pPr>
      <w:r>
        <w:rPr>
          <w:rFonts w:ascii="Arial" w:cs="Arial" w:eastAsia="Arial" w:hAnsi="Arial"/>
          <w:color w:val="222222"/>
          <w:sz w:val="21"/>
          <w:szCs w:val="21"/>
        </w:rPr>
        <w:t xml:space="preserve">不再被视为"必须首选"——药物选择应基于合并症和治疗优先级</w:t>
      </w:r>
    </w:p>
    <w:p>
      <w:pPr>
        <w:pStyle w:val="ListParagraph"/>
        <w:numPr>
          <w:ilvl w:val="0"/>
          <w:numId w:val="2"/>
        </w:numPr>
        <w:spacing w:after="40" w:before="40"/>
      </w:pPr>
      <w:r>
        <w:rPr>
          <w:rFonts w:ascii="Arial" w:cs="Arial" w:eastAsia="Arial" w:hAnsi="Arial"/>
          <w:color w:val="222222"/>
          <w:sz w:val="21"/>
          <w:szCs w:val="21"/>
        </w:rPr>
        <w:t xml:space="preserve">eGFR&lt;30 mL/min/1.73m²时禁用；eGFR 30–45时需减量</w:t>
      </w:r>
    </w:p>
    <w:p>
      <w:pPr>
        <w:pStyle w:val="ListParagraph"/>
        <w:numPr>
          <w:ilvl w:val="0"/>
          <w:numId w:val="2"/>
        </w:numPr>
        <w:spacing w:after="40" w:before="40"/>
      </w:pPr>
      <w:r>
        <w:rPr>
          <w:rFonts w:ascii="Arial" w:cs="Arial" w:eastAsia="Arial" w:hAnsi="Arial"/>
          <w:color w:val="222222"/>
          <w:sz w:val="21"/>
          <w:szCs w:val="21"/>
        </w:rPr>
        <w:t xml:space="preserve">长期使用者监测维生素B12水平</w:t>
      </w:r>
    </w:p>
    <w:p>
      <w:pPr>
        <w:spacing w:after="100" w:before="60"/>
      </w:pPr>
      <w:r>
        <w:rPr>
          <w:rFonts w:ascii="Arial" w:cs="Arial" w:eastAsia="Arial" w:hAnsi="Arial"/>
          <w:b/>
          <w:bCs/>
          <w:color w:val="222222"/>
          <w:sz w:val="21"/>
          <w:szCs w:val="21"/>
        </w:rPr>
        <w:t xml:space="preserve">GLP-1受体激动剂（GLP-1 RA）：</w:t>
      </w:r>
    </w:p>
    <w:p>
      <w:pPr>
        <w:pStyle w:val="ListParagraph"/>
        <w:numPr>
          <w:ilvl w:val="0"/>
          <w:numId w:val="2"/>
        </w:numPr>
        <w:spacing w:after="40" w:before="40"/>
      </w:pPr>
      <w:r>
        <w:rPr>
          <w:rFonts w:ascii="Arial" w:cs="Arial" w:eastAsia="Arial" w:hAnsi="Arial"/>
          <w:color w:val="222222"/>
          <w:sz w:val="21"/>
          <w:szCs w:val="21"/>
        </w:rPr>
        <w:t xml:space="preserve">包括：利拉鲁肽、司美格鲁肽（口服/注射）、度拉糖肽、艾塞那肽等</w:t>
      </w:r>
    </w:p>
    <w:p>
      <w:pPr>
        <w:pStyle w:val="ListParagraph"/>
        <w:numPr>
          <w:ilvl w:val="0"/>
          <w:numId w:val="2"/>
        </w:numPr>
        <w:spacing w:after="40" w:before="40"/>
      </w:pPr>
      <w:r>
        <w:rPr>
          <w:rFonts w:ascii="Arial" w:cs="Arial" w:eastAsia="Arial" w:hAnsi="Arial"/>
          <w:color w:val="222222"/>
          <w:sz w:val="21"/>
          <w:szCs w:val="21"/>
        </w:rPr>
        <w:t xml:space="preserve">减重效果显著（司美格鲁肽2.4 mg可减重约15%–17%）</w:t>
      </w:r>
    </w:p>
    <w:p>
      <w:pPr>
        <w:pStyle w:val="ListParagraph"/>
        <w:numPr>
          <w:ilvl w:val="0"/>
          <w:numId w:val="2"/>
        </w:numPr>
        <w:spacing w:after="40" w:before="40"/>
      </w:pPr>
      <w:r>
        <w:rPr>
          <w:rFonts w:ascii="Arial" w:cs="Arial" w:eastAsia="Arial" w:hAnsi="Arial"/>
          <w:color w:val="222222"/>
          <w:sz w:val="21"/>
          <w:szCs w:val="21"/>
        </w:rPr>
        <w:t xml:space="preserve">SUSTAIN-6、LEADER、REWIND等大型RCT证实显著降低主要不良心血管事件（MACE）</w:t>
      </w:r>
    </w:p>
    <w:p>
      <w:pPr>
        <w:pStyle w:val="ListParagraph"/>
        <w:numPr>
          <w:ilvl w:val="0"/>
          <w:numId w:val="2"/>
        </w:numPr>
        <w:spacing w:after="40" w:before="40"/>
      </w:pPr>
      <w:r>
        <w:rPr>
          <w:rFonts w:ascii="Arial" w:cs="Arial" w:eastAsia="Arial" w:hAnsi="Arial"/>
          <w:color w:val="222222"/>
          <w:sz w:val="21"/>
          <w:szCs w:val="21"/>
        </w:rPr>
        <w:t xml:space="preserve">2026新增：对CKD患者（包括透析患者）使用GLP-1 RA的新指导</w:t>
      </w:r>
    </w:p>
    <w:p>
      <w:pPr>
        <w:pStyle w:val="ListParagraph"/>
        <w:numPr>
          <w:ilvl w:val="0"/>
          <w:numId w:val="2"/>
        </w:numPr>
        <w:spacing w:after="40" w:before="40"/>
      </w:pPr>
      <w:r>
        <w:rPr>
          <w:rFonts w:ascii="Arial" w:cs="Arial" w:eastAsia="Arial" w:hAnsi="Arial"/>
          <w:color w:val="222222"/>
          <w:sz w:val="21"/>
          <w:szCs w:val="21"/>
        </w:rPr>
        <w:t xml:space="preserve">常见不良反应：恶心、呕吐、腹泻（多为短暂性），罕见急性胰腺炎风险</w:t>
      </w:r>
    </w:p>
    <w:p>
      <w:pPr>
        <w:spacing w:after="100" w:before="60"/>
      </w:pPr>
      <w:r>
        <w:rPr>
          <w:rFonts w:ascii="Arial" w:cs="Arial" w:eastAsia="Arial" w:hAnsi="Arial"/>
          <w:b/>
          <w:bCs/>
          <w:color w:val="222222"/>
          <w:sz w:val="21"/>
          <w:szCs w:val="21"/>
        </w:rPr>
        <w:t xml:space="preserve">双受体激动剂GIP/GLP-1 RA（替尔泊肽 Tirzepatide）：</w:t>
      </w:r>
    </w:p>
    <w:p>
      <w:pPr>
        <w:pStyle w:val="ListParagraph"/>
        <w:numPr>
          <w:ilvl w:val="0"/>
          <w:numId w:val="2"/>
        </w:numPr>
        <w:spacing w:after="40" w:before="40"/>
      </w:pPr>
      <w:r>
        <w:rPr>
          <w:rFonts w:ascii="Arial" w:cs="Arial" w:eastAsia="Arial" w:hAnsi="Arial"/>
          <w:color w:val="222222"/>
          <w:sz w:val="21"/>
          <w:szCs w:val="21"/>
        </w:rPr>
        <w:t xml:space="preserve">同时激动GIP和GLP-1双受体，降糖和减重效果均极为显著</w:t>
      </w:r>
    </w:p>
    <w:p>
      <w:pPr>
        <w:pStyle w:val="ListParagraph"/>
        <w:numPr>
          <w:ilvl w:val="0"/>
          <w:numId w:val="2"/>
        </w:numPr>
        <w:spacing w:after="40" w:before="40"/>
      </w:pPr>
      <w:r>
        <w:rPr>
          <w:rFonts w:ascii="Arial" w:cs="Arial" w:eastAsia="Arial" w:hAnsi="Arial"/>
          <w:color w:val="222222"/>
          <w:sz w:val="21"/>
          <w:szCs w:val="21"/>
        </w:rPr>
        <w:t xml:space="preserve">SURPASS系列RCT显示HbA1c降幅可达2.0%以上，减重高达20%以上</w:t>
      </w:r>
    </w:p>
    <w:p>
      <w:pPr>
        <w:pStyle w:val="ListParagraph"/>
        <w:numPr>
          <w:ilvl w:val="0"/>
          <w:numId w:val="2"/>
        </w:numPr>
        <w:spacing w:after="40" w:before="40"/>
      </w:pPr>
      <w:r>
        <w:rPr>
          <w:rFonts w:ascii="Arial" w:cs="Arial" w:eastAsia="Arial" w:hAnsi="Arial"/>
          <w:color w:val="222222"/>
          <w:sz w:val="21"/>
          <w:szCs w:val="21"/>
        </w:rPr>
        <w:t xml:space="preserve">SURMOUNT-1/4等研究证实对肥胖/超重患者的显著获益</w:t>
      </w:r>
    </w:p>
    <w:p>
      <w:pPr>
        <w:pStyle w:val="ListParagraph"/>
        <w:numPr>
          <w:ilvl w:val="0"/>
          <w:numId w:val="2"/>
        </w:numPr>
        <w:spacing w:after="40" w:before="40"/>
      </w:pPr>
      <w:r>
        <w:rPr>
          <w:rFonts w:ascii="Arial" w:cs="Arial" w:eastAsia="Arial" w:hAnsi="Arial"/>
          <w:color w:val="222222"/>
          <w:sz w:val="21"/>
          <w:szCs w:val="21"/>
        </w:rPr>
        <w:t xml:space="preserve">2026指南将其列为减重和降糖效力最高等级药物之一</w:t>
      </w:r>
    </w:p>
    <w:p>
      <w:pPr>
        <w:spacing w:after="100" w:before="60"/>
      </w:pPr>
      <w:r>
        <w:rPr>
          <w:rFonts w:ascii="Arial" w:cs="Arial" w:eastAsia="Arial" w:hAnsi="Arial"/>
          <w:b/>
          <w:bCs/>
          <w:color w:val="222222"/>
          <w:sz w:val="21"/>
          <w:szCs w:val="21"/>
        </w:rPr>
        <w:t xml:space="preserve">SGLT2抑制剂（SGLT2i）：</w:t>
      </w:r>
    </w:p>
    <w:p>
      <w:pPr>
        <w:pStyle w:val="ListParagraph"/>
        <w:numPr>
          <w:ilvl w:val="0"/>
          <w:numId w:val="2"/>
        </w:numPr>
        <w:spacing w:after="40" w:before="40"/>
      </w:pPr>
      <w:r>
        <w:rPr>
          <w:rFonts w:ascii="Arial" w:cs="Arial" w:eastAsia="Arial" w:hAnsi="Arial"/>
          <w:color w:val="222222"/>
          <w:sz w:val="21"/>
          <w:szCs w:val="21"/>
        </w:rPr>
        <w:t xml:space="preserve">包括：恩格列净（Empagliflozin）、达格列净（Dapagliflozin）、卡格列净（Canagliflozin）</w:t>
      </w:r>
    </w:p>
    <w:p>
      <w:pPr>
        <w:pStyle w:val="ListParagraph"/>
        <w:numPr>
          <w:ilvl w:val="0"/>
          <w:numId w:val="2"/>
        </w:numPr>
        <w:spacing w:after="40" w:before="40"/>
      </w:pPr>
      <w:r>
        <w:rPr>
          <w:rFonts w:ascii="Arial" w:cs="Arial" w:eastAsia="Arial" w:hAnsi="Arial"/>
          <w:color w:val="222222"/>
          <w:sz w:val="21"/>
          <w:szCs w:val="21"/>
        </w:rPr>
        <w:t xml:space="preserve">EMPA-REG OUTCOME、DAPA-HF、DAPA-CKD、CREDENCE等RCT证实显著的心肾保护作用</w:t>
      </w:r>
    </w:p>
    <w:p>
      <w:pPr>
        <w:pStyle w:val="ListParagraph"/>
        <w:numPr>
          <w:ilvl w:val="0"/>
          <w:numId w:val="2"/>
        </w:numPr>
        <w:spacing w:after="40" w:before="40"/>
      </w:pPr>
      <w:r>
        <w:rPr>
          <w:rFonts w:ascii="Arial" w:cs="Arial" w:eastAsia="Arial" w:hAnsi="Arial"/>
          <w:color w:val="222222"/>
          <w:sz w:val="21"/>
          <w:szCs w:val="21"/>
        </w:rPr>
        <w:t xml:space="preserve">2026指南明确：eGFR≥20 mL/min/1.73m²即可起始使用</w:t>
      </w:r>
    </w:p>
    <w:p>
      <w:pPr>
        <w:pStyle w:val="ListParagraph"/>
        <w:numPr>
          <w:ilvl w:val="0"/>
          <w:numId w:val="2"/>
        </w:numPr>
        <w:spacing w:after="40" w:before="40"/>
      </w:pPr>
      <w:r>
        <w:rPr>
          <w:rFonts w:ascii="Arial" w:cs="Arial" w:eastAsia="Arial" w:hAnsi="Arial"/>
          <w:color w:val="222222"/>
          <w:sz w:val="21"/>
          <w:szCs w:val="21"/>
        </w:rPr>
        <w:t xml:space="preserve">2026新增：首次推荐SGLT2i与非甾体MRA（finerenone）同时启动用于合并白蛋白尿的T2D患者</w:t>
      </w:r>
    </w:p>
    <w:p>
      <w:pPr>
        <w:pStyle w:val="ListParagraph"/>
        <w:numPr>
          <w:ilvl w:val="0"/>
          <w:numId w:val="2"/>
        </w:numPr>
        <w:spacing w:after="40" w:before="40"/>
      </w:pPr>
      <w:r>
        <w:rPr>
          <w:rFonts w:ascii="Arial" w:cs="Arial" w:eastAsia="Arial" w:hAnsi="Arial"/>
          <w:color w:val="222222"/>
          <w:sz w:val="21"/>
          <w:szCs w:val="21"/>
        </w:rPr>
        <w:t xml:space="preserve">注意事项：生殖器真菌感染风险增加、罕见正常血糖DKA风险</w:t>
      </w:r>
    </w:p>
    <w:p>
      <w:pPr>
        <w:spacing w:after="100" w:before="60"/>
      </w:pPr>
      <w:r>
        <w:rPr>
          <w:rFonts w:ascii="Arial" w:cs="Arial" w:eastAsia="Arial" w:hAnsi="Arial"/>
          <w:b/>
          <w:bCs/>
          <w:color w:val="222222"/>
          <w:sz w:val="21"/>
          <w:szCs w:val="21"/>
        </w:rPr>
        <w:t xml:space="preserve">非甾体盐皮质激素受体拮抗剂（nsMRA，Finerenone）：</w:t>
      </w:r>
    </w:p>
    <w:p>
      <w:pPr>
        <w:pStyle w:val="ListParagraph"/>
        <w:numPr>
          <w:ilvl w:val="0"/>
          <w:numId w:val="2"/>
        </w:numPr>
        <w:spacing w:after="40" w:before="40"/>
      </w:pPr>
      <w:r>
        <w:rPr>
          <w:rFonts w:ascii="Arial" w:cs="Arial" w:eastAsia="Arial" w:hAnsi="Arial"/>
          <w:color w:val="222222"/>
          <w:sz w:val="21"/>
          <w:szCs w:val="21"/>
        </w:rPr>
        <w:t xml:space="preserve">FIDELIO-DKD和FIGARO-DKD两项RCT证实对CKD合并T2D患者的肾脏和心血管保护作用</w:t>
      </w:r>
    </w:p>
    <w:p>
      <w:pPr>
        <w:pStyle w:val="ListParagraph"/>
        <w:numPr>
          <w:ilvl w:val="0"/>
          <w:numId w:val="2"/>
        </w:numPr>
        <w:spacing w:after="40" w:before="40"/>
      </w:pPr>
      <w:r>
        <w:rPr>
          <w:rFonts w:ascii="Arial" w:cs="Arial" w:eastAsia="Arial" w:hAnsi="Arial"/>
          <w:color w:val="222222"/>
          <w:sz w:val="21"/>
          <w:szCs w:val="21"/>
        </w:rPr>
        <w:t xml:space="preserve">2026年ADA首次推荐：在合并白蛋白尿的T2D患者中，SGLT2i与finerenone可同时启动</w:t>
      </w:r>
    </w:p>
    <w:p>
      <w:pPr>
        <w:pStyle w:val="ListParagraph"/>
        <w:numPr>
          <w:ilvl w:val="0"/>
          <w:numId w:val="2"/>
        </w:numPr>
        <w:spacing w:after="40" w:before="40"/>
      </w:pPr>
      <w:r>
        <w:rPr>
          <w:rFonts w:ascii="Arial" w:cs="Arial" w:eastAsia="Arial" w:hAnsi="Arial"/>
          <w:color w:val="222222"/>
          <w:sz w:val="21"/>
          <w:szCs w:val="21"/>
        </w:rPr>
        <w:t xml:space="preserve">需监测血钾水平</w:t>
      </w:r>
    </w:p>
    <w:p>
      <w:pPr>
        <w:pStyle w:val="Heading3"/>
        <w:spacing w:after="100" w:before="220"/>
      </w:pPr>
      <w:r>
        <w:rPr>
          <w:rFonts w:ascii="Arial" w:cs="Arial" w:eastAsia="Arial" w:hAnsi="Arial"/>
          <w:b/>
          <w:bCs/>
          <w:color w:val="31432f"/>
          <w:sz w:val="23"/>
          <w:szCs w:val="23"/>
        </w:rPr>
        <w:t xml:space="preserve">4.4.3 1型糖尿病的药物治疗</w:t>
      </w:r>
    </w:p>
    <w:p>
      <w:pPr>
        <w:pStyle w:val="ListParagraph"/>
        <w:numPr>
          <w:ilvl w:val="0"/>
          <w:numId w:val="2"/>
        </w:numPr>
        <w:spacing w:after="40" w:before="40"/>
      </w:pPr>
      <w:r>
        <w:rPr>
          <w:rFonts w:ascii="Arial" w:cs="Arial" w:eastAsia="Arial" w:hAnsi="Arial"/>
          <w:color w:val="222222"/>
          <w:sz w:val="21"/>
          <w:szCs w:val="21"/>
        </w:rPr>
        <w:t xml:space="preserve">胰岛素替代治疗是1型糖尿病管理的核心</w:t>
      </w:r>
    </w:p>
    <w:p>
      <w:pPr>
        <w:pStyle w:val="ListParagraph"/>
        <w:numPr>
          <w:ilvl w:val="0"/>
          <w:numId w:val="2"/>
        </w:numPr>
        <w:spacing w:after="40" w:before="40"/>
      </w:pPr>
      <w:r>
        <w:rPr>
          <w:rFonts w:ascii="Arial" w:cs="Arial" w:eastAsia="Arial" w:hAnsi="Arial"/>
          <w:b/>
          <w:bCs/>
          <w:color w:val="222222"/>
          <w:sz w:val="21"/>
          <w:szCs w:val="21"/>
        </w:rPr>
        <w:t xml:space="preserve">推荐方案</w:t>
      </w:r>
      <w:r>
        <w:rPr>
          <w:rFonts w:ascii="Arial" w:cs="Arial" w:eastAsia="Arial" w:hAnsi="Arial"/>
          <w:color w:val="222222"/>
          <w:sz w:val="21"/>
          <w:szCs w:val="21"/>
        </w:rPr>
        <w:t xml:space="preserve">：</w:t>
      </w:r>
    </w:p>
    <w:p>
      <w:pPr>
        <w:pStyle w:val="ListParagraph"/>
        <w:numPr>
          <w:ilvl w:val="1"/>
          <w:numId w:val="2"/>
        </w:numPr>
        <w:spacing w:after="40" w:before="40"/>
      </w:pPr>
      <w:r>
        <w:rPr>
          <w:rFonts w:ascii="Arial" w:cs="Arial" w:eastAsia="Arial" w:hAnsi="Arial"/>
          <w:color w:val="222222"/>
          <w:sz w:val="21"/>
          <w:szCs w:val="21"/>
        </w:rPr>
        <w:t xml:space="preserve">持续皮下胰岛素输注（CSII/胰岛素泵）或每日多次注射（MDI）</w:t>
      </w:r>
    </w:p>
    <w:p>
      <w:pPr>
        <w:pStyle w:val="ListParagraph"/>
        <w:numPr>
          <w:ilvl w:val="1"/>
          <w:numId w:val="2"/>
        </w:numPr>
        <w:spacing w:after="40" w:before="40"/>
      </w:pPr>
      <w:r>
        <w:rPr>
          <w:rFonts w:ascii="Arial" w:cs="Arial" w:eastAsia="Arial" w:hAnsi="Arial"/>
          <w:color w:val="222222"/>
          <w:sz w:val="21"/>
          <w:szCs w:val="21"/>
        </w:rPr>
        <w:t xml:space="preserve">优选胰岛素类似物以减少低血糖风险</w:t>
      </w:r>
    </w:p>
    <w:p>
      <w:pPr>
        <w:pStyle w:val="ListParagraph"/>
        <w:numPr>
          <w:ilvl w:val="1"/>
          <w:numId w:val="2"/>
        </w:numPr>
        <w:spacing w:after="40" w:before="40"/>
      </w:pPr>
      <w:r>
        <w:rPr>
          <w:rFonts w:ascii="Arial" w:cs="Arial" w:eastAsia="Arial" w:hAnsi="Arial"/>
          <w:color w:val="222222"/>
          <w:sz w:val="21"/>
          <w:szCs w:val="21"/>
        </w:rPr>
        <w:t xml:space="preserve">自动胰岛素输注（AID）系统为优选胰岛素给药方式</w:t>
      </w:r>
    </w:p>
    <w:p>
      <w:pPr>
        <w:pStyle w:val="ListParagraph"/>
        <w:numPr>
          <w:ilvl w:val="0"/>
          <w:numId w:val="2"/>
        </w:numPr>
        <w:spacing w:after="40" w:before="40"/>
      </w:pPr>
      <w:r>
        <w:rPr>
          <w:rFonts w:ascii="Arial" w:cs="Arial" w:eastAsia="Arial" w:hAnsi="Arial"/>
          <w:color w:val="222222"/>
          <w:sz w:val="21"/>
          <w:szCs w:val="21"/>
        </w:rPr>
        <w:t xml:space="preserve">2026新增：起始CSII或AID无需先满足C肽水平、胰岛自身抗体或胰岛素治疗时长等前提条件</w:t>
      </w:r>
    </w:p>
    <w:p>
      <w:pPr>
        <w:pStyle w:val="Heading2"/>
        <w:spacing w:after="140" w:before="280"/>
      </w:pPr>
      <w:r>
        <w:rPr>
          <w:rFonts w:ascii="Arial" w:cs="Arial" w:eastAsia="Arial" w:hAnsi="Arial"/>
          <w:b/>
          <w:bCs/>
          <w:color w:val="31432f"/>
          <w:sz w:val="26"/>
          <w:szCs w:val="26"/>
        </w:rPr>
        <w:t xml:space="preserve">4.5 糖尿病技术</w:t>
      </w:r>
    </w:p>
    <w:p>
      <w:pPr>
        <w:spacing w:after="100" w:before="60"/>
      </w:pPr>
      <w:r>
        <w:rPr>
          <w:rFonts w:ascii="Arial" w:cs="Arial" w:eastAsia="Arial" w:hAnsi="Arial"/>
          <w:color w:val="222222"/>
          <w:sz w:val="21"/>
          <w:szCs w:val="21"/>
        </w:rPr>
        <w:t xml:space="preserve">ADA 2026大幅更新了糖尿病技术相关建议：</w:t>
      </w:r>
    </w:p>
    <w:p>
      <w:pPr>
        <w:pStyle w:val="Heading3"/>
        <w:spacing w:after="100" w:before="220"/>
      </w:pPr>
      <w:r>
        <w:rPr>
          <w:rFonts w:ascii="Arial" w:cs="Arial" w:eastAsia="Arial" w:hAnsi="Arial"/>
          <w:b/>
          <w:bCs/>
          <w:color w:val="31432f"/>
          <w:sz w:val="23"/>
          <w:szCs w:val="23"/>
        </w:rPr>
        <w:t xml:space="preserve">4.5.1 动态血糖监测（CGM）</w:t>
      </w:r>
    </w:p>
    <w:p>
      <w:pPr>
        <w:spacing w:after="100" w:before="60"/>
      </w:pPr>
      <w:r>
        <w:rPr>
          <w:rFonts w:ascii="Arial" w:cs="Arial" w:eastAsia="Arial" w:hAnsi="Arial"/>
          <w:b/>
          <w:bCs/>
          <w:color w:val="222222"/>
          <w:sz w:val="21"/>
          <w:szCs w:val="21"/>
        </w:rPr>
        <w:t xml:space="preserve">2026年关键更新</w:t>
      </w:r>
      <w:r>
        <w:rPr>
          <w:rFonts w:ascii="Arial" w:cs="Arial" w:eastAsia="Arial" w:hAnsi="Arial"/>
          <w:color w:val="222222"/>
          <w:sz w:val="21"/>
          <w:szCs w:val="21"/>
        </w:rPr>
        <w:t xml:space="preserve">：CGM推荐从"可考虑使用"升级为"推荐使用"：</w:t>
      </w:r>
    </w:p>
    <w:p>
      <w:pPr>
        <w:pStyle w:val="ListParagraph"/>
        <w:numPr>
          <w:ilvl w:val="0"/>
          <w:numId w:val="2"/>
        </w:numPr>
        <w:spacing w:after="40" w:before="40"/>
      </w:pPr>
      <w:r>
        <w:rPr>
          <w:rFonts w:ascii="Arial" w:cs="Arial" w:eastAsia="Arial" w:hAnsi="Arial"/>
          <w:color w:val="222222"/>
          <w:sz w:val="21"/>
          <w:szCs w:val="21"/>
        </w:rPr>
        <w:t xml:space="preserve">在</w:t>
      </w:r>
      <w:r>
        <w:rPr>
          <w:rFonts w:ascii="Arial" w:cs="Arial" w:eastAsia="Arial" w:hAnsi="Arial"/>
          <w:b/>
          <w:bCs/>
          <w:color w:val="222222"/>
          <w:sz w:val="21"/>
          <w:szCs w:val="21"/>
        </w:rPr>
        <w:t xml:space="preserve">糖尿病确诊时即推荐使用CGM</w:t>
      </w:r>
      <w:r>
        <w:rPr>
          <w:rFonts w:ascii="Arial" w:cs="Arial" w:eastAsia="Arial" w:hAnsi="Arial"/>
          <w:color w:val="222222"/>
          <w:sz w:val="21"/>
          <w:szCs w:val="21"/>
        </w:rPr>
        <w:t xml:space="preserve">，此后任何时间均可使用</w:t>
      </w:r>
    </w:p>
    <w:p>
      <w:pPr>
        <w:pStyle w:val="ListParagraph"/>
        <w:numPr>
          <w:ilvl w:val="0"/>
          <w:numId w:val="2"/>
        </w:numPr>
        <w:spacing w:after="40" w:before="40"/>
      </w:pPr>
      <w:r>
        <w:rPr>
          <w:rFonts w:ascii="Arial" w:cs="Arial" w:eastAsia="Arial" w:hAnsi="Arial"/>
          <w:color w:val="222222"/>
          <w:sz w:val="21"/>
          <w:szCs w:val="21"/>
        </w:rPr>
        <w:t xml:space="preserve">适用于：使用胰岛素治疗的患者（A级证据）、使用可能引起低血糖的非胰岛素药物的患者（B级证据）、使用任何糖尿病治疗且CGM有助于管理的患者（B级证据）</w:t>
      </w:r>
    </w:p>
    <w:p>
      <w:pPr>
        <w:pStyle w:val="ListParagraph"/>
        <w:numPr>
          <w:ilvl w:val="0"/>
          <w:numId w:val="2"/>
        </w:numPr>
        <w:spacing w:after="40" w:before="40"/>
      </w:pPr>
      <w:r>
        <w:rPr>
          <w:rFonts w:ascii="Arial" w:cs="Arial" w:eastAsia="Arial" w:hAnsi="Arial"/>
          <w:color w:val="222222"/>
          <w:sz w:val="21"/>
          <w:szCs w:val="21"/>
        </w:rPr>
        <w:t xml:space="preserve">老年人：推荐用于使用胰岛素的老年T1D和T2D患者</w:t>
      </w:r>
    </w:p>
    <w:p>
      <w:pPr>
        <w:pStyle w:val="ListParagraph"/>
        <w:numPr>
          <w:ilvl w:val="0"/>
          <w:numId w:val="2"/>
        </w:numPr>
        <w:spacing w:after="40" w:before="40"/>
      </w:pPr>
      <w:r>
        <w:rPr>
          <w:rFonts w:ascii="Arial" w:cs="Arial" w:eastAsia="Arial" w:hAnsi="Arial"/>
          <w:color w:val="222222"/>
          <w:sz w:val="21"/>
          <w:szCs w:val="21"/>
        </w:rPr>
        <w:t xml:space="preserve">CGM获益不受年龄、性别、教育水平、收入水平或基线糖尿病特征影响</w:t>
      </w:r>
    </w:p>
    <w:p>
      <w:pPr>
        <w:pStyle w:val="ListParagraph"/>
        <w:numPr>
          <w:ilvl w:val="0"/>
          <w:numId w:val="2"/>
        </w:numPr>
        <w:spacing w:after="40" w:before="40"/>
      </w:pPr>
      <w:r>
        <w:rPr>
          <w:rFonts w:ascii="Arial" w:cs="Arial" w:eastAsia="Arial" w:hAnsi="Arial"/>
          <w:color w:val="222222"/>
          <w:sz w:val="21"/>
          <w:szCs w:val="21"/>
        </w:rPr>
        <w:t xml:space="preserve">2026年更新：从当前技术列表中移除间歇扫描CGM，确认实时CGM（rtCGM）为公认诊疗标准</w:t>
      </w:r>
    </w:p>
    <w:p>
      <w:pPr>
        <w:pStyle w:val="Heading3"/>
        <w:spacing w:after="100" w:before="220"/>
      </w:pPr>
      <w:r>
        <w:rPr>
          <w:rFonts w:ascii="Arial" w:cs="Arial" w:eastAsia="Arial" w:hAnsi="Arial"/>
          <w:b/>
          <w:bCs/>
          <w:color w:val="31432f"/>
          <w:sz w:val="23"/>
          <w:szCs w:val="23"/>
        </w:rPr>
        <w:t xml:space="preserve">4.5.2 自动胰岛素输注（AID）系统</w:t>
      </w:r>
    </w:p>
    <w:p>
      <w:pPr>
        <w:pStyle w:val="ListParagraph"/>
        <w:numPr>
          <w:ilvl w:val="0"/>
          <w:numId w:val="2"/>
        </w:numPr>
        <w:spacing w:after="40" w:before="40"/>
      </w:pPr>
      <w:r>
        <w:rPr>
          <w:rFonts w:ascii="Arial" w:cs="Arial" w:eastAsia="Arial" w:hAnsi="Arial"/>
          <w:color w:val="222222"/>
          <w:sz w:val="21"/>
          <w:szCs w:val="21"/>
        </w:rPr>
        <w:t xml:space="preserve">AID系统（混合闭环系统）是T1D和使用MDI的T2D患者的</w:t>
      </w:r>
      <w:r>
        <w:rPr>
          <w:rFonts w:ascii="Arial" w:cs="Arial" w:eastAsia="Arial" w:hAnsi="Arial"/>
          <w:b/>
          <w:bCs/>
          <w:color w:val="222222"/>
          <w:sz w:val="21"/>
          <w:szCs w:val="21"/>
        </w:rPr>
        <w:t xml:space="preserve">优选</w:t>
      </w:r>
      <w:r>
        <w:rPr>
          <w:rFonts w:ascii="Arial" w:cs="Arial" w:eastAsia="Arial" w:hAnsi="Arial"/>
          <w:color w:val="222222"/>
          <w:sz w:val="21"/>
          <w:szCs w:val="21"/>
        </w:rPr>
        <w:t xml:space="preserve">胰岛素给药方式</w:t>
      </w:r>
    </w:p>
    <w:p>
      <w:pPr>
        <w:pStyle w:val="ListParagraph"/>
        <w:numPr>
          <w:ilvl w:val="0"/>
          <w:numId w:val="2"/>
        </w:numPr>
        <w:spacing w:after="40" w:before="40"/>
      </w:pPr>
      <w:r>
        <w:rPr>
          <w:rFonts w:ascii="Arial" w:cs="Arial" w:eastAsia="Arial" w:hAnsi="Arial"/>
          <w:color w:val="222222"/>
          <w:sz w:val="21"/>
          <w:szCs w:val="21"/>
        </w:rPr>
        <w:t xml:space="preserve">可考虑用于使用基础胰岛素但未达个体化血糖目标的T2D患者</w:t>
      </w:r>
    </w:p>
    <w:p>
      <w:pPr>
        <w:pStyle w:val="ListParagraph"/>
        <w:numPr>
          <w:ilvl w:val="0"/>
          <w:numId w:val="2"/>
        </w:numPr>
        <w:spacing w:after="40" w:before="40"/>
      </w:pPr>
      <w:r>
        <w:rPr>
          <w:rFonts w:ascii="Arial" w:cs="Arial" w:eastAsia="Arial" w:hAnsi="Arial"/>
          <w:b/>
          <w:bCs/>
          <w:color w:val="222222"/>
          <w:sz w:val="21"/>
          <w:szCs w:val="21"/>
        </w:rPr>
        <w:t xml:space="preserve">2026年新增</w:t>
      </w:r>
      <w:r>
        <w:rPr>
          <w:rFonts w:ascii="Arial" w:cs="Arial" w:eastAsia="Arial" w:hAnsi="Arial"/>
          <w:color w:val="222222"/>
          <w:sz w:val="21"/>
          <w:szCs w:val="21"/>
        </w:rPr>
        <w:t xml:space="preserve">：起始CSII或AID无需C肽水平、胰岛自身抗体或胰岛素治疗时长的前提条件</w:t>
      </w:r>
    </w:p>
    <w:p>
      <w:pPr>
        <w:pStyle w:val="ListParagraph"/>
        <w:numPr>
          <w:ilvl w:val="0"/>
          <w:numId w:val="2"/>
        </w:numPr>
        <w:spacing w:after="40" w:before="40"/>
      </w:pPr>
      <w:r>
        <w:rPr>
          <w:rFonts w:ascii="Arial" w:cs="Arial" w:eastAsia="Arial" w:hAnsi="Arial"/>
          <w:color w:val="222222"/>
          <w:sz w:val="21"/>
          <w:szCs w:val="21"/>
        </w:rPr>
        <w:t xml:space="preserve">在学校和工作场所应支持使用糖尿病技术：</w:t>
      </w:r>
    </w:p>
    <w:p>
      <w:pPr>
        <w:pStyle w:val="ListParagraph"/>
        <w:numPr>
          <w:ilvl w:val="1"/>
          <w:numId w:val="2"/>
        </w:numPr>
        <w:spacing w:after="40" w:before="40"/>
      </w:pPr>
      <w:r>
        <w:rPr>
          <w:rFonts w:ascii="Arial" w:cs="Arial" w:eastAsia="Arial" w:hAnsi="Arial"/>
          <w:color w:val="222222"/>
          <w:sz w:val="21"/>
          <w:szCs w:val="21"/>
        </w:rPr>
        <w:t xml:space="preserve">儿童和青少年应在学校获得使用CGM、CSII、连接式胰岛素笔和AID系统的支持</w:t>
      </w:r>
    </w:p>
    <w:p>
      <w:pPr>
        <w:pStyle w:val="ListParagraph"/>
        <w:numPr>
          <w:ilvl w:val="1"/>
          <w:numId w:val="2"/>
        </w:numPr>
        <w:spacing w:after="40" w:before="40"/>
      </w:pPr>
      <w:r>
        <w:rPr>
          <w:rFonts w:ascii="Arial" w:cs="Arial" w:eastAsia="Arial" w:hAnsi="Arial"/>
          <w:color w:val="222222"/>
          <w:sz w:val="21"/>
          <w:szCs w:val="21"/>
        </w:rPr>
        <w:t xml:space="preserve">成人应在教育和工作环境中获得合理的设备管理便利</w:t>
      </w:r>
    </w:p>
    <w:p>
      <w:pPr>
        <w:pStyle w:val="Heading2"/>
        <w:spacing w:after="140" w:before="280"/>
      </w:pPr>
      <w:r>
        <w:rPr>
          <w:rFonts w:ascii="Arial" w:cs="Arial" w:eastAsia="Arial" w:hAnsi="Arial"/>
          <w:b/>
          <w:bCs/>
          <w:color w:val="31432f"/>
          <w:sz w:val="26"/>
          <w:szCs w:val="26"/>
        </w:rPr>
        <w:t xml:space="preserve">4.6 血糖监测</w:t>
      </w:r>
    </w:p>
    <w:p>
      <w:pPr>
        <w:pStyle w:val="ListParagraph"/>
        <w:numPr>
          <w:ilvl w:val="0"/>
          <w:numId w:val="2"/>
        </w:numPr>
        <w:spacing w:after="40" w:before="40"/>
      </w:pPr>
      <w:r>
        <w:rPr>
          <w:rFonts w:ascii="Arial" w:cs="Arial" w:eastAsia="Arial" w:hAnsi="Arial"/>
          <w:b/>
          <w:bCs/>
          <w:color w:val="222222"/>
          <w:sz w:val="21"/>
          <w:szCs w:val="21"/>
        </w:rPr>
        <w:t xml:space="preserve">自我血糖监测（SMBG）</w:t>
      </w:r>
      <w:r>
        <w:rPr>
          <w:rFonts w:ascii="Arial" w:cs="Arial" w:eastAsia="Arial" w:hAnsi="Arial"/>
          <w:color w:val="222222"/>
          <w:sz w:val="21"/>
          <w:szCs w:val="21"/>
        </w:rPr>
        <w:t xml:space="preserve">：</w:t>
      </w:r>
    </w:p>
    <w:p>
      <w:pPr>
        <w:pStyle w:val="ListParagraph"/>
        <w:numPr>
          <w:ilvl w:val="1"/>
          <w:numId w:val="2"/>
        </w:numPr>
        <w:spacing w:after="40" w:before="40"/>
      </w:pPr>
      <w:r>
        <w:rPr>
          <w:rFonts w:ascii="Arial" w:cs="Arial" w:eastAsia="Arial" w:hAnsi="Arial"/>
          <w:color w:val="222222"/>
          <w:sz w:val="21"/>
          <w:szCs w:val="21"/>
        </w:rPr>
        <w:t xml:space="preserve">使用胰岛素者：根据胰岛素方案调整监测频率</w:t>
      </w:r>
    </w:p>
    <w:p>
      <w:pPr>
        <w:pStyle w:val="ListParagraph"/>
        <w:numPr>
          <w:ilvl w:val="1"/>
          <w:numId w:val="2"/>
        </w:numPr>
        <w:spacing w:after="40" w:before="40"/>
      </w:pPr>
      <w:r>
        <w:rPr>
          <w:rFonts w:ascii="Arial" w:cs="Arial" w:eastAsia="Arial" w:hAnsi="Arial"/>
          <w:color w:val="222222"/>
          <w:sz w:val="21"/>
          <w:szCs w:val="21"/>
        </w:rPr>
        <w:t xml:space="preserve">非胰岛素治疗者：在调整治疗方案或血糖未达标时增加监测</w:t>
      </w:r>
    </w:p>
    <w:p>
      <w:pPr>
        <w:pStyle w:val="ListParagraph"/>
        <w:numPr>
          <w:ilvl w:val="1"/>
          <w:numId w:val="2"/>
        </w:numPr>
        <w:spacing w:after="40" w:before="40"/>
      </w:pPr>
      <w:r>
        <w:rPr>
          <w:rFonts w:ascii="Arial" w:cs="Arial" w:eastAsia="Arial" w:hAnsi="Arial"/>
          <w:color w:val="222222"/>
          <w:sz w:val="21"/>
          <w:szCs w:val="21"/>
        </w:rPr>
        <w:t xml:space="preserve">使用CGM的患者也应确保有血糖仪作为备用</w:t>
      </w:r>
    </w:p>
    <w:p>
      <w:pPr>
        <w:pStyle w:val="ListParagraph"/>
        <w:numPr>
          <w:ilvl w:val="0"/>
          <w:numId w:val="2"/>
        </w:numPr>
        <w:spacing w:after="40" w:before="40"/>
      </w:pPr>
      <w:r>
        <w:rPr>
          <w:rFonts w:ascii="Arial" w:cs="Arial" w:eastAsia="Arial" w:hAnsi="Arial"/>
          <w:b/>
          <w:bCs/>
          <w:color w:val="222222"/>
          <w:sz w:val="21"/>
          <w:szCs w:val="21"/>
        </w:rPr>
        <w:t xml:space="preserve">HbA1c检测</w:t>
      </w:r>
      <w:r>
        <w:rPr>
          <w:rFonts w:ascii="Arial" w:cs="Arial" w:eastAsia="Arial" w:hAnsi="Arial"/>
          <w:color w:val="222222"/>
          <w:sz w:val="21"/>
          <w:szCs w:val="21"/>
        </w:rPr>
        <w:t xml:space="preserve">：</w:t>
      </w:r>
    </w:p>
    <w:p>
      <w:pPr>
        <w:pStyle w:val="ListParagraph"/>
        <w:numPr>
          <w:ilvl w:val="1"/>
          <w:numId w:val="2"/>
        </w:numPr>
        <w:spacing w:after="40" w:before="40"/>
      </w:pPr>
      <w:r>
        <w:rPr>
          <w:rFonts w:ascii="Arial" w:cs="Arial" w:eastAsia="Arial" w:hAnsi="Arial"/>
          <w:color w:val="222222"/>
          <w:sz w:val="21"/>
          <w:szCs w:val="21"/>
        </w:rPr>
        <w:t xml:space="preserve">血糖达标且稳定者：每6个月检测一次</w:t>
      </w:r>
    </w:p>
    <w:p>
      <w:pPr>
        <w:pStyle w:val="ListParagraph"/>
        <w:numPr>
          <w:ilvl w:val="1"/>
          <w:numId w:val="2"/>
        </w:numPr>
        <w:spacing w:after="40" w:before="40"/>
      </w:pPr>
      <w:r>
        <w:rPr>
          <w:rFonts w:ascii="Arial" w:cs="Arial" w:eastAsia="Arial" w:hAnsi="Arial"/>
          <w:color w:val="222222"/>
          <w:sz w:val="21"/>
          <w:szCs w:val="21"/>
        </w:rPr>
        <w:t xml:space="preserve">治疗调整中或未达标者：每3个月检测一次</w:t>
      </w:r>
    </w:p>
    <w:p>
      <w:pPr>
        <w:pStyle w:val="ListParagraph"/>
        <w:numPr>
          <w:ilvl w:val="0"/>
          <w:numId w:val="2"/>
        </w:numPr>
        <w:spacing w:after="40" w:before="40"/>
      </w:pPr>
      <w:r>
        <w:rPr>
          <w:rFonts w:ascii="Arial" w:cs="Arial" w:eastAsia="Arial" w:hAnsi="Arial"/>
          <w:b/>
          <w:bCs/>
          <w:color w:val="222222"/>
          <w:sz w:val="21"/>
          <w:szCs w:val="21"/>
        </w:rPr>
        <w:t xml:space="preserve">血糖管理指标（GMI）</w:t>
      </w:r>
      <w:r>
        <w:rPr>
          <w:rFonts w:ascii="Arial" w:cs="Arial" w:eastAsia="Arial" w:hAnsi="Arial"/>
          <w:color w:val="222222"/>
          <w:sz w:val="21"/>
          <w:szCs w:val="21"/>
        </w:rPr>
        <w:t xml:space="preserve">：可通过CGM数据计算，作为HbA1c的补充</w:t>
      </w:r>
    </w:p>
    <w:p>
      <w:r>
        <w:br w:type="page"/>
      </w:r>
    </w:p>
    <w:p>
      <w:pPr>
        <w:pStyle w:val="Heading1"/>
        <w:spacing w:after="180" w:before="360"/>
      </w:pPr>
      <w:r>
        <w:rPr>
          <w:rFonts w:ascii="Arial" w:cs="Arial" w:eastAsia="Arial" w:hAnsi="Arial"/>
          <w:b/>
          <w:bCs/>
          <w:color w:val="3a5239"/>
          <w:sz w:val="32"/>
          <w:szCs w:val="32"/>
        </w:rPr>
        <w:t xml:space="preserve">五、肥胖与体重管理</w:t>
      </w:r>
    </w:p>
    <w:p>
      <w:pPr>
        <w:pBdr>
          <w:bottom w:val="single" w:color="476647" w:sz="3" w:space="4"/>
        </w:pBdr>
        <w:spacing w:after="200" w:before="0"/>
      </w:pPr>
    </w:p>
    <w:p>
      <w:pPr>
        <w:spacing w:after="100" w:before="60"/>
      </w:pPr>
      <w:r>
        <w:rPr>
          <w:rFonts w:ascii="Arial" w:cs="Arial" w:eastAsia="Arial" w:hAnsi="Arial"/>
          <w:color w:val="222222"/>
          <w:sz w:val="21"/>
          <w:szCs w:val="21"/>
        </w:rPr>
        <w:t xml:space="preserve">ADA 2026将肥胖管理提升至与血糖管理并列的</w:t>
      </w:r>
      <w:r>
        <w:rPr>
          <w:rFonts w:ascii="Arial" w:cs="Arial" w:eastAsia="Arial" w:hAnsi="Arial"/>
          <w:b/>
          <w:bCs/>
          <w:color w:val="222222"/>
          <w:sz w:val="21"/>
          <w:szCs w:val="21"/>
        </w:rPr>
        <w:t xml:space="preserve">核心治疗目标</w:t>
      </w:r>
      <w:r>
        <w:rPr>
          <w:rFonts w:ascii="Arial" w:cs="Arial" w:eastAsia="Arial" w:hAnsi="Arial"/>
          <w:color w:val="222222"/>
          <w:sz w:val="21"/>
          <w:szCs w:val="21"/>
        </w:rPr>
        <w:t xml:space="preserve">：</w:t>
      </w:r>
    </w:p>
    <w:p>
      <w:pPr>
        <w:pStyle w:val="Heading2"/>
        <w:spacing w:after="140" w:before="280"/>
      </w:pPr>
      <w:r>
        <w:rPr>
          <w:rFonts w:ascii="Arial" w:cs="Arial" w:eastAsia="Arial" w:hAnsi="Arial"/>
          <w:b/>
          <w:bCs/>
          <w:color w:val="31432f"/>
          <w:sz w:val="26"/>
          <w:szCs w:val="26"/>
        </w:rPr>
        <w:t xml:space="preserve">5.1 评估</w:t>
      </w:r>
    </w:p>
    <w:p>
      <w:pPr>
        <w:pStyle w:val="ListParagraph"/>
        <w:numPr>
          <w:ilvl w:val="0"/>
          <w:numId w:val="2"/>
        </w:numPr>
        <w:spacing w:after="40" w:before="40"/>
      </w:pPr>
      <w:r>
        <w:rPr>
          <w:rFonts w:ascii="Arial" w:cs="Arial" w:eastAsia="Arial" w:hAnsi="Arial"/>
          <w:color w:val="222222"/>
          <w:sz w:val="21"/>
          <w:szCs w:val="21"/>
        </w:rPr>
        <w:t xml:space="preserve">每年至少使用BMI筛查超重和肥胖</w:t>
      </w:r>
    </w:p>
    <w:p>
      <w:pPr>
        <w:pStyle w:val="ListParagraph"/>
        <w:numPr>
          <w:ilvl w:val="0"/>
          <w:numId w:val="2"/>
        </w:numPr>
        <w:spacing w:after="40" w:before="40"/>
      </w:pPr>
      <w:r>
        <w:rPr>
          <w:rFonts w:ascii="Arial" w:cs="Arial" w:eastAsia="Arial" w:hAnsi="Arial"/>
          <w:color w:val="222222"/>
          <w:sz w:val="21"/>
          <w:szCs w:val="21"/>
        </w:rPr>
        <w:t xml:space="preserve">建议辅以人体测量学评估（如腰臀比、腰围）或直接体脂测量以确认过度脂肪堆积</w:t>
      </w:r>
    </w:p>
    <w:p>
      <w:pPr>
        <w:pStyle w:val="ListParagraph"/>
        <w:numPr>
          <w:ilvl w:val="0"/>
          <w:numId w:val="2"/>
        </w:numPr>
        <w:spacing w:after="40" w:before="40"/>
      </w:pPr>
      <w:r>
        <w:rPr>
          <w:rFonts w:ascii="Arial" w:cs="Arial" w:eastAsia="Arial" w:hAnsi="Arial"/>
          <w:color w:val="222222"/>
          <w:sz w:val="21"/>
          <w:szCs w:val="21"/>
        </w:rPr>
        <w:t xml:space="preserve">积极管理治疗期间至少每3个月监测一次</w:t>
      </w:r>
    </w:p>
    <w:p>
      <w:pPr>
        <w:pStyle w:val="Heading2"/>
        <w:spacing w:after="140" w:before="280"/>
      </w:pPr>
      <w:r>
        <w:rPr>
          <w:rFonts w:ascii="Arial" w:cs="Arial" w:eastAsia="Arial" w:hAnsi="Arial"/>
          <w:b/>
          <w:bCs/>
          <w:color w:val="31432f"/>
          <w:sz w:val="26"/>
          <w:szCs w:val="26"/>
        </w:rPr>
        <w:t xml:space="preserve">5.2 体重管理目标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76647"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减重幅度</w:t>
            </w:r>
          </w:p>
        </w:tc>
        <w:tc>
          <w:tcPr>
            <w:tcW w:type="dxa" w:w="4680"/>
            <w:tcBorders>
              <w:top w:val="single" w:color="CCCCCC" w:sz="1"/>
              <w:left w:val="single" w:color="CCCCCC" w:sz="1"/>
              <w:bottom w:val="single" w:color="CCCCCC" w:sz="1"/>
              <w:right w:val="single" w:color="CCCCCC" w:sz="1"/>
            </w:tcBorders>
            <w:shd w:fill="476647"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临床获益</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5%–7%</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改善血糖和心血管中间风险因素，减少降糖药需求</w:t>
            </w:r>
          </w:p>
        </w:tc>
      </w:tr>
      <w:tr>
        <w:tc>
          <w:tcPr>
            <w:tcW w:type="dxa" w:w="468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≥10%</w:t>
            </w:r>
          </w:p>
        </w:tc>
        <w:tc>
          <w:tcPr>
            <w:tcW w:type="dxa" w:w="468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具有疾病改善效果，可能实现T2D缓解，改善心血管预后和死亡率</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≥15%</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更大的治疗获益（如MASH改善、睡眠呼吸暂停改善）</w:t>
            </w:r>
          </w:p>
        </w:tc>
      </w:tr>
    </w:tbl>
    <w:p>
      <w:pPr>
        <w:spacing w:after="80" w:before="80"/>
      </w:pPr>
    </w:p>
    <w:p>
      <w:pPr>
        <w:pStyle w:val="Heading2"/>
        <w:spacing w:after="140" w:before="280"/>
      </w:pPr>
      <w:r>
        <w:rPr>
          <w:rFonts w:ascii="Arial" w:cs="Arial" w:eastAsia="Arial" w:hAnsi="Arial"/>
          <w:b/>
          <w:bCs/>
          <w:color w:val="31432f"/>
          <w:sz w:val="26"/>
          <w:szCs w:val="26"/>
        </w:rPr>
        <w:t xml:space="preserve">5.3 药物减重</w:t>
      </w:r>
    </w:p>
    <w:p>
      <w:pPr>
        <w:pStyle w:val="ListParagraph"/>
        <w:numPr>
          <w:ilvl w:val="0"/>
          <w:numId w:val="2"/>
        </w:numPr>
        <w:spacing w:after="40" w:before="40"/>
      </w:pPr>
      <w:r>
        <w:rPr>
          <w:rFonts w:ascii="Arial" w:cs="Arial" w:eastAsia="Arial" w:hAnsi="Arial"/>
          <w:color w:val="222222"/>
          <w:sz w:val="21"/>
          <w:szCs w:val="21"/>
        </w:rPr>
        <w:t xml:space="preserve">在T2D合并超重/肥胖的患者中，优选具有减重获益的降糖药物</w:t>
      </w:r>
    </w:p>
    <w:p>
      <w:pPr>
        <w:pStyle w:val="ListParagraph"/>
        <w:numPr>
          <w:ilvl w:val="0"/>
          <w:numId w:val="2"/>
        </w:numPr>
        <w:spacing w:after="40" w:before="40"/>
      </w:pPr>
      <w:r>
        <w:rPr>
          <w:rFonts w:ascii="Arial" w:cs="Arial" w:eastAsia="Arial" w:hAnsi="Arial"/>
          <w:color w:val="222222"/>
          <w:sz w:val="21"/>
          <w:szCs w:val="21"/>
        </w:rPr>
        <w:t xml:space="preserve">首选推荐：具有更强减重潜力的</w:t>
      </w:r>
      <w:r>
        <w:rPr>
          <w:rFonts w:ascii="Arial" w:cs="Arial" w:eastAsia="Arial" w:hAnsi="Arial"/>
          <w:b/>
          <w:bCs/>
          <w:color w:val="222222"/>
          <w:sz w:val="21"/>
          <w:szCs w:val="21"/>
        </w:rPr>
        <w:t xml:space="preserve">GLP-1 RA或GIP/GLP-1 RA</w:t>
      </w:r>
      <w:r>
        <w:rPr>
          <w:rFonts w:ascii="Arial" w:cs="Arial" w:eastAsia="Arial" w:hAnsi="Arial"/>
          <w:color w:val="222222"/>
          <w:sz w:val="21"/>
          <w:szCs w:val="21"/>
        </w:rPr>
        <w:t xml:space="preserve">（如司美格鲁肽、替尔泊肽）</w:t>
      </w:r>
    </w:p>
    <w:p>
      <w:pPr>
        <w:pStyle w:val="ListParagraph"/>
        <w:numPr>
          <w:ilvl w:val="0"/>
          <w:numId w:val="2"/>
        </w:numPr>
        <w:spacing w:after="40" w:before="40"/>
      </w:pPr>
      <w:r>
        <w:rPr>
          <w:rFonts w:ascii="Arial" w:cs="Arial" w:eastAsia="Arial" w:hAnsi="Arial"/>
          <w:color w:val="222222"/>
          <w:sz w:val="21"/>
          <w:szCs w:val="21"/>
        </w:rPr>
        <w:t xml:space="preserve">达到减重目标后应继续药物治疗——突然停药可导致体重反弹和心血管代谢风险升高</w:t>
      </w:r>
    </w:p>
    <w:p>
      <w:pPr>
        <w:pStyle w:val="ListParagraph"/>
        <w:numPr>
          <w:ilvl w:val="0"/>
          <w:numId w:val="2"/>
        </w:numPr>
        <w:spacing w:after="40" w:before="40"/>
      </w:pPr>
      <w:r>
        <w:rPr>
          <w:rFonts w:ascii="Arial" w:cs="Arial" w:eastAsia="Arial" w:hAnsi="Arial"/>
          <w:b/>
          <w:bCs/>
          <w:color w:val="222222"/>
          <w:sz w:val="21"/>
          <w:szCs w:val="21"/>
        </w:rPr>
        <w:t xml:space="preserve">2026年新增</w:t>
      </w:r>
      <w:r>
        <w:rPr>
          <w:rFonts w:ascii="Arial" w:cs="Arial" w:eastAsia="Arial" w:hAnsi="Arial"/>
          <w:color w:val="222222"/>
          <w:sz w:val="21"/>
          <w:szCs w:val="21"/>
        </w:rPr>
        <w:t xml:space="preserve">：</w:t>
      </w:r>
    </w:p>
    <w:p>
      <w:pPr>
        <w:pStyle w:val="ListParagraph"/>
        <w:numPr>
          <w:ilvl w:val="1"/>
          <w:numId w:val="2"/>
        </w:numPr>
        <w:spacing w:after="40" w:before="40"/>
      </w:pPr>
      <w:r>
        <w:rPr>
          <w:rFonts w:ascii="Arial" w:cs="Arial" w:eastAsia="Arial" w:hAnsi="Arial"/>
          <w:color w:val="222222"/>
          <w:sz w:val="21"/>
          <w:szCs w:val="21"/>
        </w:rPr>
        <w:t xml:space="preserve">肥胖药物治疗的个体化剂量指导</w:t>
      </w:r>
    </w:p>
    <w:p>
      <w:pPr>
        <w:pStyle w:val="ListParagraph"/>
        <w:numPr>
          <w:ilvl w:val="1"/>
          <w:numId w:val="2"/>
        </w:numPr>
        <w:spacing w:after="40" w:before="40"/>
      </w:pPr>
      <w:r>
        <w:rPr>
          <w:rFonts w:ascii="Arial" w:cs="Arial" w:eastAsia="Arial" w:hAnsi="Arial"/>
          <w:color w:val="222222"/>
          <w:sz w:val="21"/>
          <w:szCs w:val="21"/>
        </w:rPr>
        <w:t xml:space="preserve">1型糖尿病合并肥胖的治疗选项（可考虑GLP-1 RA和/或代谢手术）</w:t>
      </w:r>
    </w:p>
    <w:p>
      <w:pPr>
        <w:pStyle w:val="Heading2"/>
        <w:spacing w:after="140" w:before="280"/>
      </w:pPr>
      <w:r>
        <w:rPr>
          <w:rFonts w:ascii="Arial" w:cs="Arial" w:eastAsia="Arial" w:hAnsi="Arial"/>
          <w:b/>
          <w:bCs/>
          <w:color w:val="31432f"/>
          <w:sz w:val="26"/>
          <w:szCs w:val="26"/>
        </w:rPr>
        <w:t xml:space="preserve">5.4 代谢/减重手术</w:t>
      </w:r>
    </w:p>
    <w:p>
      <w:pPr>
        <w:pStyle w:val="ListParagraph"/>
        <w:numPr>
          <w:ilvl w:val="0"/>
          <w:numId w:val="2"/>
        </w:numPr>
        <w:spacing w:after="40" w:before="40"/>
      </w:pPr>
      <w:r>
        <w:rPr>
          <w:rFonts w:ascii="Arial" w:cs="Arial" w:eastAsia="Arial" w:hAnsi="Arial"/>
          <w:color w:val="222222"/>
          <w:sz w:val="21"/>
          <w:szCs w:val="21"/>
        </w:rPr>
        <w:t xml:space="preserve">适应证：T2D合并BMI≥30.0 kg/m²（亚裔≥27.5 kg/m²）</w:t>
      </w:r>
    </w:p>
    <w:p>
      <w:pPr>
        <w:pStyle w:val="ListParagraph"/>
        <w:numPr>
          <w:ilvl w:val="0"/>
          <w:numId w:val="2"/>
        </w:numPr>
        <w:spacing w:after="40" w:before="40"/>
      </w:pPr>
      <w:r>
        <w:rPr>
          <w:rFonts w:ascii="Arial" w:cs="Arial" w:eastAsia="Arial" w:hAnsi="Arial"/>
          <w:color w:val="222222"/>
          <w:sz w:val="21"/>
          <w:szCs w:val="21"/>
        </w:rPr>
        <w:t xml:space="preserve">术后平均可减重&gt;20%，显著改善血糖，可实现糖尿病缓解</w:t>
      </w:r>
    </w:p>
    <w:p>
      <w:pPr>
        <w:pStyle w:val="ListParagraph"/>
        <w:numPr>
          <w:ilvl w:val="0"/>
          <w:numId w:val="2"/>
        </w:numPr>
        <w:spacing w:after="40" w:before="40"/>
      </w:pPr>
      <w:r>
        <w:rPr>
          <w:rFonts w:ascii="Arial" w:cs="Arial" w:eastAsia="Arial" w:hAnsi="Arial"/>
          <w:color w:val="222222"/>
          <w:sz w:val="21"/>
          <w:szCs w:val="21"/>
        </w:rPr>
        <w:t xml:space="preserve">需终身医疗、营养和行为健康随访</w:t>
      </w:r>
    </w:p>
    <w:p>
      <w:pPr>
        <w:pStyle w:val="ListParagraph"/>
        <w:numPr>
          <w:ilvl w:val="0"/>
          <w:numId w:val="2"/>
        </w:numPr>
        <w:spacing w:after="40" w:before="40"/>
      </w:pPr>
      <w:r>
        <w:rPr>
          <w:rFonts w:ascii="Arial" w:cs="Arial" w:eastAsia="Arial" w:hAnsi="Arial"/>
          <w:color w:val="222222"/>
          <w:sz w:val="21"/>
          <w:szCs w:val="21"/>
        </w:rPr>
        <w:t xml:space="preserve">术后监测低血糖、营养缺乏、心理行为健康变化</w:t>
      </w:r>
    </w:p>
    <w:p>
      <w:r>
        <w:br w:type="page"/>
      </w:r>
    </w:p>
    <w:p>
      <w:pPr>
        <w:pStyle w:val="Heading1"/>
        <w:spacing w:after="180" w:before="360"/>
      </w:pPr>
      <w:r>
        <w:rPr>
          <w:rFonts w:ascii="Arial" w:cs="Arial" w:eastAsia="Arial" w:hAnsi="Arial"/>
          <w:b/>
          <w:bCs/>
          <w:color w:val="3a5239"/>
          <w:sz w:val="32"/>
          <w:szCs w:val="32"/>
        </w:rPr>
        <w:t xml:space="preserve">六、心血管疾病风险管理</w:t>
      </w:r>
    </w:p>
    <w:p>
      <w:pPr>
        <w:pBdr>
          <w:bottom w:val="single" w:color="476647" w:sz="3" w:space="4"/>
        </w:pBdr>
        <w:spacing w:after="200" w:before="0"/>
      </w:pPr>
    </w:p>
    <w:p>
      <w:pPr>
        <w:spacing w:after="100" w:before="60"/>
      </w:pPr>
      <w:r>
        <w:rPr>
          <w:rFonts w:ascii="Arial" w:cs="Arial" w:eastAsia="Arial" w:hAnsi="Arial"/>
          <w:color w:val="222222"/>
          <w:sz w:val="21"/>
          <w:szCs w:val="21"/>
        </w:rPr>
        <w:t xml:space="preserve">心血管疾病是糖尿病患者最主要的致死致残原因。ADA 2026指南获美国心脏病学会（ACC）连续第八年背书。</w:t>
      </w:r>
    </w:p>
    <w:p>
      <w:pPr>
        <w:pStyle w:val="Heading2"/>
        <w:spacing w:after="140" w:before="280"/>
      </w:pPr>
      <w:r>
        <w:rPr>
          <w:rFonts w:ascii="Arial" w:cs="Arial" w:eastAsia="Arial" w:hAnsi="Arial"/>
          <w:b/>
          <w:bCs/>
          <w:color w:val="31432f"/>
          <w:sz w:val="26"/>
          <w:szCs w:val="26"/>
        </w:rPr>
        <w:t xml:space="preserve">6.1 血压管理</w:t>
      </w:r>
    </w:p>
    <w:p>
      <w:pPr>
        <w:spacing w:after="100" w:before="60"/>
      </w:pPr>
      <w:r>
        <w:rPr>
          <w:rFonts w:ascii="Arial" w:cs="Arial" w:eastAsia="Arial" w:hAnsi="Arial"/>
          <w:b/>
          <w:bCs/>
          <w:color w:val="222222"/>
          <w:sz w:val="21"/>
          <w:szCs w:val="21"/>
        </w:rPr>
        <w:t xml:space="preserve">2026年关键更新——基于BPROAD和ESPRIT两项大型RCT结果：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76647"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人群</w:t>
            </w:r>
          </w:p>
        </w:tc>
        <w:tc>
          <w:tcPr>
            <w:tcW w:type="dxa" w:w="4680"/>
            <w:tcBorders>
              <w:top w:val="single" w:color="CCCCCC" w:sz="1"/>
              <w:left w:val="single" w:color="CCCCCC" w:sz="1"/>
              <w:bottom w:val="single" w:color="CCCCCC" w:sz="1"/>
              <w:right w:val="single" w:color="CCCCCC" w:sz="1"/>
            </w:tcBorders>
            <w:shd w:fill="476647"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血压目标</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大多数糖尿病伴高血压患者</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&lt;130/80 mmHg</w:t>
            </w:r>
          </w:p>
        </w:tc>
      </w:tr>
      <w:tr>
        <w:tc>
          <w:tcPr>
            <w:tcW w:type="dxa" w:w="468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高CV或肾脏风险患者（新）</w:t>
            </w:r>
          </w:p>
        </w:tc>
        <w:tc>
          <w:tcPr>
            <w:tcW w:type="dxa" w:w="468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鼓励收缩压&lt;120 mmHg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大多数老年人（新）</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&lt;130/80 mmHg（可安全达到时）</w:t>
            </w:r>
          </w:p>
        </w:tc>
      </w:tr>
      <w:tr>
        <w:tc>
          <w:tcPr>
            <w:tcW w:type="dxa" w:w="468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健康状况不佳/预期寿命有限的老年人</w:t>
            </w:r>
          </w:p>
        </w:tc>
        <w:tc>
          <w:tcPr>
            <w:tcW w:type="dxa" w:w="468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&lt;140/90 mmHg</w:t>
            </w:r>
          </w:p>
        </w:tc>
      </w:tr>
    </w:tbl>
    <w:p>
      <w:pPr>
        <w:spacing w:after="80" w:before="80"/>
      </w:pPr>
    </w:p>
    <w:p>
      <w:pPr>
        <w:pStyle w:val="ListParagraph"/>
        <w:numPr>
          <w:ilvl w:val="0"/>
          <w:numId w:val="2"/>
        </w:numPr>
        <w:spacing w:after="40" w:before="40"/>
      </w:pPr>
      <w:r>
        <w:rPr>
          <w:rFonts w:ascii="Arial" w:cs="Arial" w:eastAsia="Arial" w:hAnsi="Arial"/>
          <w:color w:val="222222"/>
          <w:sz w:val="21"/>
          <w:szCs w:val="21"/>
        </w:rPr>
        <w:t xml:space="preserve">首选药物：ACE抑制剂（ACEI）或血管紧张素受体阻滞剂（ARB）——特别是合并白蛋白尿的患者</w:t>
      </w:r>
    </w:p>
    <w:p>
      <w:pPr>
        <w:pStyle w:val="ListParagraph"/>
        <w:numPr>
          <w:ilvl w:val="0"/>
          <w:numId w:val="2"/>
        </w:numPr>
        <w:spacing w:after="40" w:before="40"/>
      </w:pPr>
      <w:r>
        <w:rPr>
          <w:rFonts w:ascii="Arial" w:cs="Arial" w:eastAsia="Arial" w:hAnsi="Arial"/>
          <w:color w:val="222222"/>
          <w:sz w:val="21"/>
          <w:szCs w:val="21"/>
        </w:rPr>
        <w:t xml:space="preserve">可联合钙通道阻滞剂、噻嗪类利尿剂达到目标血压</w:t>
      </w:r>
    </w:p>
    <w:p>
      <w:pPr>
        <w:pStyle w:val="ListParagraph"/>
        <w:numPr>
          <w:ilvl w:val="0"/>
          <w:numId w:val="2"/>
        </w:numPr>
        <w:spacing w:after="40" w:before="40"/>
      </w:pPr>
      <w:r>
        <w:rPr>
          <w:rFonts w:ascii="Arial" w:cs="Arial" w:eastAsia="Arial" w:hAnsi="Arial"/>
          <w:color w:val="222222"/>
          <w:sz w:val="21"/>
          <w:szCs w:val="21"/>
        </w:rPr>
        <w:t xml:space="preserve">不建议ACEI与ARB联合使用</w:t>
      </w:r>
    </w:p>
    <w:p>
      <w:pPr>
        <w:pStyle w:val="Heading2"/>
        <w:spacing w:after="140" w:before="280"/>
      </w:pPr>
      <w:r>
        <w:rPr>
          <w:rFonts w:ascii="Arial" w:cs="Arial" w:eastAsia="Arial" w:hAnsi="Arial"/>
          <w:b/>
          <w:bCs/>
          <w:color w:val="31432f"/>
          <w:sz w:val="26"/>
          <w:szCs w:val="26"/>
        </w:rPr>
        <w:t xml:space="preserve">6.2 血脂管理</w:t>
      </w:r>
    </w:p>
    <w:p>
      <w:pPr>
        <w:pStyle w:val="ListParagraph"/>
        <w:numPr>
          <w:ilvl w:val="0"/>
          <w:numId w:val="2"/>
        </w:numPr>
        <w:spacing w:after="40" w:before="40"/>
      </w:pPr>
      <w:r>
        <w:rPr>
          <w:rFonts w:ascii="Arial" w:cs="Arial" w:eastAsia="Arial" w:hAnsi="Arial"/>
          <w:b/>
          <w:bCs/>
          <w:color w:val="222222"/>
          <w:sz w:val="21"/>
          <w:szCs w:val="21"/>
        </w:rPr>
        <w:t xml:space="preserve">40–75岁糖尿病患者</w:t>
      </w:r>
      <w:r>
        <w:rPr>
          <w:rFonts w:ascii="Arial" w:cs="Arial" w:eastAsia="Arial" w:hAnsi="Arial"/>
          <w:color w:val="222222"/>
          <w:sz w:val="21"/>
          <w:szCs w:val="21"/>
        </w:rPr>
        <w:t xml:space="preserve">：无论基线LDL-C水平如何，推荐中高强度他汀治疗</w:t>
      </w:r>
    </w:p>
    <w:p>
      <w:pPr>
        <w:pStyle w:val="ListParagraph"/>
        <w:numPr>
          <w:ilvl w:val="0"/>
          <w:numId w:val="2"/>
        </w:numPr>
        <w:spacing w:after="40" w:before="40"/>
      </w:pPr>
      <w:r>
        <w:rPr>
          <w:rFonts w:ascii="Arial" w:cs="Arial" w:eastAsia="Arial" w:hAnsi="Arial"/>
          <w:b/>
          <w:bCs/>
          <w:color w:val="222222"/>
          <w:sz w:val="21"/>
          <w:szCs w:val="21"/>
        </w:rPr>
        <w:t xml:space="preserve">合并ASCVD的糖尿病患者</w:t>
      </w:r>
      <w:r>
        <w:rPr>
          <w:rFonts w:ascii="Arial" w:cs="Arial" w:eastAsia="Arial" w:hAnsi="Arial"/>
          <w:color w:val="222222"/>
          <w:sz w:val="21"/>
          <w:szCs w:val="21"/>
        </w:rPr>
        <w:t xml:space="preserve">：高强度他汀使LDL-C降低≥50%，目标LDL-C&lt;70 mg/dL（1.8 mmol/L）</w:t>
      </w:r>
    </w:p>
    <w:p>
      <w:pPr>
        <w:pStyle w:val="ListParagraph"/>
        <w:numPr>
          <w:ilvl w:val="0"/>
          <w:numId w:val="2"/>
        </w:numPr>
        <w:spacing w:after="40" w:before="40"/>
      </w:pPr>
      <w:r>
        <w:rPr>
          <w:rFonts w:ascii="Arial" w:cs="Arial" w:eastAsia="Arial" w:hAnsi="Arial"/>
          <w:b/>
          <w:bCs/>
          <w:color w:val="222222"/>
          <w:sz w:val="21"/>
          <w:szCs w:val="21"/>
        </w:rPr>
        <w:t xml:space="preserve">极高风险患者</w:t>
      </w:r>
      <w:r>
        <w:rPr>
          <w:rFonts w:ascii="Arial" w:cs="Arial" w:eastAsia="Arial" w:hAnsi="Arial"/>
          <w:color w:val="222222"/>
          <w:sz w:val="21"/>
          <w:szCs w:val="21"/>
        </w:rPr>
        <w:t xml:space="preserve">（多次ASCVD事件）：目标LDL-C&lt;55 mg/dL（1.4 mmol/L）</w:t>
      </w:r>
    </w:p>
    <w:p>
      <w:pPr>
        <w:pStyle w:val="ListParagraph"/>
        <w:numPr>
          <w:ilvl w:val="0"/>
          <w:numId w:val="2"/>
        </w:numPr>
        <w:spacing w:after="40" w:before="40"/>
      </w:pPr>
      <w:r>
        <w:rPr>
          <w:rFonts w:ascii="Arial" w:cs="Arial" w:eastAsia="Arial" w:hAnsi="Arial"/>
          <w:color w:val="222222"/>
          <w:sz w:val="21"/>
          <w:szCs w:val="21"/>
        </w:rPr>
        <w:t xml:space="preserve">他汀未达标时可加用：依折麦布（Ezetimibe）、PCSK9抑制剂</w:t>
      </w:r>
    </w:p>
    <w:p>
      <w:pPr>
        <w:pStyle w:val="ListParagraph"/>
        <w:numPr>
          <w:ilvl w:val="0"/>
          <w:numId w:val="2"/>
        </w:numPr>
        <w:spacing w:after="40" w:before="40"/>
      </w:pPr>
      <w:r>
        <w:rPr>
          <w:rFonts w:ascii="Arial" w:cs="Arial" w:eastAsia="Arial" w:hAnsi="Arial"/>
          <w:b/>
          <w:bCs/>
          <w:color w:val="222222"/>
          <w:sz w:val="21"/>
          <w:szCs w:val="21"/>
        </w:rPr>
        <w:t xml:space="preserve">2026年联合ACC/AHA血脂管理指南更新</w:t>
      </w:r>
      <w:r>
        <w:rPr>
          <w:rFonts w:ascii="Arial" w:cs="Arial" w:eastAsia="Arial" w:hAnsi="Arial"/>
          <w:color w:val="222222"/>
          <w:sz w:val="21"/>
          <w:szCs w:val="21"/>
        </w:rPr>
        <w:t xml:space="preserve">：</w:t>
      </w:r>
    </w:p>
    <w:p>
      <w:pPr>
        <w:pStyle w:val="ListParagraph"/>
        <w:numPr>
          <w:ilvl w:val="1"/>
          <w:numId w:val="2"/>
        </w:numPr>
        <w:spacing w:after="40" w:before="40"/>
      </w:pPr>
      <w:r>
        <w:rPr>
          <w:rFonts w:ascii="Arial" w:cs="Arial" w:eastAsia="Arial" w:hAnsi="Arial"/>
          <w:color w:val="222222"/>
          <w:sz w:val="21"/>
          <w:szCs w:val="21"/>
        </w:rPr>
        <w:t xml:space="preserve">推荐所有成人至少测量一次脂蛋白(a)[Lp(a)]</w:t>
      </w:r>
    </w:p>
    <w:p>
      <w:pPr>
        <w:pStyle w:val="ListParagraph"/>
        <w:numPr>
          <w:ilvl w:val="1"/>
          <w:numId w:val="2"/>
        </w:numPr>
        <w:spacing w:after="40" w:before="40"/>
      </w:pPr>
      <w:r>
        <w:rPr>
          <w:rFonts w:ascii="Arial" w:cs="Arial" w:eastAsia="Arial" w:hAnsi="Arial"/>
          <w:color w:val="222222"/>
          <w:sz w:val="21"/>
          <w:szCs w:val="21"/>
        </w:rPr>
        <w:t xml:space="preserve">在ASCVD或T2D患者中，ApoB测量可指导进一步治疗强化</w:t>
      </w:r>
    </w:p>
    <w:p>
      <w:pPr>
        <w:pStyle w:val="ListParagraph"/>
        <w:numPr>
          <w:ilvl w:val="1"/>
          <w:numId w:val="2"/>
        </w:numPr>
        <w:spacing w:after="40" w:before="40"/>
      </w:pPr>
      <w:r>
        <w:rPr>
          <w:rFonts w:ascii="Arial" w:cs="Arial" w:eastAsia="Arial" w:hAnsi="Arial"/>
          <w:color w:val="222222"/>
          <w:sz w:val="21"/>
          <w:szCs w:val="21"/>
        </w:rPr>
        <w:t xml:space="preserve">冠状动脉钙化积分（CAC）用于风险再分层</w:t>
      </w:r>
    </w:p>
    <w:p>
      <w:pPr>
        <w:pStyle w:val="Heading2"/>
        <w:spacing w:after="140" w:before="280"/>
      </w:pPr>
      <w:r>
        <w:rPr>
          <w:rFonts w:ascii="Arial" w:cs="Arial" w:eastAsia="Arial" w:hAnsi="Arial"/>
          <w:b/>
          <w:bCs/>
          <w:color w:val="31432f"/>
          <w:sz w:val="26"/>
          <w:szCs w:val="26"/>
        </w:rPr>
        <w:t xml:space="preserve">6.3 抗血小板治疗</w:t>
      </w:r>
    </w:p>
    <w:p>
      <w:pPr>
        <w:pStyle w:val="ListParagraph"/>
        <w:numPr>
          <w:ilvl w:val="0"/>
          <w:numId w:val="2"/>
        </w:numPr>
        <w:spacing w:after="40" w:before="40"/>
      </w:pPr>
      <w:r>
        <w:rPr>
          <w:rFonts w:ascii="Arial" w:cs="Arial" w:eastAsia="Arial" w:hAnsi="Arial"/>
          <w:b/>
          <w:bCs/>
          <w:color w:val="222222"/>
          <w:sz w:val="21"/>
          <w:szCs w:val="21"/>
        </w:rPr>
        <w:t xml:space="preserve">二级预防</w:t>
      </w:r>
      <w:r>
        <w:rPr>
          <w:rFonts w:ascii="Arial" w:cs="Arial" w:eastAsia="Arial" w:hAnsi="Arial"/>
          <w:color w:val="222222"/>
          <w:sz w:val="21"/>
          <w:szCs w:val="21"/>
        </w:rPr>
        <w:t xml:space="preserve">：合并ASCVD的糖尿病患者推荐阿司匹林75–162 mg/天</w:t>
      </w:r>
    </w:p>
    <w:p>
      <w:pPr>
        <w:pStyle w:val="ListParagraph"/>
        <w:numPr>
          <w:ilvl w:val="0"/>
          <w:numId w:val="2"/>
        </w:numPr>
        <w:spacing w:after="40" w:before="40"/>
      </w:pPr>
      <w:r>
        <w:rPr>
          <w:rFonts w:ascii="Arial" w:cs="Arial" w:eastAsia="Arial" w:hAnsi="Arial"/>
          <w:b/>
          <w:bCs/>
          <w:color w:val="222222"/>
          <w:sz w:val="21"/>
          <w:szCs w:val="21"/>
        </w:rPr>
        <w:t xml:space="preserve">一级预防</w:t>
      </w:r>
      <w:r>
        <w:rPr>
          <w:rFonts w:ascii="Arial" w:cs="Arial" w:eastAsia="Arial" w:hAnsi="Arial"/>
          <w:color w:val="222222"/>
          <w:sz w:val="21"/>
          <w:szCs w:val="21"/>
        </w:rPr>
        <w:t xml:space="preserve">：10年ASCVD风险≥10%、无出血高风险者可考虑阿司匹林81 mg/天</w:t>
      </w:r>
    </w:p>
    <w:p>
      <w:pPr>
        <w:pStyle w:val="Heading2"/>
        <w:spacing w:after="140" w:before="280"/>
      </w:pPr>
      <w:r>
        <w:rPr>
          <w:rFonts w:ascii="Arial" w:cs="Arial" w:eastAsia="Arial" w:hAnsi="Arial"/>
          <w:b/>
          <w:bCs/>
          <w:color w:val="31432f"/>
          <w:sz w:val="26"/>
          <w:szCs w:val="26"/>
        </w:rPr>
        <w:t xml:space="preserve">6.4 心力衰竭管理</w:t>
      </w:r>
    </w:p>
    <w:p>
      <w:pPr>
        <w:pStyle w:val="ListParagraph"/>
        <w:numPr>
          <w:ilvl w:val="0"/>
          <w:numId w:val="2"/>
        </w:numPr>
        <w:spacing w:after="40" w:before="40"/>
      </w:pPr>
      <w:r>
        <w:rPr>
          <w:rFonts w:ascii="Arial" w:cs="Arial" w:eastAsia="Arial" w:hAnsi="Arial"/>
          <w:color w:val="222222"/>
          <w:sz w:val="21"/>
          <w:szCs w:val="21"/>
        </w:rPr>
        <w:t xml:space="preserve">SGLT2抑制剂是T2D合并心力衰竭（HFrEF和HFpEF）的核心治疗</w:t>
      </w:r>
    </w:p>
    <w:p>
      <w:pPr>
        <w:pStyle w:val="ListParagraph"/>
        <w:numPr>
          <w:ilvl w:val="0"/>
          <w:numId w:val="2"/>
        </w:numPr>
        <w:spacing w:after="40" w:before="40"/>
      </w:pPr>
      <w:r>
        <w:rPr>
          <w:rFonts w:ascii="Arial" w:cs="Arial" w:eastAsia="Arial" w:hAnsi="Arial"/>
          <w:color w:val="222222"/>
          <w:sz w:val="21"/>
          <w:szCs w:val="21"/>
        </w:rPr>
        <w:t xml:space="preserve">可联合具有CV获益证据的GLP-1 RA</w:t>
      </w:r>
    </w:p>
    <w:p>
      <w:pPr>
        <w:pStyle w:val="ListParagraph"/>
        <w:numPr>
          <w:ilvl w:val="0"/>
          <w:numId w:val="2"/>
        </w:numPr>
        <w:spacing w:after="40" w:before="40"/>
      </w:pPr>
      <w:r>
        <w:rPr>
          <w:rFonts w:ascii="Arial" w:cs="Arial" w:eastAsia="Arial" w:hAnsi="Arial"/>
          <w:color w:val="222222"/>
          <w:sz w:val="21"/>
          <w:szCs w:val="21"/>
        </w:rPr>
        <w:t xml:space="preserve">避免使用噻唑烷二酮类（增加心衰风险）</w:t>
      </w:r>
    </w:p>
    <w:p>
      <w:pPr>
        <w:pStyle w:val="ListParagraph"/>
        <w:numPr>
          <w:ilvl w:val="0"/>
          <w:numId w:val="2"/>
        </w:numPr>
        <w:spacing w:after="40" w:before="40"/>
      </w:pPr>
      <w:r>
        <w:rPr>
          <w:rFonts w:ascii="Arial" w:cs="Arial" w:eastAsia="Arial" w:hAnsi="Arial"/>
          <w:color w:val="222222"/>
          <w:sz w:val="21"/>
          <w:szCs w:val="21"/>
        </w:rPr>
        <w:t xml:space="preserve">2026年更新了症状性心力衰竭的预防和治疗算法</w:t>
      </w:r>
    </w:p>
    <w:p>
      <w:r>
        <w:br w:type="page"/>
      </w:r>
    </w:p>
    <w:p>
      <w:pPr>
        <w:pStyle w:val="Heading1"/>
        <w:spacing w:after="180" w:before="360"/>
      </w:pPr>
      <w:r>
        <w:rPr>
          <w:rFonts w:ascii="Arial" w:cs="Arial" w:eastAsia="Arial" w:hAnsi="Arial"/>
          <w:b/>
          <w:bCs/>
          <w:color w:val="3a5239"/>
          <w:sz w:val="32"/>
          <w:szCs w:val="32"/>
        </w:rPr>
        <w:t xml:space="preserve">七、慢性肾脏病（CKD）管理</w:t>
      </w:r>
    </w:p>
    <w:p>
      <w:pPr>
        <w:pBdr>
          <w:bottom w:val="single" w:color="476647" w:sz="3" w:space="4"/>
        </w:pBdr>
        <w:spacing w:after="200" w:before="0"/>
      </w:pPr>
    </w:p>
    <w:p>
      <w:pPr>
        <w:spacing w:after="100" w:before="60"/>
      </w:pPr>
      <w:r>
        <w:rPr>
          <w:rFonts w:ascii="Arial" w:cs="Arial" w:eastAsia="Arial" w:hAnsi="Arial"/>
          <w:color w:val="222222"/>
          <w:sz w:val="21"/>
          <w:szCs w:val="21"/>
        </w:rPr>
        <w:t xml:space="preserve">2026年ADA的CKD章节首次获得国家肾脏基金会（NKF）背书。</w:t>
      </w:r>
    </w:p>
    <w:p>
      <w:pPr>
        <w:pStyle w:val="Heading2"/>
        <w:spacing w:after="140" w:before="280"/>
      </w:pPr>
      <w:r>
        <w:rPr>
          <w:rFonts w:ascii="Arial" w:cs="Arial" w:eastAsia="Arial" w:hAnsi="Arial"/>
          <w:b/>
          <w:bCs/>
          <w:color w:val="31432f"/>
          <w:sz w:val="26"/>
          <w:szCs w:val="26"/>
        </w:rPr>
        <w:t xml:space="preserve">7.1 筛查与评估</w:t>
      </w:r>
    </w:p>
    <w:p>
      <w:pPr>
        <w:pStyle w:val="ListParagraph"/>
        <w:numPr>
          <w:ilvl w:val="0"/>
          <w:numId w:val="2"/>
        </w:numPr>
        <w:spacing w:after="40" w:before="40"/>
      </w:pPr>
      <w:r>
        <w:rPr>
          <w:rFonts w:ascii="Arial" w:cs="Arial" w:eastAsia="Arial" w:hAnsi="Arial"/>
          <w:b/>
          <w:bCs/>
          <w:color w:val="222222"/>
          <w:sz w:val="21"/>
          <w:szCs w:val="21"/>
        </w:rPr>
        <w:t xml:space="preserve">T1D病程≥5年</w:t>
      </w:r>
      <w:r>
        <w:rPr>
          <w:rFonts w:ascii="Arial" w:cs="Arial" w:eastAsia="Arial" w:hAnsi="Arial"/>
          <w:color w:val="222222"/>
          <w:sz w:val="21"/>
          <w:szCs w:val="21"/>
        </w:rPr>
        <w:t xml:space="preserve">和</w:t>
      </w:r>
      <w:r>
        <w:rPr>
          <w:rFonts w:ascii="Arial" w:cs="Arial" w:eastAsia="Arial" w:hAnsi="Arial"/>
          <w:b/>
          <w:bCs/>
          <w:color w:val="222222"/>
          <w:sz w:val="21"/>
          <w:szCs w:val="21"/>
        </w:rPr>
        <w:t xml:space="preserve">所有T2D患者</w:t>
      </w:r>
      <w:r>
        <w:rPr>
          <w:rFonts w:ascii="Arial" w:cs="Arial" w:eastAsia="Arial" w:hAnsi="Arial"/>
          <w:color w:val="222222"/>
          <w:sz w:val="21"/>
          <w:szCs w:val="21"/>
        </w:rPr>
        <w:t xml:space="preserve">：每年至少检测尿白蛋白/肌酐比值（UACR）和eGFR</w:t>
      </w:r>
    </w:p>
    <w:p>
      <w:pPr>
        <w:pStyle w:val="ListParagraph"/>
        <w:numPr>
          <w:ilvl w:val="0"/>
          <w:numId w:val="2"/>
        </w:numPr>
        <w:spacing w:after="40" w:before="40"/>
      </w:pPr>
      <w:r>
        <w:rPr>
          <w:rFonts w:ascii="Arial" w:cs="Arial" w:eastAsia="Arial" w:hAnsi="Arial"/>
          <w:color w:val="222222"/>
          <w:sz w:val="21"/>
          <w:szCs w:val="21"/>
        </w:rPr>
        <w:t xml:space="preserve">CKD确诊后，根据分期每年检测1–4次</w:t>
      </w:r>
    </w:p>
    <w:p>
      <w:pPr>
        <w:pStyle w:val="ListParagraph"/>
        <w:numPr>
          <w:ilvl w:val="0"/>
          <w:numId w:val="2"/>
        </w:numPr>
        <w:spacing w:after="40" w:before="40"/>
      </w:pPr>
      <w:r>
        <w:rPr>
          <w:rFonts w:ascii="Arial" w:cs="Arial" w:eastAsia="Arial" w:hAnsi="Arial"/>
          <w:color w:val="222222"/>
          <w:sz w:val="21"/>
          <w:szCs w:val="21"/>
        </w:rPr>
        <w:t xml:space="preserve">推荐使用2021 CKD-EPI肌酐方程计算eGFR（不含种族校正系数）</w:t>
      </w:r>
    </w:p>
    <w:p>
      <w:pPr>
        <w:pStyle w:val="Heading2"/>
        <w:spacing w:after="140" w:before="280"/>
      </w:pPr>
      <w:r>
        <w:rPr>
          <w:rFonts w:ascii="Arial" w:cs="Arial" w:eastAsia="Arial" w:hAnsi="Arial"/>
          <w:b/>
          <w:bCs/>
          <w:color w:val="31432f"/>
          <w:sz w:val="26"/>
          <w:szCs w:val="26"/>
        </w:rPr>
        <w:t xml:space="preserve">7.2 CKD的多药联合治疗策略</w:t>
      </w:r>
    </w:p>
    <w:p>
      <w:pPr>
        <w:spacing w:after="100" w:before="60"/>
      </w:pPr>
      <w:r>
        <w:rPr>
          <w:rFonts w:ascii="Arial" w:cs="Arial" w:eastAsia="Arial" w:hAnsi="Arial"/>
          <w:color w:val="222222"/>
          <w:sz w:val="21"/>
          <w:szCs w:val="21"/>
        </w:rPr>
        <w:t xml:space="preserve">ADA 2026提出了更加积极的CKD管理方案，形成"四重疗法"框架：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76647"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治疗层次</w:t>
            </w:r>
          </w:p>
        </w:tc>
        <w:tc>
          <w:tcPr>
            <w:tcW w:type="dxa" w:w="3120"/>
            <w:tcBorders>
              <w:top w:val="single" w:color="CCCCCC" w:sz="1"/>
              <w:left w:val="single" w:color="CCCCCC" w:sz="1"/>
              <w:bottom w:val="single" w:color="CCCCCC" w:sz="1"/>
              <w:right w:val="single" w:color="CCCCCC" w:sz="1"/>
            </w:tcBorders>
            <w:shd w:fill="476647"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药物</w:t>
            </w:r>
          </w:p>
        </w:tc>
        <w:tc>
          <w:tcPr>
            <w:tcW w:type="dxa" w:w="3120"/>
            <w:tcBorders>
              <w:top w:val="single" w:color="CCCCCC" w:sz="1"/>
              <w:left w:val="single" w:color="CCCCCC" w:sz="1"/>
              <w:bottom w:val="single" w:color="CCCCCC" w:sz="1"/>
              <w:right w:val="single" w:color="CCCCCC" w:sz="1"/>
            </w:tcBorders>
            <w:shd w:fill="476647"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说明</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第一层</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ACEI或ARB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合并白蛋白尿的糖尿病CKD患者基础治疗</w:t>
            </w:r>
          </w:p>
        </w:tc>
      </w:tr>
      <w:tr>
        <w:tc>
          <w:tcPr>
            <w:tcW w:type="dxa" w:w="312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第二层</w:t>
            </w:r>
          </w:p>
        </w:tc>
        <w:tc>
          <w:tcPr>
            <w:tcW w:type="dxa" w:w="312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SGLT2抑制剂</w:t>
            </w:r>
          </w:p>
        </w:tc>
        <w:tc>
          <w:tcPr>
            <w:tcW w:type="dxa" w:w="312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eGFR≥20即可起始；核心肾脏保护药物</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第三层</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非甾体MRA（Finerenone）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2026新增：可与SGLT2i同时启动</w:t>
            </w:r>
          </w:p>
        </w:tc>
      </w:tr>
      <w:tr>
        <w:tc>
          <w:tcPr>
            <w:tcW w:type="dxa" w:w="312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第四层</w:t>
            </w:r>
          </w:p>
        </w:tc>
        <w:tc>
          <w:tcPr>
            <w:tcW w:type="dxa" w:w="312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GLP-1 RA</w:t>
            </w:r>
          </w:p>
        </w:tc>
        <w:tc>
          <w:tcPr>
            <w:tcW w:type="dxa" w:w="312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尤其在eGFR&lt;45时或需要额外降糖/减重时加用</w:t>
            </w:r>
          </w:p>
        </w:tc>
      </w:tr>
    </w:tbl>
    <w:p>
      <w:pPr>
        <w:spacing w:after="80" w:before="80"/>
      </w:pPr>
    </w:p>
    <w:p>
      <w:pPr>
        <w:pStyle w:val="Heading2"/>
        <w:spacing w:after="140" w:before="280"/>
      </w:pPr>
      <w:r>
        <w:rPr>
          <w:rFonts w:ascii="Arial" w:cs="Arial" w:eastAsia="Arial" w:hAnsi="Arial"/>
          <w:b/>
          <w:bCs/>
          <w:color w:val="31432f"/>
          <w:sz w:val="26"/>
          <w:szCs w:val="26"/>
        </w:rPr>
        <w:t xml:space="preserve">7.3 CKD患者血压目标</w:t>
      </w:r>
    </w:p>
    <w:p>
      <w:pPr>
        <w:pStyle w:val="ListParagraph"/>
        <w:numPr>
          <w:ilvl w:val="0"/>
          <w:numId w:val="2"/>
        </w:numPr>
        <w:spacing w:after="40" w:before="40"/>
      </w:pPr>
      <w:r>
        <w:rPr>
          <w:rFonts w:ascii="Arial" w:cs="Arial" w:eastAsia="Arial" w:hAnsi="Arial"/>
          <w:color w:val="222222"/>
          <w:sz w:val="21"/>
          <w:szCs w:val="21"/>
        </w:rPr>
        <w:t xml:space="preserve">推荐&lt;130/80 mmHg</w:t>
      </w:r>
    </w:p>
    <w:p>
      <w:pPr>
        <w:pStyle w:val="ListParagraph"/>
        <w:numPr>
          <w:ilvl w:val="0"/>
          <w:numId w:val="2"/>
        </w:numPr>
        <w:spacing w:after="40" w:before="40"/>
      </w:pPr>
      <w:r>
        <w:rPr>
          <w:rFonts w:ascii="Arial" w:cs="Arial" w:eastAsia="Arial" w:hAnsi="Arial"/>
          <w:color w:val="222222"/>
          <w:sz w:val="21"/>
          <w:szCs w:val="21"/>
        </w:rPr>
        <w:t xml:space="preserve">高CV或肾脏风险者鼓励&lt;120 mmHg</w:t>
      </w:r>
    </w:p>
    <w:p>
      <w:pPr>
        <w:pStyle w:val="Heading2"/>
        <w:spacing w:after="140" w:before="280"/>
      </w:pPr>
      <w:r>
        <w:rPr>
          <w:rFonts w:ascii="Arial" w:cs="Arial" w:eastAsia="Arial" w:hAnsi="Arial"/>
          <w:b/>
          <w:bCs/>
          <w:color w:val="31432f"/>
          <w:sz w:val="26"/>
          <w:szCs w:val="26"/>
        </w:rPr>
        <w:t xml:space="preserve">7.4 转诊至肾脏专科的指征</w:t>
      </w:r>
    </w:p>
    <w:p>
      <w:pPr>
        <w:pStyle w:val="ListParagraph"/>
        <w:numPr>
          <w:ilvl w:val="0"/>
          <w:numId w:val="2"/>
        </w:numPr>
        <w:spacing w:after="40" w:before="40"/>
      </w:pPr>
      <w:r>
        <w:rPr>
          <w:rFonts w:ascii="Arial" w:cs="Arial" w:eastAsia="Arial" w:hAnsi="Arial"/>
          <w:color w:val="222222"/>
          <w:sz w:val="21"/>
          <w:szCs w:val="21"/>
        </w:rPr>
        <w:t xml:space="preserve">eGFR&lt;30 mL/min/1.73m²</w:t>
      </w:r>
    </w:p>
    <w:p>
      <w:pPr>
        <w:pStyle w:val="ListParagraph"/>
        <w:numPr>
          <w:ilvl w:val="0"/>
          <w:numId w:val="2"/>
        </w:numPr>
        <w:spacing w:after="40" w:before="40"/>
      </w:pPr>
      <w:r>
        <w:rPr>
          <w:rFonts w:ascii="Arial" w:cs="Arial" w:eastAsia="Arial" w:hAnsi="Arial"/>
          <w:color w:val="222222"/>
          <w:sz w:val="21"/>
          <w:szCs w:val="21"/>
        </w:rPr>
        <w:t xml:space="preserve">严重白蛋白尿（UACR≥300 mg/g）</w:t>
      </w:r>
    </w:p>
    <w:p>
      <w:pPr>
        <w:pStyle w:val="ListParagraph"/>
        <w:numPr>
          <w:ilvl w:val="0"/>
          <w:numId w:val="2"/>
        </w:numPr>
        <w:spacing w:after="40" w:before="40"/>
      </w:pPr>
      <w:r>
        <w:rPr>
          <w:rFonts w:ascii="Arial" w:cs="Arial" w:eastAsia="Arial" w:hAnsi="Arial"/>
          <w:color w:val="222222"/>
          <w:sz w:val="21"/>
          <w:szCs w:val="21"/>
        </w:rPr>
        <w:t xml:space="preserve">eGFR快速下降</w:t>
      </w:r>
    </w:p>
    <w:p>
      <w:pPr>
        <w:pStyle w:val="ListParagraph"/>
        <w:numPr>
          <w:ilvl w:val="0"/>
          <w:numId w:val="2"/>
        </w:numPr>
        <w:spacing w:after="40" w:before="40"/>
      </w:pPr>
      <w:r>
        <w:rPr>
          <w:rFonts w:ascii="Arial" w:cs="Arial" w:eastAsia="Arial" w:hAnsi="Arial"/>
          <w:color w:val="222222"/>
          <w:sz w:val="21"/>
          <w:szCs w:val="21"/>
        </w:rPr>
        <w:t xml:space="preserve">不典型表现（如活动性尿沉渣、无视网膜病变的T1D等）</w:t>
      </w:r>
    </w:p>
    <w:p>
      <w:r>
        <w:br w:type="page"/>
      </w:r>
    </w:p>
    <w:p>
      <w:pPr>
        <w:pStyle w:val="Heading1"/>
        <w:spacing w:after="180" w:before="360"/>
      </w:pPr>
      <w:r>
        <w:rPr>
          <w:rFonts w:ascii="Arial" w:cs="Arial" w:eastAsia="Arial" w:hAnsi="Arial"/>
          <w:b/>
          <w:bCs/>
          <w:color w:val="3a5239"/>
          <w:sz w:val="32"/>
          <w:szCs w:val="32"/>
        </w:rPr>
        <w:t xml:space="preserve">八、糖尿病并发症管理</w:t>
      </w:r>
    </w:p>
    <w:p>
      <w:pPr>
        <w:pBdr>
          <w:bottom w:val="single" w:color="476647" w:sz="3" w:space="4"/>
        </w:pBdr>
        <w:spacing w:after="200" w:before="0"/>
      </w:pPr>
    </w:p>
    <w:p>
      <w:pPr>
        <w:pStyle w:val="Heading2"/>
        <w:spacing w:after="140" w:before="280"/>
      </w:pPr>
      <w:r>
        <w:rPr>
          <w:rFonts w:ascii="Arial" w:cs="Arial" w:eastAsia="Arial" w:hAnsi="Arial"/>
          <w:b/>
          <w:bCs/>
          <w:color w:val="31432f"/>
          <w:sz w:val="26"/>
          <w:szCs w:val="26"/>
        </w:rPr>
        <w:t xml:space="preserve">8.1 急性并发症</w:t>
      </w:r>
    </w:p>
    <w:p>
      <w:pPr>
        <w:spacing w:after="100" w:before="60"/>
      </w:pPr>
      <w:r>
        <w:rPr>
          <w:rFonts w:ascii="Arial" w:cs="Arial" w:eastAsia="Arial" w:hAnsi="Arial"/>
          <w:b/>
          <w:bCs/>
          <w:color w:val="222222"/>
          <w:sz w:val="21"/>
          <w:szCs w:val="21"/>
        </w:rPr>
        <w:t xml:space="preserve">糖尿病酮症酸中毒（DKA）：</w:t>
      </w:r>
    </w:p>
    <w:p>
      <w:pPr>
        <w:pStyle w:val="ListParagraph"/>
        <w:numPr>
          <w:ilvl w:val="0"/>
          <w:numId w:val="2"/>
        </w:numPr>
        <w:spacing w:after="40" w:before="40"/>
      </w:pPr>
      <w:r>
        <w:rPr>
          <w:rFonts w:ascii="Arial" w:cs="Arial" w:eastAsia="Arial" w:hAnsi="Arial"/>
          <w:color w:val="222222"/>
          <w:sz w:val="21"/>
          <w:szCs w:val="21"/>
        </w:rPr>
        <w:t xml:space="preserve">T1D的致命性急性并发症，也可见于T2D</w:t>
      </w:r>
    </w:p>
    <w:p>
      <w:pPr>
        <w:pStyle w:val="ListParagraph"/>
        <w:numPr>
          <w:ilvl w:val="0"/>
          <w:numId w:val="2"/>
        </w:numPr>
        <w:spacing w:after="40" w:before="40"/>
      </w:pPr>
      <w:r>
        <w:rPr>
          <w:rFonts w:ascii="Arial" w:cs="Arial" w:eastAsia="Arial" w:hAnsi="Arial"/>
          <w:color w:val="222222"/>
          <w:sz w:val="21"/>
          <w:szCs w:val="21"/>
        </w:rPr>
        <w:t xml:space="preserve">表现：恶心呕吐、腹痛、Kussmaul呼吸、意识障碍</w:t>
      </w:r>
    </w:p>
    <w:p>
      <w:pPr>
        <w:pStyle w:val="ListParagraph"/>
        <w:numPr>
          <w:ilvl w:val="0"/>
          <w:numId w:val="2"/>
        </w:numPr>
        <w:spacing w:after="40" w:before="40"/>
      </w:pPr>
      <w:r>
        <w:rPr>
          <w:rFonts w:ascii="Arial" w:cs="Arial" w:eastAsia="Arial" w:hAnsi="Arial"/>
          <w:color w:val="222222"/>
          <w:sz w:val="21"/>
          <w:szCs w:val="21"/>
        </w:rPr>
        <w:t xml:space="preserve">使用SGLT2i的患者需警惕正常血糖型DKA</w:t>
      </w:r>
    </w:p>
    <w:p>
      <w:pPr>
        <w:pStyle w:val="ListParagraph"/>
        <w:numPr>
          <w:ilvl w:val="0"/>
          <w:numId w:val="2"/>
        </w:numPr>
        <w:spacing w:after="40" w:before="40"/>
      </w:pPr>
      <w:r>
        <w:rPr>
          <w:rFonts w:ascii="Arial" w:cs="Arial" w:eastAsia="Arial" w:hAnsi="Arial"/>
          <w:color w:val="222222"/>
          <w:sz w:val="21"/>
          <w:szCs w:val="21"/>
        </w:rPr>
        <w:t xml:space="preserve">2026新增：住院管理中DKA和高渗高血糖状态的诊断标准和临床表现表格</w:t>
      </w:r>
    </w:p>
    <w:p>
      <w:pPr>
        <w:spacing w:after="100" w:before="60"/>
      </w:pPr>
      <w:r>
        <w:rPr>
          <w:rFonts w:ascii="Arial" w:cs="Arial" w:eastAsia="Arial" w:hAnsi="Arial"/>
          <w:b/>
          <w:bCs/>
          <w:color w:val="222222"/>
          <w:sz w:val="21"/>
          <w:szCs w:val="21"/>
        </w:rPr>
        <w:t xml:space="preserve">高渗高血糖状态（HHS）：</w:t>
      </w:r>
    </w:p>
    <w:p>
      <w:pPr>
        <w:pStyle w:val="ListParagraph"/>
        <w:numPr>
          <w:ilvl w:val="0"/>
          <w:numId w:val="2"/>
        </w:numPr>
        <w:spacing w:after="40" w:before="40"/>
      </w:pPr>
      <w:r>
        <w:rPr>
          <w:rFonts w:ascii="Arial" w:cs="Arial" w:eastAsia="Arial" w:hAnsi="Arial"/>
          <w:color w:val="222222"/>
          <w:sz w:val="21"/>
          <w:szCs w:val="21"/>
        </w:rPr>
        <w:t xml:space="preserve">多见于老年T2D患者</w:t>
      </w:r>
    </w:p>
    <w:p>
      <w:pPr>
        <w:pStyle w:val="ListParagraph"/>
        <w:numPr>
          <w:ilvl w:val="0"/>
          <w:numId w:val="2"/>
        </w:numPr>
        <w:spacing w:after="40" w:before="40"/>
      </w:pPr>
      <w:r>
        <w:rPr>
          <w:rFonts w:ascii="Arial" w:cs="Arial" w:eastAsia="Arial" w:hAnsi="Arial"/>
          <w:color w:val="222222"/>
          <w:sz w:val="21"/>
          <w:szCs w:val="21"/>
        </w:rPr>
        <w:t xml:space="preserve">特征：严重高血糖（常&gt;600 mg/dL）、高渗透压、严重脱水</w:t>
      </w:r>
    </w:p>
    <w:p>
      <w:pPr>
        <w:pStyle w:val="ListParagraph"/>
        <w:numPr>
          <w:ilvl w:val="0"/>
          <w:numId w:val="2"/>
        </w:numPr>
        <w:spacing w:after="40" w:before="40"/>
      </w:pPr>
      <w:r>
        <w:rPr>
          <w:rFonts w:ascii="Arial" w:cs="Arial" w:eastAsia="Arial" w:hAnsi="Arial"/>
          <w:color w:val="222222"/>
          <w:sz w:val="21"/>
          <w:szCs w:val="21"/>
        </w:rPr>
        <w:t xml:space="preserve">病死率高，需紧急液体复苏和胰岛素治疗</w:t>
      </w:r>
    </w:p>
    <w:p>
      <w:pPr>
        <w:spacing w:after="100" w:before="60"/>
      </w:pPr>
      <w:r>
        <w:rPr>
          <w:rFonts w:ascii="Arial" w:cs="Arial" w:eastAsia="Arial" w:hAnsi="Arial"/>
          <w:b/>
          <w:bCs/>
          <w:color w:val="222222"/>
          <w:sz w:val="21"/>
          <w:szCs w:val="21"/>
        </w:rPr>
        <w:t xml:space="preserve">低血糖：</w:t>
      </w:r>
    </w:p>
    <w:p>
      <w:pPr>
        <w:pStyle w:val="ListParagraph"/>
        <w:numPr>
          <w:ilvl w:val="0"/>
          <w:numId w:val="2"/>
        </w:numPr>
        <w:spacing w:after="40" w:before="40"/>
      </w:pPr>
      <w:r>
        <w:rPr>
          <w:rFonts w:ascii="Arial" w:cs="Arial" w:eastAsia="Arial" w:hAnsi="Arial"/>
          <w:color w:val="222222"/>
          <w:sz w:val="21"/>
          <w:szCs w:val="21"/>
        </w:rPr>
        <w:t xml:space="preserve">分级：</w:t>
      </w:r>
    </w:p>
    <w:p>
      <w:pPr>
        <w:pStyle w:val="ListParagraph"/>
        <w:numPr>
          <w:ilvl w:val="1"/>
          <w:numId w:val="2"/>
        </w:numPr>
        <w:spacing w:after="40" w:before="40"/>
      </w:pPr>
      <w:r>
        <w:rPr>
          <w:rFonts w:ascii="Arial" w:cs="Arial" w:eastAsia="Arial" w:hAnsi="Arial"/>
          <w:color w:val="222222"/>
          <w:sz w:val="21"/>
          <w:szCs w:val="21"/>
        </w:rPr>
        <w:t xml:space="preserve">1级：血糖54–70 mg/dL（需处理但可自行处理）</w:t>
      </w:r>
    </w:p>
    <w:p>
      <w:pPr>
        <w:pStyle w:val="ListParagraph"/>
        <w:numPr>
          <w:ilvl w:val="1"/>
          <w:numId w:val="2"/>
        </w:numPr>
        <w:spacing w:after="40" w:before="40"/>
      </w:pPr>
      <w:r>
        <w:rPr>
          <w:rFonts w:ascii="Arial" w:cs="Arial" w:eastAsia="Arial" w:hAnsi="Arial"/>
          <w:color w:val="222222"/>
          <w:sz w:val="21"/>
          <w:szCs w:val="21"/>
        </w:rPr>
        <w:t xml:space="preserve">2级：血糖&lt;54 mg/dL（临床显著低血糖，需立即处理）</w:t>
      </w:r>
    </w:p>
    <w:p>
      <w:pPr>
        <w:pStyle w:val="ListParagraph"/>
        <w:numPr>
          <w:ilvl w:val="1"/>
          <w:numId w:val="2"/>
        </w:numPr>
        <w:spacing w:after="40" w:before="40"/>
      </w:pPr>
      <w:r>
        <w:rPr>
          <w:rFonts w:ascii="Arial" w:cs="Arial" w:eastAsia="Arial" w:hAnsi="Arial"/>
          <w:color w:val="222222"/>
          <w:sz w:val="21"/>
          <w:szCs w:val="21"/>
        </w:rPr>
        <w:t xml:space="preserve">3级：严重低血糖，需他人协助或伴有意识改变/抽搐</w:t>
      </w:r>
    </w:p>
    <w:p>
      <w:pPr>
        <w:pStyle w:val="ListParagraph"/>
        <w:numPr>
          <w:ilvl w:val="0"/>
          <w:numId w:val="2"/>
        </w:numPr>
        <w:spacing w:after="40" w:before="40"/>
      </w:pPr>
      <w:r>
        <w:rPr>
          <w:rFonts w:ascii="Arial" w:cs="Arial" w:eastAsia="Arial" w:hAnsi="Arial"/>
          <w:color w:val="222222"/>
          <w:sz w:val="21"/>
          <w:szCs w:val="21"/>
        </w:rPr>
        <w:t xml:space="preserve">预防：患者教育、CGM使用、调整药物方案、备有胰高血糖素</w:t>
      </w:r>
    </w:p>
    <w:p>
      <w:pPr>
        <w:pStyle w:val="Heading2"/>
        <w:spacing w:after="140" w:before="280"/>
      </w:pPr>
      <w:r>
        <w:rPr>
          <w:rFonts w:ascii="Arial" w:cs="Arial" w:eastAsia="Arial" w:hAnsi="Arial"/>
          <w:b/>
          <w:bCs/>
          <w:color w:val="31432f"/>
          <w:sz w:val="26"/>
          <w:szCs w:val="26"/>
        </w:rPr>
        <w:t xml:space="preserve">8.2 慢性并发症</w:t>
      </w:r>
    </w:p>
    <w:p>
      <w:pPr>
        <w:pStyle w:val="Heading3"/>
        <w:spacing w:after="100" w:before="220"/>
      </w:pPr>
      <w:r>
        <w:rPr>
          <w:rFonts w:ascii="Arial" w:cs="Arial" w:eastAsia="Arial" w:hAnsi="Arial"/>
          <w:b/>
          <w:bCs/>
          <w:color w:val="31432f"/>
          <w:sz w:val="23"/>
          <w:szCs w:val="23"/>
        </w:rPr>
        <w:t xml:space="preserve">8.2.1 视网膜病变</w:t>
      </w:r>
    </w:p>
    <w:p>
      <w:pPr>
        <w:pStyle w:val="ListParagraph"/>
        <w:numPr>
          <w:ilvl w:val="0"/>
          <w:numId w:val="2"/>
        </w:numPr>
        <w:spacing w:after="40" w:before="40"/>
      </w:pPr>
      <w:r>
        <w:rPr>
          <w:rFonts w:ascii="Arial" w:cs="Arial" w:eastAsia="Arial" w:hAnsi="Arial"/>
          <w:color w:val="222222"/>
          <w:sz w:val="21"/>
          <w:szCs w:val="21"/>
        </w:rPr>
        <w:t xml:space="preserve">T1D诊断5年后、T2D确诊时即应进行首次散瞳眼底检查</w:t>
      </w:r>
    </w:p>
    <w:p>
      <w:pPr>
        <w:pStyle w:val="ListParagraph"/>
        <w:numPr>
          <w:ilvl w:val="0"/>
          <w:numId w:val="2"/>
        </w:numPr>
        <w:spacing w:after="40" w:before="40"/>
      </w:pPr>
      <w:r>
        <w:rPr>
          <w:rFonts w:ascii="Arial" w:cs="Arial" w:eastAsia="Arial" w:hAnsi="Arial"/>
          <w:color w:val="222222"/>
          <w:sz w:val="21"/>
          <w:szCs w:val="21"/>
        </w:rPr>
        <w:t xml:space="preserve">此后每1–2年检查一次，有视网膜病变者更频繁</w:t>
      </w:r>
    </w:p>
    <w:p>
      <w:pPr>
        <w:pStyle w:val="ListParagraph"/>
        <w:numPr>
          <w:ilvl w:val="0"/>
          <w:numId w:val="2"/>
        </w:numPr>
        <w:spacing w:after="40" w:before="40"/>
      </w:pPr>
      <w:r>
        <w:rPr>
          <w:rFonts w:ascii="Arial" w:cs="Arial" w:eastAsia="Arial" w:hAnsi="Arial"/>
          <w:color w:val="222222"/>
          <w:sz w:val="21"/>
          <w:szCs w:val="21"/>
        </w:rPr>
        <w:t xml:space="preserve">2026新增：可使用AI辅助视网膜筛查工具</w:t>
      </w:r>
    </w:p>
    <w:p>
      <w:pPr>
        <w:pStyle w:val="ListParagraph"/>
        <w:numPr>
          <w:ilvl w:val="0"/>
          <w:numId w:val="2"/>
        </w:numPr>
        <w:spacing w:after="40" w:before="40"/>
      </w:pPr>
      <w:r>
        <w:rPr>
          <w:rFonts w:ascii="Arial" w:cs="Arial" w:eastAsia="Arial" w:hAnsi="Arial"/>
          <w:color w:val="222222"/>
          <w:sz w:val="21"/>
          <w:szCs w:val="21"/>
        </w:rPr>
        <w:t xml:space="preserve">良好的血糖和血压控制可减缓进展</w:t>
      </w:r>
    </w:p>
    <w:p>
      <w:pPr>
        <w:pStyle w:val="Heading3"/>
        <w:spacing w:after="100" w:before="220"/>
      </w:pPr>
      <w:r>
        <w:rPr>
          <w:rFonts w:ascii="Arial" w:cs="Arial" w:eastAsia="Arial" w:hAnsi="Arial"/>
          <w:b/>
          <w:bCs/>
          <w:color w:val="31432f"/>
          <w:sz w:val="23"/>
          <w:szCs w:val="23"/>
        </w:rPr>
        <w:t xml:space="preserve">8.2.2 神经病变</w:t>
      </w:r>
    </w:p>
    <w:p>
      <w:pPr>
        <w:pStyle w:val="ListParagraph"/>
        <w:numPr>
          <w:ilvl w:val="0"/>
          <w:numId w:val="2"/>
        </w:numPr>
        <w:spacing w:after="40" w:before="40"/>
      </w:pPr>
      <w:r>
        <w:rPr>
          <w:rFonts w:ascii="Arial" w:cs="Arial" w:eastAsia="Arial" w:hAnsi="Arial"/>
          <w:color w:val="222222"/>
          <w:sz w:val="21"/>
          <w:szCs w:val="21"/>
        </w:rPr>
        <w:t xml:space="preserve">T2D确诊时及T1D诊断5年后筛查远端对称性多发性神经病变</w:t>
      </w:r>
    </w:p>
    <w:p>
      <w:pPr>
        <w:pStyle w:val="ListParagraph"/>
        <w:numPr>
          <w:ilvl w:val="0"/>
          <w:numId w:val="2"/>
        </w:numPr>
        <w:spacing w:after="40" w:before="40"/>
      </w:pPr>
      <w:r>
        <w:rPr>
          <w:rFonts w:ascii="Arial" w:cs="Arial" w:eastAsia="Arial" w:hAnsi="Arial"/>
          <w:color w:val="222222"/>
          <w:sz w:val="21"/>
          <w:szCs w:val="21"/>
        </w:rPr>
        <w:t xml:space="preserve">检查方法：针刺觉、温度觉、振动觉（128 Hz音叉）、10 g单丝检测</w:t>
      </w:r>
    </w:p>
    <w:p>
      <w:pPr>
        <w:pStyle w:val="ListParagraph"/>
        <w:numPr>
          <w:ilvl w:val="0"/>
          <w:numId w:val="2"/>
        </w:numPr>
        <w:spacing w:after="40" w:before="40"/>
      </w:pPr>
      <w:r>
        <w:rPr>
          <w:rFonts w:ascii="Arial" w:cs="Arial" w:eastAsia="Arial" w:hAnsi="Arial"/>
          <w:color w:val="222222"/>
          <w:sz w:val="21"/>
          <w:szCs w:val="21"/>
        </w:rPr>
        <w:t xml:space="preserve">药物治疗：普瑞巴林、度洛西汀、加巴喷丁（用于痛性神经病变）</w:t>
      </w:r>
    </w:p>
    <w:p>
      <w:pPr>
        <w:pStyle w:val="ListParagraph"/>
        <w:numPr>
          <w:ilvl w:val="0"/>
          <w:numId w:val="2"/>
        </w:numPr>
        <w:spacing w:after="40" w:before="40"/>
      </w:pPr>
      <w:r>
        <w:rPr>
          <w:rFonts w:ascii="Arial" w:cs="Arial" w:eastAsia="Arial" w:hAnsi="Arial"/>
          <w:color w:val="222222"/>
          <w:sz w:val="21"/>
          <w:szCs w:val="21"/>
        </w:rPr>
        <w:t xml:space="preserve">自主神经病变评估：心血管自主神经病变、胃轻瘫</w:t>
      </w:r>
    </w:p>
    <w:p>
      <w:pPr>
        <w:pStyle w:val="Heading3"/>
        <w:spacing w:after="100" w:before="220"/>
      </w:pPr>
      <w:r>
        <w:rPr>
          <w:rFonts w:ascii="Arial" w:cs="Arial" w:eastAsia="Arial" w:hAnsi="Arial"/>
          <w:b/>
          <w:bCs/>
          <w:color w:val="31432f"/>
          <w:sz w:val="23"/>
          <w:szCs w:val="23"/>
        </w:rPr>
        <w:t xml:space="preserve">8.2.3 糖尿病足</w:t>
      </w:r>
    </w:p>
    <w:p>
      <w:pPr>
        <w:pStyle w:val="ListParagraph"/>
        <w:numPr>
          <w:ilvl w:val="0"/>
          <w:numId w:val="2"/>
        </w:numPr>
        <w:spacing w:after="40" w:before="40"/>
      </w:pPr>
      <w:r>
        <w:rPr>
          <w:rFonts w:ascii="Arial" w:cs="Arial" w:eastAsia="Arial" w:hAnsi="Arial"/>
          <w:color w:val="222222"/>
          <w:sz w:val="21"/>
          <w:szCs w:val="21"/>
        </w:rPr>
        <w:t xml:space="preserve">每次就诊时进行全面足部检查</w:t>
      </w:r>
    </w:p>
    <w:p>
      <w:pPr>
        <w:pStyle w:val="ListParagraph"/>
        <w:numPr>
          <w:ilvl w:val="0"/>
          <w:numId w:val="2"/>
        </w:numPr>
        <w:spacing w:after="40" w:before="40"/>
      </w:pPr>
      <w:r>
        <w:rPr>
          <w:rFonts w:ascii="Arial" w:cs="Arial" w:eastAsia="Arial" w:hAnsi="Arial"/>
          <w:color w:val="222222"/>
          <w:sz w:val="21"/>
          <w:szCs w:val="21"/>
        </w:rPr>
        <w:t xml:space="preserve">高危患者需多学科团队管理</w:t>
      </w:r>
    </w:p>
    <w:p>
      <w:pPr>
        <w:pStyle w:val="ListParagraph"/>
        <w:numPr>
          <w:ilvl w:val="0"/>
          <w:numId w:val="2"/>
        </w:numPr>
        <w:spacing w:after="40" w:before="40"/>
      </w:pPr>
      <w:r>
        <w:rPr>
          <w:rFonts w:ascii="Arial" w:cs="Arial" w:eastAsia="Arial" w:hAnsi="Arial"/>
          <w:color w:val="222222"/>
          <w:sz w:val="21"/>
          <w:szCs w:val="21"/>
        </w:rPr>
        <w:t xml:space="preserve">2026新增：足部护理的新兴技术和糖尿病足溃疡的辅助先进治疗方法</w:t>
      </w:r>
    </w:p>
    <w:p>
      <w:pPr>
        <w:pStyle w:val="ListParagraph"/>
        <w:numPr>
          <w:ilvl w:val="0"/>
          <w:numId w:val="2"/>
        </w:numPr>
        <w:spacing w:after="40" w:before="40"/>
      </w:pPr>
      <w:r>
        <w:rPr>
          <w:rFonts w:ascii="Arial" w:cs="Arial" w:eastAsia="Arial" w:hAnsi="Arial"/>
          <w:color w:val="222222"/>
          <w:sz w:val="21"/>
          <w:szCs w:val="21"/>
        </w:rPr>
        <w:t xml:space="preserve">预防措施：适当鞋袜、每日足部自检、戒烟、血糖和血压控制</w:t>
      </w:r>
    </w:p>
    <w:p>
      <w:pPr>
        <w:pStyle w:val="Heading3"/>
        <w:spacing w:after="100" w:before="220"/>
      </w:pPr>
      <w:r>
        <w:rPr>
          <w:rFonts w:ascii="Arial" w:cs="Arial" w:eastAsia="Arial" w:hAnsi="Arial"/>
          <w:b/>
          <w:bCs/>
          <w:color w:val="31432f"/>
          <w:sz w:val="23"/>
          <w:szCs w:val="23"/>
        </w:rPr>
        <w:t xml:space="preserve">8.2.4 慢性肾脏病</w:t>
      </w:r>
    </w:p>
    <w:p>
      <w:pPr>
        <w:spacing w:after="100" w:before="60"/>
      </w:pPr>
      <w:r>
        <w:rPr>
          <w:rFonts w:ascii="Arial" w:cs="Arial" w:eastAsia="Arial" w:hAnsi="Arial"/>
          <w:color w:val="222222"/>
          <w:sz w:val="21"/>
          <w:szCs w:val="21"/>
        </w:rPr>
        <w:t xml:space="preserve">（详见第七章）</w:t>
      </w:r>
    </w:p>
    <w:p>
      <w:r>
        <w:br w:type="page"/>
      </w:r>
    </w:p>
    <w:p>
      <w:pPr>
        <w:pStyle w:val="Heading1"/>
        <w:spacing w:after="180" w:before="360"/>
      </w:pPr>
      <w:r>
        <w:rPr>
          <w:rFonts w:ascii="Arial" w:cs="Arial" w:eastAsia="Arial" w:hAnsi="Arial"/>
          <w:b/>
          <w:bCs/>
          <w:color w:val="3a5239"/>
          <w:sz w:val="32"/>
          <w:szCs w:val="32"/>
        </w:rPr>
        <w:t xml:space="preserve">九、特殊人群管理</w:t>
      </w:r>
    </w:p>
    <w:p>
      <w:pPr>
        <w:pBdr>
          <w:bottom w:val="single" w:color="476647" w:sz="3" w:space="4"/>
        </w:pBdr>
        <w:spacing w:after="200" w:before="0"/>
      </w:pPr>
    </w:p>
    <w:p>
      <w:pPr>
        <w:pStyle w:val="Heading2"/>
        <w:spacing w:after="140" w:before="280"/>
      </w:pPr>
      <w:r>
        <w:rPr>
          <w:rFonts w:ascii="Arial" w:cs="Arial" w:eastAsia="Arial" w:hAnsi="Arial"/>
          <w:b/>
          <w:bCs/>
          <w:color w:val="31432f"/>
          <w:sz w:val="26"/>
          <w:szCs w:val="26"/>
        </w:rPr>
        <w:t xml:space="preserve">9.1 老年糖尿病患者</w:t>
      </w:r>
    </w:p>
    <w:p>
      <w:pPr>
        <w:spacing w:after="100" w:before="60"/>
      </w:pPr>
      <w:r>
        <w:rPr>
          <w:rFonts w:ascii="Arial" w:cs="Arial" w:eastAsia="Arial" w:hAnsi="Arial"/>
          <w:color w:val="222222"/>
          <w:sz w:val="21"/>
          <w:szCs w:val="21"/>
        </w:rPr>
        <w:t xml:space="preserve">ADA 2026的老年人章节获美国老年医学会（AGS）连续第二年背书：</w:t>
      </w:r>
    </w:p>
    <w:p>
      <w:pPr>
        <w:pStyle w:val="ListParagraph"/>
        <w:numPr>
          <w:ilvl w:val="0"/>
          <w:numId w:val="2"/>
        </w:numPr>
        <w:spacing w:after="40" w:before="40"/>
      </w:pPr>
      <w:r>
        <w:rPr>
          <w:rFonts w:ascii="Arial" w:cs="Arial" w:eastAsia="Arial" w:hAnsi="Arial"/>
          <w:b/>
          <w:bCs/>
          <w:color w:val="222222"/>
          <w:sz w:val="21"/>
          <w:szCs w:val="21"/>
        </w:rPr>
        <w:t xml:space="preserve">个体化目标</w:t>
      </w:r>
      <w:r>
        <w:rPr>
          <w:rFonts w:ascii="Arial" w:cs="Arial" w:eastAsia="Arial" w:hAnsi="Arial"/>
          <w:color w:val="222222"/>
          <w:sz w:val="21"/>
          <w:szCs w:val="21"/>
        </w:rPr>
        <w:t xml:space="preserve">：根据健康状况、合并症、预期寿命和低血糖风险分层</w:t>
      </w:r>
    </w:p>
    <w:p>
      <w:pPr>
        <w:pStyle w:val="ListParagraph"/>
        <w:numPr>
          <w:ilvl w:val="1"/>
          <w:numId w:val="2"/>
        </w:numPr>
        <w:spacing w:after="40" w:before="40"/>
      </w:pPr>
      <w:r>
        <w:rPr>
          <w:rFonts w:ascii="Arial" w:cs="Arial" w:eastAsia="Arial" w:hAnsi="Arial"/>
          <w:color w:val="222222"/>
          <w:sz w:val="21"/>
          <w:szCs w:val="21"/>
        </w:rPr>
        <w:t xml:space="preserve">健康老年人：HbA1c &lt;7.0%–7.5%</w:t>
      </w:r>
    </w:p>
    <w:p>
      <w:pPr>
        <w:pStyle w:val="ListParagraph"/>
        <w:numPr>
          <w:ilvl w:val="1"/>
          <w:numId w:val="2"/>
        </w:numPr>
        <w:spacing w:after="40" w:before="40"/>
      </w:pPr>
      <w:r>
        <w:rPr>
          <w:rFonts w:ascii="Arial" w:cs="Arial" w:eastAsia="Arial" w:hAnsi="Arial"/>
          <w:color w:val="222222"/>
          <w:sz w:val="21"/>
          <w:szCs w:val="21"/>
        </w:rPr>
        <w:t xml:space="preserve">复杂/中间状态：HbA1c &lt;8.0%</w:t>
      </w:r>
    </w:p>
    <w:p>
      <w:pPr>
        <w:pStyle w:val="ListParagraph"/>
        <w:numPr>
          <w:ilvl w:val="1"/>
          <w:numId w:val="2"/>
        </w:numPr>
        <w:spacing w:after="40" w:before="40"/>
      </w:pPr>
      <w:r>
        <w:rPr>
          <w:rFonts w:ascii="Arial" w:cs="Arial" w:eastAsia="Arial" w:hAnsi="Arial"/>
          <w:color w:val="222222"/>
          <w:sz w:val="21"/>
          <w:szCs w:val="21"/>
        </w:rPr>
        <w:t xml:space="preserve">健康状况较差/预期寿命有限：HbA1c &lt;8.5%，避免高血糖症状即可</w:t>
      </w:r>
    </w:p>
    <w:p>
      <w:pPr>
        <w:pStyle w:val="ListParagraph"/>
        <w:numPr>
          <w:ilvl w:val="0"/>
          <w:numId w:val="2"/>
        </w:numPr>
        <w:spacing w:after="40" w:before="40"/>
      </w:pPr>
      <w:r>
        <w:rPr>
          <w:rFonts w:ascii="Arial" w:cs="Arial" w:eastAsia="Arial" w:hAnsi="Arial"/>
          <w:b/>
          <w:bCs/>
          <w:color w:val="222222"/>
          <w:sz w:val="21"/>
          <w:szCs w:val="21"/>
        </w:rPr>
        <w:t xml:space="preserve">2026年更新</w:t>
      </w:r>
      <w:r>
        <w:rPr>
          <w:rFonts w:ascii="Arial" w:cs="Arial" w:eastAsia="Arial" w:hAnsi="Arial"/>
          <w:color w:val="222222"/>
          <w:sz w:val="21"/>
          <w:szCs w:val="21"/>
        </w:rPr>
        <w:t xml:space="preserve">：</w:t>
      </w:r>
    </w:p>
    <w:p>
      <w:pPr>
        <w:pStyle w:val="ListParagraph"/>
        <w:numPr>
          <w:ilvl w:val="1"/>
          <w:numId w:val="2"/>
        </w:numPr>
        <w:spacing w:after="40" w:before="40"/>
      </w:pPr>
      <w:r>
        <w:rPr>
          <w:rFonts w:ascii="Arial" w:cs="Arial" w:eastAsia="Arial" w:hAnsi="Arial"/>
          <w:color w:val="222222"/>
          <w:sz w:val="21"/>
          <w:szCs w:val="21"/>
        </w:rPr>
        <w:t xml:space="preserve">CGM推荐用于使用胰岛素的老年T1D和T2D患者</w:t>
      </w:r>
    </w:p>
    <w:p>
      <w:pPr>
        <w:pStyle w:val="ListParagraph"/>
        <w:numPr>
          <w:ilvl w:val="1"/>
          <w:numId w:val="2"/>
        </w:numPr>
        <w:spacing w:after="40" w:before="40"/>
      </w:pPr>
      <w:r>
        <w:rPr>
          <w:rFonts w:ascii="Arial" w:cs="Arial" w:eastAsia="Arial" w:hAnsi="Arial"/>
          <w:color w:val="222222"/>
          <w:sz w:val="21"/>
          <w:szCs w:val="21"/>
        </w:rPr>
        <w:t xml:space="preserve">蛋白质摄入建议更具体：至少0.8 g/kg体重/天</w:t>
      </w:r>
    </w:p>
    <w:p>
      <w:pPr>
        <w:pStyle w:val="ListParagraph"/>
        <w:numPr>
          <w:ilvl w:val="1"/>
          <w:numId w:val="2"/>
        </w:numPr>
        <w:spacing w:after="40" w:before="40"/>
      </w:pPr>
      <w:r>
        <w:rPr>
          <w:rFonts w:ascii="Arial" w:cs="Arial" w:eastAsia="Arial" w:hAnsi="Arial"/>
          <w:color w:val="222222"/>
          <w:sz w:val="21"/>
          <w:szCs w:val="21"/>
        </w:rPr>
        <w:t xml:space="preserve">新增老年综合征和功能障碍评估指导（Table 13.1）</w:t>
      </w:r>
    </w:p>
    <w:p>
      <w:pPr>
        <w:pStyle w:val="ListParagraph"/>
        <w:numPr>
          <w:ilvl w:val="1"/>
          <w:numId w:val="2"/>
        </w:numPr>
        <w:spacing w:after="40" w:before="40"/>
      </w:pPr>
      <w:r>
        <w:rPr>
          <w:rFonts w:ascii="Arial" w:cs="Arial" w:eastAsia="Arial" w:hAnsi="Arial"/>
          <w:color w:val="222222"/>
          <w:sz w:val="21"/>
          <w:szCs w:val="21"/>
        </w:rPr>
        <w:t xml:space="preserve">新增治疗计划逐步评估和去强化/简化的流程图（Figure 13.2）</w:t>
      </w:r>
    </w:p>
    <w:p>
      <w:pPr>
        <w:pStyle w:val="ListParagraph"/>
        <w:numPr>
          <w:ilvl w:val="1"/>
          <w:numId w:val="2"/>
        </w:numPr>
        <w:spacing w:after="40" w:before="40"/>
      </w:pPr>
      <w:r>
        <w:rPr>
          <w:rFonts w:ascii="Arial" w:cs="Arial" w:eastAsia="Arial" w:hAnsi="Arial"/>
          <w:color w:val="222222"/>
          <w:sz w:val="21"/>
          <w:szCs w:val="21"/>
        </w:rPr>
        <w:t xml:space="preserve">血压目标更新：大多数老年人&lt;130/80 mmHg（可安全达到时），健康状况差者&lt;140/90 mmHg</w:t>
      </w:r>
    </w:p>
    <w:p>
      <w:pPr>
        <w:pStyle w:val="ListParagraph"/>
        <w:numPr>
          <w:ilvl w:val="0"/>
          <w:numId w:val="2"/>
        </w:numPr>
        <w:spacing w:after="40" w:before="40"/>
      </w:pPr>
      <w:r>
        <w:rPr>
          <w:rFonts w:ascii="Arial" w:cs="Arial" w:eastAsia="Arial" w:hAnsi="Arial"/>
          <w:color w:val="222222"/>
          <w:sz w:val="21"/>
          <w:szCs w:val="21"/>
        </w:rPr>
        <w:t xml:space="preserve">避免低血糖：简化治疗方案，减少磺脲类和胰岛素复杂方案</w:t>
      </w:r>
    </w:p>
    <w:p>
      <w:pPr>
        <w:pStyle w:val="ListParagraph"/>
        <w:numPr>
          <w:ilvl w:val="0"/>
          <w:numId w:val="2"/>
        </w:numPr>
        <w:spacing w:after="40" w:before="40"/>
      </w:pPr>
      <w:r>
        <w:rPr>
          <w:rFonts w:ascii="Arial" w:cs="Arial" w:eastAsia="Arial" w:hAnsi="Arial"/>
          <w:color w:val="222222"/>
          <w:sz w:val="21"/>
          <w:szCs w:val="21"/>
        </w:rPr>
        <w:t xml:space="preserve">注意多药相互作用和药物去强化</w:t>
      </w:r>
    </w:p>
    <w:p>
      <w:pPr>
        <w:pStyle w:val="Heading2"/>
        <w:spacing w:after="140" w:before="280"/>
      </w:pPr>
      <w:r>
        <w:rPr>
          <w:rFonts w:ascii="Arial" w:cs="Arial" w:eastAsia="Arial" w:hAnsi="Arial"/>
          <w:b/>
          <w:bCs/>
          <w:color w:val="31432f"/>
          <w:sz w:val="26"/>
          <w:szCs w:val="26"/>
        </w:rPr>
        <w:t xml:space="preserve">9.2 妊娠期糖尿病管理</w:t>
      </w:r>
    </w:p>
    <w:p>
      <w:pPr>
        <w:pStyle w:val="ListParagraph"/>
        <w:numPr>
          <w:ilvl w:val="0"/>
          <w:numId w:val="2"/>
        </w:numPr>
        <w:spacing w:after="40" w:before="40"/>
      </w:pPr>
      <w:r>
        <w:rPr>
          <w:rFonts w:ascii="Arial" w:cs="Arial" w:eastAsia="Arial" w:hAnsi="Arial"/>
          <w:b/>
          <w:bCs/>
          <w:color w:val="222222"/>
          <w:sz w:val="21"/>
          <w:szCs w:val="21"/>
        </w:rPr>
        <w:t xml:space="preserve">孕前咨询</w:t>
      </w:r>
      <w:r>
        <w:rPr>
          <w:rFonts w:ascii="Arial" w:cs="Arial" w:eastAsia="Arial" w:hAnsi="Arial"/>
          <w:color w:val="222222"/>
          <w:sz w:val="21"/>
          <w:szCs w:val="21"/>
        </w:rPr>
        <w:t xml:space="preserve">：有生育计划的糖尿病患者应在孕前优化血糖、HbA1c&lt;6.5%</w:t>
      </w:r>
    </w:p>
    <w:p>
      <w:pPr>
        <w:pStyle w:val="ListParagraph"/>
        <w:numPr>
          <w:ilvl w:val="0"/>
          <w:numId w:val="2"/>
        </w:numPr>
        <w:spacing w:after="40" w:before="40"/>
      </w:pPr>
      <w:r>
        <w:rPr>
          <w:rFonts w:ascii="Arial" w:cs="Arial" w:eastAsia="Arial" w:hAnsi="Arial"/>
          <w:b/>
          <w:bCs/>
          <w:color w:val="222222"/>
          <w:sz w:val="21"/>
          <w:szCs w:val="21"/>
        </w:rPr>
        <w:t xml:space="preserve">妊娠期血糖目标</w:t>
      </w:r>
      <w:r>
        <w:rPr>
          <w:rFonts w:ascii="Arial" w:cs="Arial" w:eastAsia="Arial" w:hAnsi="Arial"/>
          <w:color w:val="222222"/>
          <w:sz w:val="21"/>
          <w:szCs w:val="21"/>
        </w:rPr>
        <w:t xml:space="preserve">：</w:t>
      </w:r>
    </w:p>
    <w:p>
      <w:pPr>
        <w:pStyle w:val="ListParagraph"/>
        <w:numPr>
          <w:ilvl w:val="1"/>
          <w:numId w:val="2"/>
        </w:numPr>
        <w:spacing w:after="40" w:before="40"/>
      </w:pPr>
      <w:r>
        <w:rPr>
          <w:rFonts w:ascii="Arial" w:cs="Arial" w:eastAsia="Arial" w:hAnsi="Arial"/>
          <w:color w:val="222222"/>
          <w:sz w:val="21"/>
          <w:szCs w:val="21"/>
        </w:rPr>
        <w:t xml:space="preserve">空腹血糖：&lt;95 mg/dL（5.3 mmol/L）</w:t>
      </w:r>
    </w:p>
    <w:p>
      <w:pPr>
        <w:pStyle w:val="ListParagraph"/>
        <w:numPr>
          <w:ilvl w:val="1"/>
          <w:numId w:val="2"/>
        </w:numPr>
        <w:spacing w:after="40" w:before="40"/>
      </w:pPr>
      <w:r>
        <w:rPr>
          <w:rFonts w:ascii="Arial" w:cs="Arial" w:eastAsia="Arial" w:hAnsi="Arial"/>
          <w:color w:val="222222"/>
          <w:sz w:val="21"/>
          <w:szCs w:val="21"/>
        </w:rPr>
        <w:t xml:space="preserve">餐后1小时：&lt;140 mg/dL（7.8 mmol/L）</w:t>
      </w:r>
    </w:p>
    <w:p>
      <w:pPr>
        <w:pStyle w:val="ListParagraph"/>
        <w:numPr>
          <w:ilvl w:val="1"/>
          <w:numId w:val="2"/>
        </w:numPr>
        <w:spacing w:after="40" w:before="40"/>
      </w:pPr>
      <w:r>
        <w:rPr>
          <w:rFonts w:ascii="Arial" w:cs="Arial" w:eastAsia="Arial" w:hAnsi="Arial"/>
          <w:color w:val="222222"/>
          <w:sz w:val="21"/>
          <w:szCs w:val="21"/>
        </w:rPr>
        <w:t xml:space="preserve">餐后2小时：&lt;120 mg/dL（6.7 mmol/L）</w:t>
      </w:r>
    </w:p>
    <w:p>
      <w:pPr>
        <w:pStyle w:val="ListParagraph"/>
        <w:numPr>
          <w:ilvl w:val="0"/>
          <w:numId w:val="2"/>
        </w:numPr>
        <w:spacing w:after="40" w:before="40"/>
      </w:pPr>
      <w:r>
        <w:rPr>
          <w:rFonts w:ascii="Arial" w:cs="Arial" w:eastAsia="Arial" w:hAnsi="Arial"/>
          <w:b/>
          <w:bCs/>
          <w:color w:val="222222"/>
          <w:sz w:val="21"/>
          <w:szCs w:val="21"/>
        </w:rPr>
        <w:t xml:space="preserve">2026年更新</w:t>
      </w:r>
      <w:r>
        <w:rPr>
          <w:rFonts w:ascii="Arial" w:cs="Arial" w:eastAsia="Arial" w:hAnsi="Arial"/>
          <w:color w:val="222222"/>
          <w:sz w:val="21"/>
          <w:szCs w:val="21"/>
        </w:rPr>
        <w:t xml:space="preserve">：</w:t>
      </w:r>
    </w:p>
    <w:p>
      <w:pPr>
        <w:pStyle w:val="ListParagraph"/>
        <w:numPr>
          <w:ilvl w:val="1"/>
          <w:numId w:val="2"/>
        </w:numPr>
        <w:spacing w:after="40" w:before="40"/>
      </w:pPr>
      <w:r>
        <w:rPr>
          <w:rFonts w:ascii="Arial" w:cs="Arial" w:eastAsia="Arial" w:hAnsi="Arial"/>
          <w:color w:val="222222"/>
          <w:sz w:val="21"/>
          <w:szCs w:val="21"/>
        </w:rPr>
        <w:t xml:space="preserve">在妊娠15周前筛查异常糖代谢（定义为HbA1c 5.9%–6.4%或FPG 110–125 mg/dL），以识别高风险个体</w:t>
      </w:r>
    </w:p>
    <w:p>
      <w:pPr>
        <w:pStyle w:val="ListParagraph"/>
        <w:numPr>
          <w:ilvl w:val="1"/>
          <w:numId w:val="2"/>
        </w:numPr>
        <w:spacing w:after="40" w:before="40"/>
      </w:pPr>
      <w:r>
        <w:rPr>
          <w:rFonts w:ascii="Arial" w:cs="Arial" w:eastAsia="Arial" w:hAnsi="Arial"/>
          <w:color w:val="222222"/>
          <w:sz w:val="21"/>
          <w:szCs w:val="21"/>
        </w:rPr>
        <w:t xml:space="preserve">更新了孕前咨询和非胰岛素降糖药物停用指导</w:t>
      </w:r>
    </w:p>
    <w:p>
      <w:pPr>
        <w:pStyle w:val="ListParagraph"/>
        <w:numPr>
          <w:ilvl w:val="0"/>
          <w:numId w:val="2"/>
        </w:numPr>
        <w:spacing w:after="40" w:before="40"/>
      </w:pPr>
      <w:r>
        <w:rPr>
          <w:rFonts w:ascii="Arial" w:cs="Arial" w:eastAsia="Arial" w:hAnsi="Arial"/>
          <w:color w:val="222222"/>
          <w:sz w:val="21"/>
          <w:szCs w:val="21"/>
        </w:rPr>
        <w:t xml:space="preserve">胰岛素是妊娠期唯一推荐的降糖药物</w:t>
      </w:r>
    </w:p>
    <w:p>
      <w:pPr>
        <w:pStyle w:val="ListParagraph"/>
        <w:numPr>
          <w:ilvl w:val="0"/>
          <w:numId w:val="2"/>
        </w:numPr>
        <w:spacing w:after="40" w:before="40"/>
      </w:pPr>
      <w:r>
        <w:rPr>
          <w:rFonts w:ascii="Arial" w:cs="Arial" w:eastAsia="Arial" w:hAnsi="Arial"/>
          <w:color w:val="222222"/>
          <w:sz w:val="21"/>
          <w:szCs w:val="21"/>
        </w:rPr>
        <w:t xml:space="preserve">产后4–12周使用75g OGTT筛查糖尿病，此后终身每1–3年筛查</w:t>
      </w:r>
    </w:p>
    <w:p>
      <w:pPr>
        <w:pStyle w:val="Heading2"/>
        <w:spacing w:after="140" w:before="280"/>
      </w:pPr>
      <w:r>
        <w:rPr>
          <w:rFonts w:ascii="Arial" w:cs="Arial" w:eastAsia="Arial" w:hAnsi="Arial"/>
          <w:b/>
          <w:bCs/>
          <w:color w:val="31432f"/>
          <w:sz w:val="26"/>
          <w:szCs w:val="26"/>
        </w:rPr>
        <w:t xml:space="preserve">9.3 儿童和青少年糖尿病</w:t>
      </w:r>
    </w:p>
    <w:p>
      <w:pPr>
        <w:spacing w:after="100" w:before="60"/>
      </w:pPr>
      <w:r>
        <w:rPr>
          <w:rFonts w:ascii="Arial" w:cs="Arial" w:eastAsia="Arial" w:hAnsi="Arial"/>
          <w:color w:val="222222"/>
          <w:sz w:val="21"/>
          <w:szCs w:val="21"/>
        </w:rPr>
        <w:t xml:space="preserve">ADA 2026的儿童和青少年章节首次获国际儿童与青少年糖尿病学会（ISPAD）背书：</w:t>
      </w:r>
    </w:p>
    <w:p>
      <w:pPr>
        <w:pStyle w:val="ListParagraph"/>
        <w:numPr>
          <w:ilvl w:val="0"/>
          <w:numId w:val="2"/>
        </w:numPr>
        <w:spacing w:after="40" w:before="40"/>
      </w:pPr>
      <w:r>
        <w:rPr>
          <w:rFonts w:ascii="Arial" w:cs="Arial" w:eastAsia="Arial" w:hAnsi="Arial"/>
          <w:b/>
          <w:bCs/>
          <w:color w:val="222222"/>
          <w:sz w:val="21"/>
          <w:szCs w:val="21"/>
        </w:rPr>
        <w:t xml:space="preserve">1型糖尿病</w:t>
      </w:r>
      <w:r>
        <w:rPr>
          <w:rFonts w:ascii="Arial" w:cs="Arial" w:eastAsia="Arial" w:hAnsi="Arial"/>
          <w:color w:val="222222"/>
          <w:sz w:val="21"/>
          <w:szCs w:val="21"/>
        </w:rPr>
        <w:t xml:space="preserve">：</w:t>
      </w:r>
    </w:p>
    <w:p>
      <w:pPr>
        <w:pStyle w:val="ListParagraph"/>
        <w:numPr>
          <w:ilvl w:val="1"/>
          <w:numId w:val="2"/>
        </w:numPr>
        <w:spacing w:after="40" w:before="40"/>
      </w:pPr>
      <w:r>
        <w:rPr>
          <w:rFonts w:ascii="Arial" w:cs="Arial" w:eastAsia="Arial" w:hAnsi="Arial"/>
          <w:color w:val="222222"/>
          <w:sz w:val="21"/>
          <w:szCs w:val="21"/>
        </w:rPr>
        <w:t xml:space="preserve">血糖目标：HbA1c &lt;7.0%，使用CGM指标辅助管理</w:t>
      </w:r>
    </w:p>
    <w:p>
      <w:pPr>
        <w:pStyle w:val="ListParagraph"/>
        <w:numPr>
          <w:ilvl w:val="1"/>
          <w:numId w:val="2"/>
        </w:numPr>
        <w:spacing w:after="40" w:before="40"/>
      </w:pPr>
      <w:r>
        <w:rPr>
          <w:rFonts w:ascii="Arial" w:cs="Arial" w:eastAsia="Arial" w:hAnsi="Arial"/>
          <w:color w:val="222222"/>
          <w:sz w:val="21"/>
          <w:szCs w:val="21"/>
        </w:rPr>
        <w:t xml:space="preserve">AID系统是优选胰岛素给药方式</w:t>
      </w:r>
    </w:p>
    <w:p>
      <w:pPr>
        <w:pStyle w:val="ListParagraph"/>
        <w:numPr>
          <w:ilvl w:val="1"/>
          <w:numId w:val="2"/>
        </w:numPr>
        <w:spacing w:after="40" w:before="40"/>
      </w:pPr>
      <w:r>
        <w:rPr>
          <w:rFonts w:ascii="Arial" w:cs="Arial" w:eastAsia="Arial" w:hAnsi="Arial"/>
          <w:color w:val="222222"/>
          <w:sz w:val="21"/>
          <w:szCs w:val="21"/>
        </w:rPr>
        <w:t xml:space="preserve">在学校应获得使用CGM、胰岛素泵等设备的支持</w:t>
      </w:r>
    </w:p>
    <w:p>
      <w:pPr>
        <w:pStyle w:val="ListParagraph"/>
        <w:numPr>
          <w:ilvl w:val="0"/>
          <w:numId w:val="2"/>
        </w:numPr>
        <w:spacing w:after="40" w:before="40"/>
      </w:pPr>
      <w:r>
        <w:rPr>
          <w:rFonts w:ascii="Arial" w:cs="Arial" w:eastAsia="Arial" w:hAnsi="Arial"/>
          <w:b/>
          <w:bCs/>
          <w:color w:val="222222"/>
          <w:sz w:val="21"/>
          <w:szCs w:val="21"/>
        </w:rPr>
        <w:t xml:space="preserve">2型糖尿病</w:t>
      </w:r>
      <w:r>
        <w:rPr>
          <w:rFonts w:ascii="Arial" w:cs="Arial" w:eastAsia="Arial" w:hAnsi="Arial"/>
          <w:color w:val="222222"/>
          <w:sz w:val="21"/>
          <w:szCs w:val="21"/>
        </w:rPr>
        <w:t xml:space="preserve">：</w:t>
      </w:r>
    </w:p>
    <w:p>
      <w:pPr>
        <w:pStyle w:val="ListParagraph"/>
        <w:numPr>
          <w:ilvl w:val="1"/>
          <w:numId w:val="2"/>
        </w:numPr>
        <w:spacing w:after="40" w:before="40"/>
      </w:pPr>
      <w:r>
        <w:rPr>
          <w:rFonts w:ascii="Arial" w:cs="Arial" w:eastAsia="Arial" w:hAnsi="Arial"/>
          <w:color w:val="222222"/>
          <w:sz w:val="21"/>
          <w:szCs w:val="21"/>
        </w:rPr>
        <w:t xml:space="preserve">二甲双胍仍为一线口服药</w:t>
      </w:r>
    </w:p>
    <w:p>
      <w:pPr>
        <w:pStyle w:val="ListParagraph"/>
        <w:numPr>
          <w:ilvl w:val="1"/>
          <w:numId w:val="2"/>
        </w:numPr>
        <w:spacing w:after="40" w:before="40"/>
      </w:pPr>
      <w:r>
        <w:rPr>
          <w:rFonts w:ascii="Arial" w:cs="Arial" w:eastAsia="Arial" w:hAnsi="Arial"/>
          <w:color w:val="222222"/>
          <w:sz w:val="21"/>
          <w:szCs w:val="21"/>
        </w:rPr>
        <w:t xml:space="preserve">2026新增：GLP-1 RA、SGLT2i和GIP/GLP-1 RA在儿童中的使用数据和FDA审批状态</w:t>
      </w:r>
    </w:p>
    <w:p>
      <w:pPr>
        <w:pStyle w:val="ListParagraph"/>
        <w:numPr>
          <w:ilvl w:val="1"/>
          <w:numId w:val="2"/>
        </w:numPr>
        <w:spacing w:after="40" w:before="40"/>
      </w:pPr>
      <w:r>
        <w:rPr>
          <w:rFonts w:ascii="Arial" w:cs="Arial" w:eastAsia="Arial" w:hAnsi="Arial"/>
          <w:color w:val="222222"/>
          <w:sz w:val="21"/>
          <w:szCs w:val="21"/>
        </w:rPr>
        <w:t xml:space="preserve">扩展了代谢/减重手术在青少年中的≥10年随访数据</w:t>
      </w:r>
    </w:p>
    <w:p>
      <w:pPr>
        <w:pStyle w:val="ListParagraph"/>
        <w:numPr>
          <w:ilvl w:val="0"/>
          <w:numId w:val="2"/>
        </w:numPr>
        <w:spacing w:after="40" w:before="40"/>
      </w:pPr>
      <w:r>
        <w:rPr>
          <w:rFonts w:ascii="Arial" w:cs="Arial" w:eastAsia="Arial" w:hAnsi="Arial"/>
          <w:b/>
          <w:bCs/>
          <w:color w:val="222222"/>
          <w:sz w:val="21"/>
          <w:szCs w:val="21"/>
        </w:rPr>
        <w:t xml:space="preserve">心理社会支持（2026大幅更新）</w:t>
      </w:r>
      <w:r>
        <w:rPr>
          <w:rFonts w:ascii="Arial" w:cs="Arial" w:eastAsia="Arial" w:hAnsi="Arial"/>
          <w:color w:val="222222"/>
          <w:sz w:val="21"/>
          <w:szCs w:val="21"/>
        </w:rPr>
        <w:t xml:space="preserve">：</w:t>
      </w:r>
    </w:p>
    <w:p>
      <w:pPr>
        <w:pStyle w:val="ListParagraph"/>
        <w:numPr>
          <w:ilvl w:val="1"/>
          <w:numId w:val="2"/>
        </w:numPr>
        <w:spacing w:after="40" w:before="40"/>
      </w:pPr>
      <w:r>
        <w:rPr>
          <w:rFonts w:ascii="Arial" w:cs="Arial" w:eastAsia="Arial" w:hAnsi="Arial"/>
          <w:color w:val="222222"/>
          <w:sz w:val="21"/>
          <w:szCs w:val="21"/>
        </w:rPr>
        <w:t xml:space="preserve">行为健康专业人员纳入核心团队</w:t>
      </w:r>
    </w:p>
    <w:p>
      <w:pPr>
        <w:pStyle w:val="ListParagraph"/>
        <w:numPr>
          <w:ilvl w:val="1"/>
          <w:numId w:val="2"/>
        </w:numPr>
        <w:spacing w:after="40" w:before="40"/>
      </w:pPr>
      <w:r>
        <w:rPr>
          <w:rFonts w:ascii="Arial" w:cs="Arial" w:eastAsia="Arial" w:hAnsi="Arial"/>
          <w:color w:val="222222"/>
          <w:sz w:val="21"/>
          <w:szCs w:val="21"/>
        </w:rPr>
        <w:t xml:space="preserve">从7–8岁起即可筛查糖尿病困扰、抑郁、焦虑、低血糖恐惧和进食行为异常</w:t>
      </w:r>
    </w:p>
    <w:p>
      <w:pPr>
        <w:pStyle w:val="ListParagraph"/>
        <w:numPr>
          <w:ilvl w:val="1"/>
          <w:numId w:val="2"/>
        </w:numPr>
        <w:spacing w:after="40" w:before="40"/>
      </w:pPr>
      <w:r>
        <w:rPr>
          <w:rFonts w:ascii="Arial" w:cs="Arial" w:eastAsia="Arial" w:hAnsi="Arial"/>
          <w:color w:val="222222"/>
          <w:sz w:val="21"/>
          <w:szCs w:val="21"/>
        </w:rPr>
        <w:t xml:space="preserve">青少年在适当发育年龄应有与医疗团队的独立沟通时间</w:t>
      </w:r>
    </w:p>
    <w:p>
      <w:pPr>
        <w:pStyle w:val="ListParagraph"/>
        <w:numPr>
          <w:ilvl w:val="1"/>
          <w:numId w:val="2"/>
        </w:numPr>
        <w:spacing w:after="40" w:before="40"/>
      </w:pPr>
      <w:r>
        <w:rPr>
          <w:rFonts w:ascii="Arial" w:cs="Arial" w:eastAsia="Arial" w:hAnsi="Arial"/>
          <w:color w:val="222222"/>
          <w:sz w:val="21"/>
          <w:szCs w:val="21"/>
        </w:rPr>
        <w:t xml:space="preserve">常规筛查食物不安全、住房稳定性、社会支持等</w:t>
      </w:r>
    </w:p>
    <w:p>
      <w:pPr>
        <w:pStyle w:val="ListParagraph"/>
        <w:numPr>
          <w:ilvl w:val="0"/>
          <w:numId w:val="2"/>
        </w:numPr>
        <w:spacing w:after="40" w:before="40"/>
      </w:pPr>
      <w:r>
        <w:rPr>
          <w:rFonts w:ascii="Arial" w:cs="Arial" w:eastAsia="Arial" w:hAnsi="Arial"/>
          <w:b/>
          <w:bCs/>
          <w:color w:val="222222"/>
          <w:sz w:val="21"/>
          <w:szCs w:val="21"/>
        </w:rPr>
        <w:t xml:space="preserve">过渡期管理</w:t>
      </w:r>
      <w:r>
        <w:rPr>
          <w:rFonts w:ascii="Arial" w:cs="Arial" w:eastAsia="Arial" w:hAnsi="Arial"/>
          <w:color w:val="222222"/>
          <w:sz w:val="21"/>
          <w:szCs w:val="21"/>
        </w:rPr>
        <w:t xml:space="preserve">：强调从儿科到成人医疗的结构化过渡项目，利用数字工具支持照护连续性</w:t>
      </w:r>
    </w:p>
    <w:p>
      <w:pPr>
        <w:pStyle w:val="Heading2"/>
        <w:spacing w:after="140" w:before="280"/>
      </w:pPr>
      <w:r>
        <w:rPr>
          <w:rFonts w:ascii="Arial" w:cs="Arial" w:eastAsia="Arial" w:hAnsi="Arial"/>
          <w:b/>
          <w:bCs/>
          <w:color w:val="31432f"/>
          <w:sz w:val="26"/>
          <w:szCs w:val="26"/>
        </w:rPr>
        <w:t xml:space="preserve">9.4 住院糖尿病管理</w:t>
      </w:r>
    </w:p>
    <w:p>
      <w:pPr>
        <w:pStyle w:val="ListParagraph"/>
        <w:numPr>
          <w:ilvl w:val="0"/>
          <w:numId w:val="2"/>
        </w:numPr>
        <w:spacing w:after="40" w:before="40"/>
      </w:pPr>
      <w:r>
        <w:rPr>
          <w:rFonts w:ascii="Arial" w:cs="Arial" w:eastAsia="Arial" w:hAnsi="Arial"/>
          <w:b/>
          <w:bCs/>
          <w:color w:val="222222"/>
          <w:sz w:val="21"/>
          <w:szCs w:val="21"/>
        </w:rPr>
        <w:t xml:space="preserve">一般住院患者血糖目标</w:t>
      </w:r>
      <w:r>
        <w:rPr>
          <w:rFonts w:ascii="Arial" w:cs="Arial" w:eastAsia="Arial" w:hAnsi="Arial"/>
          <w:color w:val="222222"/>
          <w:sz w:val="21"/>
          <w:szCs w:val="21"/>
        </w:rPr>
        <w:t xml:space="preserve">：140–180 mg/dL（7.8–10.0 mmol/L）</w:t>
      </w:r>
    </w:p>
    <w:p>
      <w:pPr>
        <w:pStyle w:val="ListParagraph"/>
        <w:numPr>
          <w:ilvl w:val="0"/>
          <w:numId w:val="2"/>
        </w:numPr>
        <w:spacing w:after="40" w:before="40"/>
      </w:pPr>
      <w:r>
        <w:rPr>
          <w:rFonts w:ascii="Arial" w:cs="Arial" w:eastAsia="Arial" w:hAnsi="Arial"/>
          <w:b/>
          <w:bCs/>
          <w:color w:val="222222"/>
          <w:sz w:val="21"/>
          <w:szCs w:val="21"/>
        </w:rPr>
        <w:t xml:space="preserve">2026年新增围手术期指导</w:t>
      </w:r>
      <w:r>
        <w:rPr>
          <w:rFonts w:ascii="Arial" w:cs="Arial" w:eastAsia="Arial" w:hAnsi="Arial"/>
          <w:color w:val="222222"/>
          <w:sz w:val="21"/>
          <w:szCs w:val="21"/>
        </w:rPr>
        <w:t xml:space="preserve">：</w:t>
      </w:r>
    </w:p>
    <w:p>
      <w:pPr>
        <w:pStyle w:val="ListParagraph"/>
        <w:numPr>
          <w:ilvl w:val="1"/>
          <w:numId w:val="2"/>
        </w:numPr>
        <w:spacing w:after="40" w:before="40"/>
      </w:pPr>
      <w:r>
        <w:rPr>
          <w:rFonts w:ascii="Arial" w:cs="Arial" w:eastAsia="Arial" w:hAnsi="Arial"/>
          <w:color w:val="222222"/>
          <w:sz w:val="21"/>
          <w:szCs w:val="21"/>
        </w:rPr>
        <w:t xml:space="preserve">择期手术前3个月内HbA1c目标&lt;8%</w:t>
      </w:r>
    </w:p>
    <w:p>
      <w:pPr>
        <w:pStyle w:val="ListParagraph"/>
        <w:numPr>
          <w:ilvl w:val="1"/>
          <w:numId w:val="2"/>
        </w:numPr>
        <w:spacing w:after="40" w:before="40"/>
      </w:pPr>
      <w:r>
        <w:rPr>
          <w:rFonts w:ascii="Arial" w:cs="Arial" w:eastAsia="Arial" w:hAnsi="Arial"/>
          <w:color w:val="222222"/>
          <w:sz w:val="21"/>
          <w:szCs w:val="21"/>
        </w:rPr>
        <w:t xml:space="preserve">或14天GMI&lt;8%、TIR&gt;50%</w:t>
      </w:r>
    </w:p>
    <w:p>
      <w:pPr>
        <w:pStyle w:val="ListParagraph"/>
        <w:numPr>
          <w:ilvl w:val="1"/>
          <w:numId w:val="2"/>
        </w:numPr>
        <w:spacing w:after="40" w:before="40"/>
      </w:pPr>
      <w:r>
        <w:rPr>
          <w:rFonts w:ascii="Arial" w:cs="Arial" w:eastAsia="Arial" w:hAnsi="Arial"/>
          <w:color w:val="222222"/>
          <w:sz w:val="21"/>
          <w:szCs w:val="21"/>
        </w:rPr>
        <w:t xml:space="preserve">围手术期血糖目标：100–180 mg/dL（5.6–10.0 mmol/L）</w:t>
      </w:r>
    </w:p>
    <w:p>
      <w:pPr>
        <w:pStyle w:val="ListParagraph"/>
        <w:numPr>
          <w:ilvl w:val="0"/>
          <w:numId w:val="2"/>
        </w:numPr>
        <w:spacing w:after="40" w:before="40"/>
      </w:pPr>
      <w:r>
        <w:rPr>
          <w:rFonts w:ascii="Arial" w:cs="Arial" w:eastAsia="Arial" w:hAnsi="Arial"/>
          <w:color w:val="222222"/>
          <w:sz w:val="21"/>
          <w:szCs w:val="21"/>
        </w:rPr>
        <w:t xml:space="preserve">扩展了住院环境中CGM等糖尿病技术使用的讨论</w:t>
      </w:r>
    </w:p>
    <w:p>
      <w:pPr>
        <w:pStyle w:val="ListParagraph"/>
        <w:numPr>
          <w:ilvl w:val="0"/>
          <w:numId w:val="2"/>
        </w:numPr>
        <w:spacing w:after="40" w:before="40"/>
      </w:pPr>
      <w:r>
        <w:rPr>
          <w:rFonts w:ascii="Arial" w:cs="Arial" w:eastAsia="Arial" w:hAnsi="Arial"/>
          <w:color w:val="222222"/>
          <w:sz w:val="21"/>
          <w:szCs w:val="21"/>
        </w:rPr>
        <w:t xml:space="preserve">非胰岛素药物在围手术期使用的新指导</w:t>
      </w:r>
    </w:p>
    <w:p>
      <w:pPr>
        <w:pStyle w:val="Heading2"/>
        <w:spacing w:after="140" w:before="280"/>
      </w:pPr>
      <w:r>
        <w:rPr>
          <w:rFonts w:ascii="Arial" w:cs="Arial" w:eastAsia="Arial" w:hAnsi="Arial"/>
          <w:b/>
          <w:bCs/>
          <w:color w:val="31432f"/>
          <w:sz w:val="26"/>
          <w:szCs w:val="26"/>
        </w:rPr>
        <w:t xml:space="preserve">9.5 抗癌治疗相关糖尿病（2026全新章节）</w:t>
      </w:r>
    </w:p>
    <w:p>
      <w:pPr>
        <w:spacing w:after="100" w:before="60"/>
      </w:pPr>
      <w:r>
        <w:rPr>
          <w:rFonts w:ascii="Arial" w:cs="Arial" w:eastAsia="Arial" w:hAnsi="Arial"/>
          <w:color w:val="222222"/>
          <w:sz w:val="21"/>
          <w:szCs w:val="21"/>
        </w:rPr>
        <w:t xml:space="preserve">ADA 2026首次系统性地纳入了抗癌治疗诱导高血糖的管理：</w:t>
      </w:r>
    </w:p>
    <w:p>
      <w:pPr>
        <w:pStyle w:val="ListParagraph"/>
        <w:numPr>
          <w:ilvl w:val="0"/>
          <w:numId w:val="2"/>
        </w:numPr>
        <w:spacing w:after="40" w:before="40"/>
      </w:pPr>
      <w:r>
        <w:rPr>
          <w:rFonts w:ascii="Arial" w:cs="Arial" w:eastAsia="Arial" w:hAnsi="Arial"/>
          <w:b/>
          <w:bCs/>
          <w:color w:val="222222"/>
          <w:sz w:val="21"/>
          <w:szCs w:val="21"/>
        </w:rPr>
        <w:t xml:space="preserve">免疫检查点抑制剂（ICI）</w:t>
      </w:r>
      <w:r>
        <w:rPr>
          <w:rFonts w:ascii="Arial" w:cs="Arial" w:eastAsia="Arial" w:hAnsi="Arial"/>
          <w:color w:val="222222"/>
          <w:sz w:val="21"/>
          <w:szCs w:val="21"/>
        </w:rPr>
        <w:t xml:space="preserve">：治疗前和每次就诊时检测空腹或随机血糖</w:t>
      </w:r>
    </w:p>
    <w:p>
      <w:pPr>
        <w:pStyle w:val="ListParagraph"/>
        <w:numPr>
          <w:ilvl w:val="0"/>
          <w:numId w:val="2"/>
        </w:numPr>
        <w:spacing w:after="40" w:before="40"/>
      </w:pPr>
      <w:r>
        <w:rPr>
          <w:rFonts w:ascii="Arial" w:cs="Arial" w:eastAsia="Arial" w:hAnsi="Arial"/>
          <w:b/>
          <w:bCs/>
          <w:color w:val="222222"/>
          <w:sz w:val="21"/>
          <w:szCs w:val="21"/>
        </w:rPr>
        <w:t xml:space="preserve">PI3Kα抑制剂</w:t>
      </w:r>
      <w:r>
        <w:rPr>
          <w:rFonts w:ascii="Arial" w:cs="Arial" w:eastAsia="Arial" w:hAnsi="Arial"/>
          <w:color w:val="222222"/>
          <w:sz w:val="21"/>
          <w:szCs w:val="21"/>
        </w:rPr>
        <w:t xml:space="preserve">（如alpelisib、inavolisib）：治疗前检测血糖和HbA1c，治疗头2周每周检测随机血糖，此后每4周一次</w:t>
      </w:r>
    </w:p>
    <w:p>
      <w:pPr>
        <w:pStyle w:val="ListParagraph"/>
        <w:numPr>
          <w:ilvl w:val="0"/>
          <w:numId w:val="2"/>
        </w:numPr>
        <w:spacing w:after="40" w:before="40"/>
      </w:pPr>
      <w:r>
        <w:rPr>
          <w:rFonts w:ascii="Arial" w:cs="Arial" w:eastAsia="Arial" w:hAnsi="Arial"/>
          <w:b/>
          <w:bCs/>
          <w:color w:val="222222"/>
          <w:sz w:val="21"/>
          <w:szCs w:val="21"/>
        </w:rPr>
        <w:t xml:space="preserve">mTOR抑制剂</w:t>
      </w:r>
      <w:r>
        <w:rPr>
          <w:rFonts w:ascii="Arial" w:cs="Arial" w:eastAsia="Arial" w:hAnsi="Arial"/>
          <w:color w:val="222222"/>
          <w:sz w:val="21"/>
          <w:szCs w:val="21"/>
        </w:rPr>
        <w:t xml:space="preserve">（如everolimus）：治疗前和每次就诊时检测空腹或随机血糖</w:t>
      </w:r>
    </w:p>
    <w:p>
      <w:pPr>
        <w:pStyle w:val="ListParagraph"/>
        <w:numPr>
          <w:ilvl w:val="0"/>
          <w:numId w:val="2"/>
        </w:numPr>
        <w:spacing w:after="40" w:before="40"/>
      </w:pPr>
      <w:r>
        <w:rPr>
          <w:rFonts w:ascii="Arial" w:cs="Arial" w:eastAsia="Arial" w:hAnsi="Arial"/>
          <w:color w:val="222222"/>
          <w:sz w:val="21"/>
          <w:szCs w:val="21"/>
        </w:rPr>
        <w:t xml:space="preserve">对高危人群考虑预防性使用二甲双胍</w:t>
      </w:r>
    </w:p>
    <w:p>
      <w:r>
        <w:br w:type="page"/>
      </w:r>
    </w:p>
    <w:p>
      <w:pPr>
        <w:pStyle w:val="Heading1"/>
        <w:spacing w:after="180" w:before="360"/>
      </w:pPr>
      <w:r>
        <w:rPr>
          <w:rFonts w:ascii="Arial" w:cs="Arial" w:eastAsia="Arial" w:hAnsi="Arial"/>
          <w:b/>
          <w:bCs/>
          <w:color w:val="3a5239"/>
          <w:sz w:val="32"/>
          <w:szCs w:val="32"/>
        </w:rPr>
        <w:t xml:space="preserve">十、心理健康与行为支持</w:t>
      </w:r>
    </w:p>
    <w:p>
      <w:pPr>
        <w:pBdr>
          <w:bottom w:val="single" w:color="476647" w:sz="3" w:space="4"/>
        </w:pBdr>
        <w:spacing w:after="200" w:before="0"/>
      </w:pPr>
    </w:p>
    <w:p>
      <w:pPr>
        <w:pStyle w:val="Heading2"/>
        <w:spacing w:after="140" w:before="280"/>
      </w:pPr>
      <w:r>
        <w:rPr>
          <w:rFonts w:ascii="Arial" w:cs="Arial" w:eastAsia="Arial" w:hAnsi="Arial"/>
          <w:b/>
          <w:bCs/>
          <w:color w:val="31432f"/>
          <w:sz w:val="26"/>
          <w:szCs w:val="26"/>
        </w:rPr>
        <w:t xml:space="preserve">10.1 糖尿病困扰</w:t>
      </w:r>
    </w:p>
    <w:p>
      <w:pPr>
        <w:pStyle w:val="ListParagraph"/>
        <w:numPr>
          <w:ilvl w:val="0"/>
          <w:numId w:val="2"/>
        </w:numPr>
        <w:spacing w:after="40" w:before="40"/>
      </w:pPr>
      <w:r>
        <w:rPr>
          <w:rFonts w:ascii="Arial" w:cs="Arial" w:eastAsia="Arial" w:hAnsi="Arial"/>
          <w:color w:val="222222"/>
          <w:sz w:val="21"/>
          <w:szCs w:val="21"/>
        </w:rPr>
        <w:t xml:space="preserve">糖尿病困扰是独立于抑郁症的心理状态，影响自我管理和血糖控制</w:t>
      </w:r>
    </w:p>
    <w:p>
      <w:pPr>
        <w:pStyle w:val="ListParagraph"/>
        <w:numPr>
          <w:ilvl w:val="0"/>
          <w:numId w:val="2"/>
        </w:numPr>
        <w:spacing w:after="40" w:before="40"/>
      </w:pPr>
      <w:r>
        <w:rPr>
          <w:rFonts w:ascii="Arial" w:cs="Arial" w:eastAsia="Arial" w:hAnsi="Arial"/>
          <w:b/>
          <w:bCs/>
          <w:color w:val="222222"/>
          <w:sz w:val="21"/>
          <w:szCs w:val="21"/>
        </w:rPr>
        <w:t xml:space="preserve">2026年更新</w:t>
      </w:r>
      <w:r>
        <w:rPr>
          <w:rFonts w:ascii="Arial" w:cs="Arial" w:eastAsia="Arial" w:hAnsi="Arial"/>
          <w:color w:val="222222"/>
          <w:sz w:val="21"/>
          <w:szCs w:val="21"/>
        </w:rPr>
        <w:t xml:space="preserve">：如在医疗就诊中未能充分解决糖尿病困扰，应转介至合格的行为健康专业人员</w:t>
      </w:r>
    </w:p>
    <w:p>
      <w:pPr>
        <w:pStyle w:val="Heading2"/>
        <w:spacing w:after="140" w:before="280"/>
      </w:pPr>
      <w:r>
        <w:rPr>
          <w:rFonts w:ascii="Arial" w:cs="Arial" w:eastAsia="Arial" w:hAnsi="Arial"/>
          <w:b/>
          <w:bCs/>
          <w:color w:val="31432f"/>
          <w:sz w:val="26"/>
          <w:szCs w:val="26"/>
        </w:rPr>
        <w:t xml:space="preserve">10.2 心理健康筛查</w:t>
      </w:r>
    </w:p>
    <w:p>
      <w:pPr>
        <w:pStyle w:val="ListParagraph"/>
        <w:numPr>
          <w:ilvl w:val="0"/>
          <w:numId w:val="2"/>
        </w:numPr>
        <w:spacing w:after="40" w:before="40"/>
      </w:pPr>
      <w:r>
        <w:rPr>
          <w:rFonts w:ascii="Arial" w:cs="Arial" w:eastAsia="Arial" w:hAnsi="Arial"/>
          <w:b/>
          <w:bCs/>
          <w:color w:val="222222"/>
          <w:sz w:val="21"/>
          <w:szCs w:val="21"/>
        </w:rPr>
        <w:t xml:space="preserve">2026年更新</w:t>
      </w:r>
      <w:r>
        <w:rPr>
          <w:rFonts w:ascii="Arial" w:cs="Arial" w:eastAsia="Arial" w:hAnsi="Arial"/>
          <w:color w:val="222222"/>
          <w:sz w:val="21"/>
          <w:szCs w:val="21"/>
        </w:rPr>
        <w:t xml:space="preserve">：</w:t>
      </w:r>
    </w:p>
    <w:p>
      <w:pPr>
        <w:pStyle w:val="ListParagraph"/>
        <w:numPr>
          <w:ilvl w:val="1"/>
          <w:numId w:val="2"/>
        </w:numPr>
        <w:spacing w:after="40" w:before="40"/>
      </w:pPr>
      <w:r>
        <w:rPr>
          <w:rFonts w:ascii="Arial" w:cs="Arial" w:eastAsia="Arial" w:hAnsi="Arial"/>
          <w:color w:val="222222"/>
          <w:sz w:val="21"/>
          <w:szCs w:val="21"/>
        </w:rPr>
        <w:t xml:space="preserve">至少每年筛查一次</w:t>
      </w:r>
      <w:r>
        <w:rPr>
          <w:rFonts w:ascii="Arial" w:cs="Arial" w:eastAsia="Arial" w:hAnsi="Arial"/>
          <w:b/>
          <w:bCs/>
          <w:color w:val="222222"/>
          <w:sz w:val="21"/>
          <w:szCs w:val="21"/>
        </w:rPr>
        <w:t xml:space="preserve">焦虑症状</w:t>
      </w:r>
      <w:r>
        <w:rPr>
          <w:rFonts w:ascii="Arial" w:cs="Arial" w:eastAsia="Arial" w:hAnsi="Arial"/>
          <w:color w:val="222222"/>
          <w:sz w:val="21"/>
          <w:szCs w:val="21"/>
        </w:rPr>
        <w:t xml:space="preserve">，鼓励在执业范围内处理焦虑</w:t>
      </w:r>
    </w:p>
    <w:p>
      <w:pPr>
        <w:pStyle w:val="ListParagraph"/>
        <w:numPr>
          <w:ilvl w:val="1"/>
          <w:numId w:val="2"/>
        </w:numPr>
        <w:spacing w:after="40" w:before="40"/>
      </w:pPr>
      <w:r>
        <w:rPr>
          <w:rFonts w:ascii="Arial" w:cs="Arial" w:eastAsia="Arial" w:hAnsi="Arial"/>
          <w:color w:val="222222"/>
          <w:sz w:val="21"/>
          <w:szCs w:val="21"/>
        </w:rPr>
        <w:t xml:space="preserve">筛查高风险个体的抑郁、进食障碍和其他心理行为问题</w:t>
      </w:r>
    </w:p>
    <w:p>
      <w:pPr>
        <w:pStyle w:val="ListParagraph"/>
        <w:numPr>
          <w:ilvl w:val="1"/>
          <w:numId w:val="2"/>
        </w:numPr>
        <w:spacing w:after="40" w:before="40"/>
      </w:pPr>
      <w:r>
        <w:rPr>
          <w:rFonts w:ascii="Arial" w:cs="Arial" w:eastAsia="Arial" w:hAnsi="Arial"/>
          <w:color w:val="222222"/>
          <w:sz w:val="21"/>
          <w:szCs w:val="21"/>
        </w:rPr>
        <w:t xml:space="preserve">从7–8岁起可在儿童和青少年中开展心理社会筛查</w:t>
      </w:r>
    </w:p>
    <w:p>
      <w:pPr>
        <w:pStyle w:val="Heading2"/>
        <w:spacing w:after="140" w:before="280"/>
      </w:pPr>
      <w:r>
        <w:rPr>
          <w:rFonts w:ascii="Arial" w:cs="Arial" w:eastAsia="Arial" w:hAnsi="Arial"/>
          <w:b/>
          <w:bCs/>
          <w:color w:val="31432f"/>
          <w:sz w:val="26"/>
          <w:szCs w:val="26"/>
        </w:rPr>
        <w:t xml:space="preserve">10.3 糖尿病自我管理教育与支持（DSMES）</w:t>
      </w:r>
    </w:p>
    <w:p>
      <w:pPr>
        <w:pStyle w:val="ListParagraph"/>
        <w:numPr>
          <w:ilvl w:val="0"/>
          <w:numId w:val="2"/>
        </w:numPr>
        <w:spacing w:after="40" w:before="40"/>
      </w:pPr>
      <w:r>
        <w:rPr>
          <w:rFonts w:ascii="Arial" w:cs="Arial" w:eastAsia="Arial" w:hAnsi="Arial"/>
          <w:color w:val="222222"/>
          <w:sz w:val="21"/>
          <w:szCs w:val="21"/>
        </w:rPr>
        <w:t xml:space="preserve">应在关键时刻提供DSMES：确诊时、年度评估时、治疗变更时、出现并发症时</w:t>
      </w:r>
    </w:p>
    <w:p>
      <w:pPr>
        <w:pStyle w:val="ListParagraph"/>
        <w:numPr>
          <w:ilvl w:val="0"/>
          <w:numId w:val="2"/>
        </w:numPr>
        <w:spacing w:after="40" w:before="40"/>
      </w:pPr>
      <w:r>
        <w:rPr>
          <w:rFonts w:ascii="Arial" w:cs="Arial" w:eastAsia="Arial" w:hAnsi="Arial"/>
          <w:color w:val="222222"/>
          <w:sz w:val="21"/>
          <w:szCs w:val="21"/>
        </w:rPr>
        <w:t xml:space="preserve">应具有文化适宜性和社会适当性，基于个人偏好和需求</w:t>
      </w:r>
    </w:p>
    <w:p>
      <w:pPr>
        <w:pStyle w:val="ListParagraph"/>
        <w:numPr>
          <w:ilvl w:val="0"/>
          <w:numId w:val="2"/>
        </w:numPr>
        <w:spacing w:after="40" w:before="40"/>
      </w:pPr>
      <w:r>
        <w:rPr>
          <w:rFonts w:ascii="Arial" w:cs="Arial" w:eastAsia="Arial" w:hAnsi="Arial"/>
          <w:color w:val="222222"/>
          <w:sz w:val="21"/>
          <w:szCs w:val="21"/>
        </w:rPr>
        <w:t xml:space="preserve">使用行为策略支持积极健康行为</w:t>
      </w:r>
    </w:p>
    <w:p>
      <w:pPr>
        <w:pStyle w:val="ListParagraph"/>
        <w:numPr>
          <w:ilvl w:val="0"/>
          <w:numId w:val="2"/>
        </w:numPr>
        <w:spacing w:after="40" w:before="40"/>
      </w:pPr>
      <w:r>
        <w:rPr>
          <w:rFonts w:ascii="Arial" w:cs="Arial" w:eastAsia="Arial" w:hAnsi="Arial"/>
          <w:color w:val="222222"/>
          <w:sz w:val="21"/>
          <w:szCs w:val="21"/>
        </w:rPr>
        <w:t xml:space="preserve">DSMES参与情况应与糖尿病照护团队沟通</w:t>
      </w:r>
    </w:p>
    <w:p>
      <w:r>
        <w:br w:type="page"/>
      </w:r>
    </w:p>
    <w:p>
      <w:pPr>
        <w:pStyle w:val="Heading1"/>
        <w:spacing w:after="180" w:before="360"/>
      </w:pPr>
      <w:r>
        <w:rPr>
          <w:rFonts w:ascii="Arial" w:cs="Arial" w:eastAsia="Arial" w:hAnsi="Arial"/>
          <w:b/>
          <w:bCs/>
          <w:color w:val="3a5239"/>
          <w:sz w:val="32"/>
          <w:szCs w:val="32"/>
        </w:rPr>
        <w:t xml:space="preserve">十一、糖尿病技术与数字健康的最新进展</w:t>
      </w:r>
    </w:p>
    <w:p>
      <w:pPr>
        <w:pBdr>
          <w:bottom w:val="single" w:color="476647" w:sz="3" w:space="4"/>
        </w:pBdr>
        <w:spacing w:after="200" w:before="0"/>
      </w:pPr>
    </w:p>
    <w:p>
      <w:pPr>
        <w:pStyle w:val="Heading2"/>
        <w:spacing w:after="140" w:before="280"/>
      </w:pPr>
      <w:r>
        <w:rPr>
          <w:rFonts w:ascii="Arial" w:cs="Arial" w:eastAsia="Arial" w:hAnsi="Arial"/>
          <w:b/>
          <w:bCs/>
          <w:color w:val="31432f"/>
          <w:sz w:val="26"/>
          <w:szCs w:val="26"/>
        </w:rPr>
        <w:t xml:space="preserve">11.1 人工胰腺系统的进展</w:t>
      </w:r>
    </w:p>
    <w:p>
      <w:pPr>
        <w:spacing w:after="100" w:before="60"/>
      </w:pPr>
      <w:r>
        <w:rPr>
          <w:rFonts w:ascii="Arial" w:cs="Arial" w:eastAsia="Arial" w:hAnsi="Arial"/>
          <w:color w:val="222222"/>
          <w:sz w:val="21"/>
          <w:szCs w:val="21"/>
        </w:rPr>
        <w:t xml:space="preserve">AID系统代表了当前T1D管理的最高技术水平：</w:t>
      </w:r>
    </w:p>
    <w:p>
      <w:pPr>
        <w:pStyle w:val="ListParagraph"/>
        <w:numPr>
          <w:ilvl w:val="0"/>
          <w:numId w:val="2"/>
        </w:numPr>
        <w:spacing w:after="40" w:before="40"/>
      </w:pPr>
      <w:r>
        <w:rPr>
          <w:rFonts w:ascii="Arial" w:cs="Arial" w:eastAsia="Arial" w:hAnsi="Arial"/>
          <w:color w:val="222222"/>
          <w:sz w:val="21"/>
          <w:szCs w:val="21"/>
        </w:rPr>
        <w:t xml:space="preserve">混合闭环系统自动调节基础胰岛素输注</w:t>
      </w:r>
    </w:p>
    <w:p>
      <w:pPr>
        <w:pStyle w:val="ListParagraph"/>
        <w:numPr>
          <w:ilvl w:val="0"/>
          <w:numId w:val="2"/>
        </w:numPr>
        <w:spacing w:after="40" w:before="40"/>
      </w:pPr>
      <w:r>
        <w:rPr>
          <w:rFonts w:ascii="Arial" w:cs="Arial" w:eastAsia="Arial" w:hAnsi="Arial"/>
          <w:color w:val="222222"/>
          <w:sz w:val="21"/>
          <w:szCs w:val="21"/>
        </w:rPr>
        <w:t xml:space="preserve">目标范围时间（TIR）最高、低于目标时间（TBR）最低</w:t>
      </w:r>
    </w:p>
    <w:p>
      <w:pPr>
        <w:pStyle w:val="ListParagraph"/>
        <w:numPr>
          <w:ilvl w:val="0"/>
          <w:numId w:val="2"/>
        </w:numPr>
        <w:spacing w:after="40" w:before="40"/>
      </w:pPr>
      <w:r>
        <w:rPr>
          <w:rFonts w:ascii="Arial" w:cs="Arial" w:eastAsia="Arial" w:hAnsi="Arial"/>
          <w:color w:val="222222"/>
          <w:sz w:val="21"/>
          <w:szCs w:val="21"/>
        </w:rPr>
        <w:t xml:space="preserve">2026指南：AID系统也可考虑用于使用基础胰岛素的T2D患者</w:t>
      </w:r>
    </w:p>
    <w:p>
      <w:pPr>
        <w:pStyle w:val="Heading2"/>
        <w:spacing w:after="140" w:before="280"/>
      </w:pPr>
      <w:r>
        <w:rPr>
          <w:rFonts w:ascii="Arial" w:cs="Arial" w:eastAsia="Arial" w:hAnsi="Arial"/>
          <w:b/>
          <w:bCs/>
          <w:color w:val="31432f"/>
          <w:sz w:val="26"/>
          <w:szCs w:val="26"/>
        </w:rPr>
        <w:t xml:space="preserve">11.2 连接式胰岛素笔和智能剂量计算器</w:t>
      </w:r>
    </w:p>
    <w:p>
      <w:pPr>
        <w:pStyle w:val="ListParagraph"/>
        <w:numPr>
          <w:ilvl w:val="0"/>
          <w:numId w:val="2"/>
        </w:numPr>
        <w:spacing w:after="40" w:before="40"/>
      </w:pPr>
      <w:r>
        <w:rPr>
          <w:rFonts w:ascii="Arial" w:cs="Arial" w:eastAsia="Arial" w:hAnsi="Arial"/>
          <w:color w:val="222222"/>
          <w:sz w:val="21"/>
          <w:szCs w:val="21"/>
        </w:rPr>
        <w:t xml:space="preserve">可自动记录胰岛素注射时间和剂量</w:t>
      </w:r>
    </w:p>
    <w:p>
      <w:pPr>
        <w:pStyle w:val="ListParagraph"/>
        <w:numPr>
          <w:ilvl w:val="0"/>
          <w:numId w:val="2"/>
        </w:numPr>
        <w:spacing w:after="40" w:before="40"/>
      </w:pPr>
      <w:r>
        <w:rPr>
          <w:rFonts w:ascii="Arial" w:cs="Arial" w:eastAsia="Arial" w:hAnsi="Arial"/>
          <w:color w:val="222222"/>
          <w:sz w:val="21"/>
          <w:szCs w:val="21"/>
        </w:rPr>
        <w:t xml:space="preserve">与CGM数据整合，提供更精准的剂量建议</w:t>
      </w:r>
    </w:p>
    <w:p>
      <w:pPr>
        <w:pStyle w:val="ListParagraph"/>
        <w:numPr>
          <w:ilvl w:val="0"/>
          <w:numId w:val="2"/>
        </w:numPr>
        <w:spacing w:after="40" w:before="40"/>
      </w:pPr>
      <w:r>
        <w:rPr>
          <w:rFonts w:ascii="Arial" w:cs="Arial" w:eastAsia="Arial" w:hAnsi="Arial"/>
          <w:color w:val="222222"/>
          <w:sz w:val="21"/>
          <w:szCs w:val="21"/>
        </w:rPr>
        <w:t xml:space="preserve">适合不使用胰岛素泵的MDI患者</w:t>
      </w:r>
    </w:p>
    <w:p>
      <w:pPr>
        <w:pStyle w:val="Heading2"/>
        <w:spacing w:after="140" w:before="280"/>
      </w:pPr>
      <w:r>
        <w:rPr>
          <w:rFonts w:ascii="Arial" w:cs="Arial" w:eastAsia="Arial" w:hAnsi="Arial"/>
          <w:b/>
          <w:bCs/>
          <w:color w:val="31432f"/>
          <w:sz w:val="26"/>
          <w:szCs w:val="26"/>
        </w:rPr>
        <w:t xml:space="preserve">11.3 数字健康工具</w:t>
      </w:r>
    </w:p>
    <w:p>
      <w:pPr>
        <w:pStyle w:val="ListParagraph"/>
        <w:numPr>
          <w:ilvl w:val="0"/>
          <w:numId w:val="2"/>
        </w:numPr>
        <w:spacing w:after="40" w:before="40"/>
      </w:pPr>
      <w:r>
        <w:rPr>
          <w:rFonts w:ascii="Arial" w:cs="Arial" w:eastAsia="Arial" w:hAnsi="Arial"/>
          <w:color w:val="222222"/>
          <w:sz w:val="21"/>
          <w:szCs w:val="21"/>
        </w:rPr>
        <w:t xml:space="preserve">移动健康应用和远程医疗</w:t>
      </w:r>
    </w:p>
    <w:p>
      <w:pPr>
        <w:pStyle w:val="ListParagraph"/>
        <w:numPr>
          <w:ilvl w:val="0"/>
          <w:numId w:val="2"/>
        </w:numPr>
        <w:spacing w:after="40" w:before="40"/>
      </w:pPr>
      <w:r>
        <w:rPr>
          <w:rFonts w:ascii="Arial" w:cs="Arial" w:eastAsia="Arial" w:hAnsi="Arial"/>
          <w:color w:val="222222"/>
          <w:sz w:val="21"/>
          <w:szCs w:val="21"/>
        </w:rPr>
        <w:t xml:space="preserve">2026年新增：数字自我管理工具或数字教练可作为辅助支持</w:t>
      </w:r>
    </w:p>
    <w:p>
      <w:pPr>
        <w:pStyle w:val="ListParagraph"/>
        <w:numPr>
          <w:ilvl w:val="0"/>
          <w:numId w:val="2"/>
        </w:numPr>
        <w:spacing w:after="40" w:before="40"/>
      </w:pPr>
      <w:r>
        <w:rPr>
          <w:rFonts w:ascii="Arial" w:cs="Arial" w:eastAsia="Arial" w:hAnsi="Arial"/>
          <w:color w:val="222222"/>
          <w:sz w:val="21"/>
          <w:szCs w:val="21"/>
        </w:rPr>
        <w:t xml:space="preserve">AI辅助视网膜筛查工具</w:t>
      </w:r>
    </w:p>
    <w:p>
      <w:pPr>
        <w:pStyle w:val="ListParagraph"/>
        <w:numPr>
          <w:ilvl w:val="0"/>
          <w:numId w:val="2"/>
        </w:numPr>
        <w:spacing w:after="40" w:before="40"/>
      </w:pPr>
      <w:r>
        <w:rPr>
          <w:rFonts w:ascii="Arial" w:cs="Arial" w:eastAsia="Arial" w:hAnsi="Arial"/>
          <w:color w:val="222222"/>
          <w:sz w:val="21"/>
          <w:szCs w:val="21"/>
        </w:rPr>
        <w:t xml:space="preserve">远程血糖数据共享和虚拟团队照护</w:t>
      </w:r>
    </w:p>
    <w:p>
      <w:r>
        <w:br w:type="page"/>
      </w:r>
    </w:p>
    <w:p>
      <w:pPr>
        <w:pStyle w:val="Heading1"/>
        <w:spacing w:after="180" w:before="360"/>
      </w:pPr>
      <w:r>
        <w:rPr>
          <w:rFonts w:ascii="Arial" w:cs="Arial" w:eastAsia="Arial" w:hAnsi="Arial"/>
          <w:b/>
          <w:bCs/>
          <w:color w:val="3a5239"/>
          <w:sz w:val="32"/>
          <w:szCs w:val="32"/>
        </w:rPr>
        <w:t xml:space="preserve">十二、2026年指南的哲学范式转变</w:t>
      </w:r>
    </w:p>
    <w:p>
      <w:pPr>
        <w:pBdr>
          <w:bottom w:val="single" w:color="476647" w:sz="3" w:space="4"/>
        </w:pBdr>
        <w:spacing w:after="200" w:before="0"/>
      </w:pPr>
    </w:p>
    <w:p>
      <w:pPr>
        <w:spacing w:after="100" w:before="60"/>
      </w:pPr>
      <w:r>
        <w:rPr>
          <w:rFonts w:ascii="Arial" w:cs="Arial" w:eastAsia="Arial" w:hAnsi="Arial"/>
          <w:color w:val="222222"/>
          <w:sz w:val="21"/>
          <w:szCs w:val="21"/>
        </w:rPr>
        <w:t xml:space="preserve">ADA 2026指南标志着糖尿病管理哲学的几个关键转变：</w:t>
      </w:r>
    </w:p>
    <w:p>
      <w:pPr>
        <w:pStyle w:val="Heading2"/>
        <w:spacing w:after="140" w:before="280"/>
      </w:pPr>
      <w:r>
        <w:rPr>
          <w:rFonts w:ascii="Arial" w:cs="Arial" w:eastAsia="Arial" w:hAnsi="Arial"/>
          <w:b/>
          <w:bCs/>
          <w:color w:val="31432f"/>
          <w:sz w:val="26"/>
          <w:szCs w:val="26"/>
        </w:rPr>
        <w:t xml:space="preserve">12.1 从"血糖中心"到"器官保护中心"</w:t>
      </w:r>
    </w:p>
    <w:p>
      <w:pPr>
        <w:pStyle w:val="ListParagraph"/>
        <w:numPr>
          <w:ilvl w:val="0"/>
          <w:numId w:val="2"/>
        </w:numPr>
        <w:spacing w:after="40" w:before="40"/>
      </w:pPr>
      <w:r>
        <w:rPr>
          <w:rFonts w:ascii="Arial" w:cs="Arial" w:eastAsia="Arial" w:hAnsi="Arial"/>
          <w:color w:val="222222"/>
          <w:sz w:val="21"/>
          <w:szCs w:val="21"/>
        </w:rPr>
        <w:t xml:space="preserve">治疗决策不再仅以HbA1c为核心，而是优先考虑</w:t>
      </w:r>
      <w:r>
        <w:rPr>
          <w:rFonts w:ascii="Arial" w:cs="Arial" w:eastAsia="Arial" w:hAnsi="Arial"/>
          <w:b/>
          <w:bCs/>
          <w:color w:val="222222"/>
          <w:sz w:val="21"/>
          <w:szCs w:val="21"/>
        </w:rPr>
        <w:t xml:space="preserve">心脏、肾脏和体重</w:t>
      </w:r>
    </w:p>
    <w:p>
      <w:pPr>
        <w:pStyle w:val="ListParagraph"/>
        <w:numPr>
          <w:ilvl w:val="0"/>
          <w:numId w:val="2"/>
        </w:numPr>
        <w:spacing w:after="40" w:before="40"/>
      </w:pPr>
      <w:r>
        <w:rPr>
          <w:rFonts w:ascii="Arial" w:cs="Arial" w:eastAsia="Arial" w:hAnsi="Arial"/>
          <w:color w:val="222222"/>
          <w:sz w:val="21"/>
          <w:szCs w:val="21"/>
        </w:rPr>
        <w:t xml:space="preserve">即使血糖已达标，仍建议使用具有心肾保护证据的GLP-1 RA和/或SGLT2i</w:t>
      </w:r>
    </w:p>
    <w:p>
      <w:pPr>
        <w:pStyle w:val="Heading2"/>
        <w:spacing w:after="140" w:before="280"/>
      </w:pPr>
      <w:r>
        <w:rPr>
          <w:rFonts w:ascii="Arial" w:cs="Arial" w:eastAsia="Arial" w:hAnsi="Arial"/>
          <w:b/>
          <w:bCs/>
          <w:color w:val="31432f"/>
          <w:sz w:val="26"/>
          <w:szCs w:val="26"/>
        </w:rPr>
        <w:t xml:space="preserve">12.2 肥胖被视为生物性疾病</w:t>
      </w:r>
    </w:p>
    <w:p>
      <w:pPr>
        <w:pStyle w:val="ListParagraph"/>
        <w:numPr>
          <w:ilvl w:val="0"/>
          <w:numId w:val="2"/>
        </w:numPr>
        <w:spacing w:after="40" w:before="40"/>
      </w:pPr>
      <w:r>
        <w:rPr>
          <w:rFonts w:ascii="Arial" w:cs="Arial" w:eastAsia="Arial" w:hAnsi="Arial"/>
          <w:color w:val="222222"/>
          <w:sz w:val="21"/>
          <w:szCs w:val="21"/>
        </w:rPr>
        <w:t xml:space="preserve">肥胖不再被视为"生活方式失败"，而是一种慢性、复发性疾病</w:t>
      </w:r>
    </w:p>
    <w:p>
      <w:pPr>
        <w:pStyle w:val="ListParagraph"/>
        <w:numPr>
          <w:ilvl w:val="0"/>
          <w:numId w:val="2"/>
        </w:numPr>
        <w:spacing w:after="40" w:before="40"/>
      </w:pPr>
      <w:r>
        <w:rPr>
          <w:rFonts w:ascii="Arial" w:cs="Arial" w:eastAsia="Arial" w:hAnsi="Arial"/>
          <w:color w:val="222222"/>
          <w:sz w:val="21"/>
          <w:szCs w:val="21"/>
        </w:rPr>
        <w:t xml:space="preserve">体重管理与血糖管理并列为核心治疗目标</w:t>
      </w:r>
    </w:p>
    <w:p>
      <w:pPr>
        <w:pStyle w:val="Heading2"/>
        <w:spacing w:after="140" w:before="280"/>
      </w:pPr>
      <w:r>
        <w:rPr>
          <w:rFonts w:ascii="Arial" w:cs="Arial" w:eastAsia="Arial" w:hAnsi="Arial"/>
          <w:b/>
          <w:bCs/>
          <w:color w:val="31432f"/>
          <w:sz w:val="26"/>
          <w:szCs w:val="26"/>
        </w:rPr>
        <w:t xml:space="preserve">12.3 以人为中心的个体化照护</w:t>
      </w:r>
    </w:p>
    <w:p>
      <w:pPr>
        <w:pStyle w:val="ListParagraph"/>
        <w:numPr>
          <w:ilvl w:val="0"/>
          <w:numId w:val="2"/>
        </w:numPr>
        <w:spacing w:after="40" w:before="40"/>
      </w:pPr>
      <w:r>
        <w:rPr>
          <w:rFonts w:ascii="Arial" w:cs="Arial" w:eastAsia="Arial" w:hAnsi="Arial"/>
          <w:color w:val="222222"/>
          <w:sz w:val="21"/>
          <w:szCs w:val="21"/>
        </w:rPr>
        <w:t xml:space="preserve">强调共享决策、患者赋权和以人为本的语言</w:t>
      </w:r>
    </w:p>
    <w:p>
      <w:pPr>
        <w:pStyle w:val="ListParagraph"/>
        <w:numPr>
          <w:ilvl w:val="0"/>
          <w:numId w:val="2"/>
        </w:numPr>
        <w:spacing w:after="40" w:before="40"/>
      </w:pPr>
      <w:r>
        <w:rPr>
          <w:rFonts w:ascii="Arial" w:cs="Arial" w:eastAsia="Arial" w:hAnsi="Arial"/>
          <w:color w:val="222222"/>
          <w:sz w:val="21"/>
          <w:szCs w:val="21"/>
        </w:rPr>
        <w:t xml:space="preserve">评估并解决社会健康决定因素</w:t>
      </w:r>
    </w:p>
    <w:p>
      <w:pPr>
        <w:pStyle w:val="ListParagraph"/>
        <w:numPr>
          <w:ilvl w:val="0"/>
          <w:numId w:val="2"/>
        </w:numPr>
        <w:spacing w:after="40" w:before="40"/>
      </w:pPr>
      <w:r>
        <w:rPr>
          <w:rFonts w:ascii="Arial" w:cs="Arial" w:eastAsia="Arial" w:hAnsi="Arial"/>
          <w:color w:val="222222"/>
          <w:sz w:val="21"/>
          <w:szCs w:val="21"/>
        </w:rPr>
        <w:t xml:space="preserve">关注心理健康和糖尿病困扰</w:t>
      </w:r>
    </w:p>
    <w:p>
      <w:pPr>
        <w:pStyle w:val="ListParagraph"/>
        <w:numPr>
          <w:ilvl w:val="0"/>
          <w:numId w:val="2"/>
        </w:numPr>
        <w:spacing w:after="40" w:before="40"/>
      </w:pPr>
      <w:r>
        <w:rPr>
          <w:rFonts w:ascii="Arial" w:cs="Arial" w:eastAsia="Arial" w:hAnsi="Arial"/>
          <w:color w:val="222222"/>
          <w:sz w:val="21"/>
          <w:szCs w:val="21"/>
        </w:rPr>
        <w:t xml:space="preserve">治疗方案的可持续性和可负担性</w:t>
      </w:r>
    </w:p>
    <w:p>
      <w:pPr>
        <w:pStyle w:val="Heading2"/>
        <w:spacing w:after="140" w:before="280"/>
      </w:pPr>
      <w:r>
        <w:rPr>
          <w:rFonts w:ascii="Arial" w:cs="Arial" w:eastAsia="Arial" w:hAnsi="Arial"/>
          <w:b/>
          <w:bCs/>
          <w:color w:val="31432f"/>
          <w:sz w:val="26"/>
          <w:szCs w:val="26"/>
        </w:rPr>
        <w:t xml:space="preserve">12.4 技术民主化</w:t>
      </w:r>
    </w:p>
    <w:p>
      <w:pPr>
        <w:pStyle w:val="ListParagraph"/>
        <w:numPr>
          <w:ilvl w:val="0"/>
          <w:numId w:val="2"/>
        </w:numPr>
        <w:spacing w:after="40" w:before="40"/>
      </w:pPr>
      <w:r>
        <w:rPr>
          <w:rFonts w:ascii="Arial" w:cs="Arial" w:eastAsia="Arial" w:hAnsi="Arial"/>
          <w:color w:val="222222"/>
          <w:sz w:val="21"/>
          <w:szCs w:val="21"/>
        </w:rPr>
        <w:t xml:space="preserve">CGM和AID系统不再有繁琐的准入门槛</w:t>
      </w:r>
    </w:p>
    <w:p>
      <w:pPr>
        <w:pStyle w:val="ListParagraph"/>
        <w:numPr>
          <w:ilvl w:val="0"/>
          <w:numId w:val="2"/>
        </w:numPr>
        <w:spacing w:after="40" w:before="40"/>
      </w:pPr>
      <w:r>
        <w:rPr>
          <w:rFonts w:ascii="Arial" w:cs="Arial" w:eastAsia="Arial" w:hAnsi="Arial"/>
          <w:color w:val="222222"/>
          <w:sz w:val="21"/>
          <w:szCs w:val="21"/>
        </w:rPr>
        <w:t xml:space="preserve">各年龄段、各收入水平均应可获得糖尿病技术支持</w:t>
      </w:r>
    </w:p>
    <w:p>
      <w:pPr>
        <w:pStyle w:val="ListParagraph"/>
        <w:numPr>
          <w:ilvl w:val="0"/>
          <w:numId w:val="2"/>
        </w:numPr>
        <w:spacing w:after="40" w:before="40"/>
      </w:pPr>
      <w:r>
        <w:rPr>
          <w:rFonts w:ascii="Arial" w:cs="Arial" w:eastAsia="Arial" w:hAnsi="Arial"/>
          <w:color w:val="222222"/>
          <w:sz w:val="21"/>
          <w:szCs w:val="21"/>
        </w:rPr>
        <w:t xml:space="preserve">学校和工作场所应提供糖尿病技术使用的合理便利</w:t>
      </w:r>
    </w:p>
    <w:p>
      <w:pPr>
        <w:pStyle w:val="Heading2"/>
        <w:spacing w:after="140" w:before="280"/>
      </w:pPr>
      <w:r>
        <w:rPr>
          <w:rFonts w:ascii="Arial" w:cs="Arial" w:eastAsia="Arial" w:hAnsi="Arial"/>
          <w:b/>
          <w:bCs/>
          <w:color w:val="31432f"/>
          <w:sz w:val="26"/>
          <w:szCs w:val="26"/>
        </w:rPr>
        <w:t xml:space="preserve">12.5 MASLD/MASH纳入主流管理</w:t>
      </w:r>
    </w:p>
    <w:p>
      <w:pPr>
        <w:pStyle w:val="ListParagraph"/>
        <w:numPr>
          <w:ilvl w:val="0"/>
          <w:numId w:val="2"/>
        </w:numPr>
        <w:spacing w:after="40" w:before="40"/>
      </w:pPr>
      <w:r>
        <w:rPr>
          <w:rFonts w:ascii="Arial" w:cs="Arial" w:eastAsia="Arial" w:hAnsi="Arial"/>
          <w:color w:val="222222"/>
          <w:sz w:val="21"/>
          <w:szCs w:val="21"/>
        </w:rPr>
        <w:t xml:space="preserve">代谢相关脂肪性肝病首次被系统纳入糖尿病治疗决策算法</w:t>
      </w:r>
    </w:p>
    <w:p>
      <w:pPr>
        <w:pStyle w:val="ListParagraph"/>
        <w:numPr>
          <w:ilvl w:val="0"/>
          <w:numId w:val="2"/>
        </w:numPr>
        <w:spacing w:after="40" w:before="40"/>
      </w:pPr>
      <w:r>
        <w:rPr>
          <w:rFonts w:ascii="Arial" w:cs="Arial" w:eastAsia="Arial" w:hAnsi="Arial"/>
          <w:color w:val="222222"/>
          <w:sz w:val="21"/>
          <w:szCs w:val="21"/>
        </w:rPr>
        <w:t xml:space="preserve">影响降糖药物选择的因素清单中新增MASLD</w:t>
      </w:r>
    </w:p>
    <w:p>
      <w:r>
        <w:br w:type="page"/>
      </w:r>
    </w:p>
    <w:p>
      <w:pPr>
        <w:pStyle w:val="Heading1"/>
        <w:spacing w:after="180" w:before="360"/>
      </w:pPr>
      <w:r>
        <w:rPr>
          <w:rFonts w:ascii="Arial" w:cs="Arial" w:eastAsia="Arial" w:hAnsi="Arial"/>
          <w:b/>
          <w:bCs/>
          <w:color w:val="3a5239"/>
          <w:sz w:val="32"/>
          <w:szCs w:val="32"/>
        </w:rPr>
        <w:t xml:space="preserve">十三、实用管理清单</w:t>
      </w:r>
    </w:p>
    <w:p>
      <w:pPr>
        <w:pBdr>
          <w:bottom w:val="single" w:color="476647" w:sz="3" w:space="4"/>
        </w:pBdr>
        <w:spacing w:after="200" w:before="0"/>
      </w:pPr>
    </w:p>
    <w:p>
      <w:pPr>
        <w:pStyle w:val="Heading2"/>
        <w:spacing w:after="140" w:before="280"/>
      </w:pPr>
      <w:r>
        <w:rPr>
          <w:rFonts w:ascii="Arial" w:cs="Arial" w:eastAsia="Arial" w:hAnsi="Arial"/>
          <w:b/>
          <w:bCs/>
          <w:color w:val="31432f"/>
          <w:sz w:val="26"/>
          <w:szCs w:val="26"/>
        </w:rPr>
        <w:t xml:space="preserve">每年至少评估一项的检查项目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76647"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检查项目</w:t>
            </w:r>
          </w:p>
        </w:tc>
        <w:tc>
          <w:tcPr>
            <w:tcW w:type="dxa" w:w="3120"/>
            <w:tcBorders>
              <w:top w:val="single" w:color="CCCCCC" w:sz="1"/>
              <w:left w:val="single" w:color="CCCCCC" w:sz="1"/>
              <w:bottom w:val="single" w:color="CCCCCC" w:sz="1"/>
              <w:right w:val="single" w:color="CCCCCC" w:sz="1"/>
            </w:tcBorders>
            <w:shd w:fill="476647"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频率</w:t>
            </w:r>
          </w:p>
        </w:tc>
        <w:tc>
          <w:tcPr>
            <w:tcW w:type="dxa" w:w="3120"/>
            <w:tcBorders>
              <w:top w:val="single" w:color="CCCCCC" w:sz="1"/>
              <w:left w:val="single" w:color="CCCCCC" w:sz="1"/>
              <w:bottom w:val="single" w:color="CCCCCC" w:sz="1"/>
              <w:right w:val="single" w:color="CCCCCC" w:sz="1"/>
            </w:tcBorders>
            <w:shd w:fill="476647"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说明</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HbA1c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每3–6个月</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达标且稳定者可每6个月</w:t>
            </w:r>
          </w:p>
        </w:tc>
      </w:tr>
      <w:tr>
        <w:tc>
          <w:tcPr>
            <w:tcW w:type="dxa" w:w="312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血脂谱</w:t>
            </w:r>
          </w:p>
        </w:tc>
        <w:tc>
          <w:tcPr>
            <w:tcW w:type="dxa" w:w="312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至少每年一次</w:t>
            </w:r>
          </w:p>
        </w:tc>
        <w:tc>
          <w:tcPr>
            <w:tcW w:type="dxa" w:w="312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达标后每年复查</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肾功能（eGFR+UACR）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至少每年一次</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T1D病程≥5年；T2D确诊即开始</w:t>
            </w:r>
          </w:p>
        </w:tc>
      </w:tr>
      <w:tr>
        <w:tc>
          <w:tcPr>
            <w:tcW w:type="dxa" w:w="312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散瞳眼底检查</w:t>
            </w:r>
          </w:p>
        </w:tc>
        <w:tc>
          <w:tcPr>
            <w:tcW w:type="dxa" w:w="312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每1–2年</w:t>
            </w:r>
          </w:p>
        </w:tc>
        <w:tc>
          <w:tcPr>
            <w:tcW w:type="dxa" w:w="312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T2D确诊时首次检查</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足部综合检查</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每次就诊</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神经病变/血管病变筛查</w:t>
            </w:r>
          </w:p>
        </w:tc>
      </w:tr>
      <w:tr>
        <w:tc>
          <w:tcPr>
            <w:tcW w:type="dxa" w:w="312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血压</w:t>
            </w:r>
          </w:p>
        </w:tc>
        <w:tc>
          <w:tcPr>
            <w:tcW w:type="dxa" w:w="312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每次就诊</w:t>
            </w:r>
          </w:p>
        </w:tc>
        <w:tc>
          <w:tcPr>
            <w:tcW w:type="dxa" w:w="312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至少每6个月</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BMI/体重</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至少每年</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积极减重期每3个月</w:t>
            </w:r>
          </w:p>
        </w:tc>
      </w:tr>
      <w:tr>
        <w:tc>
          <w:tcPr>
            <w:tcW w:type="dxa" w:w="312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焦虑/抑郁筛查</w:t>
            </w:r>
          </w:p>
        </w:tc>
        <w:tc>
          <w:tcPr>
            <w:tcW w:type="dxa" w:w="312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至少每年</w:t>
            </w:r>
          </w:p>
        </w:tc>
        <w:tc>
          <w:tcPr>
            <w:tcW w:type="dxa" w:w="312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2026新增焦虑筛查建议</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疫苗接种</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按推荐时间表</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222222"/>
                <w:sz w:val="19"/>
                <w:szCs w:val="19"/>
              </w:rPr>
              <w:t xml:space="preserve">2026年将适用人群扩展至青少年</w:t>
            </w:r>
          </w:p>
        </w:tc>
      </w:tr>
    </w:tbl>
    <w:p>
      <w:pPr>
        <w:spacing w:after="80" w:before="80"/>
      </w:pPr>
    </w:p>
    <w:p>
      <w:r>
        <w:br w:type="page"/>
      </w:r>
    </w:p>
    <w:p>
      <w:pPr>
        <w:pStyle w:val="Heading1"/>
        <w:spacing w:after="180" w:before="360"/>
      </w:pPr>
      <w:r>
        <w:rPr>
          <w:rFonts w:ascii="Arial" w:cs="Arial" w:eastAsia="Arial" w:hAnsi="Arial"/>
          <w:b/>
          <w:bCs/>
          <w:color w:val="3a5239"/>
          <w:sz w:val="32"/>
          <w:szCs w:val="32"/>
        </w:rPr>
        <w:t xml:space="preserve">结语</w:t>
      </w:r>
    </w:p>
    <w:p>
      <w:pPr>
        <w:pBdr>
          <w:bottom w:val="single" w:color="476647" w:sz="3" w:space="4"/>
        </w:pBdr>
        <w:spacing w:after="200" w:before="0"/>
      </w:pPr>
    </w:p>
    <w:p>
      <w:pPr>
        <w:spacing w:after="100" w:before="60"/>
      </w:pPr>
      <w:r>
        <w:rPr>
          <w:rFonts w:ascii="Arial" w:cs="Arial" w:eastAsia="Arial" w:hAnsi="Arial"/>
          <w:color w:val="222222"/>
          <w:sz w:val="21"/>
          <w:szCs w:val="21"/>
        </w:rPr>
        <w:t xml:space="preserve">ADA 2026《糖尿病诊疗标准》代表了循证糖尿病管理的最新进展。该版指南的核心信息清晰而深刻：</w:t>
      </w:r>
    </w:p>
    <w:p>
      <w:pPr>
        <w:pStyle w:val="ListParagraph"/>
        <w:numPr>
          <w:ilvl w:val="0"/>
          <w:numId w:val="3"/>
        </w:numPr>
        <w:spacing w:after="40" w:before="40"/>
      </w:pPr>
      <w:r>
        <w:rPr>
          <w:rFonts w:ascii="Arial" w:cs="Arial" w:eastAsia="Arial" w:hAnsi="Arial"/>
          <w:b/>
          <w:bCs/>
          <w:color w:val="222222"/>
          <w:sz w:val="21"/>
          <w:szCs w:val="21"/>
        </w:rPr>
        <w:t xml:space="preserve">优先保护心脏和肾脏</w:t>
      </w:r>
      <w:r>
        <w:rPr>
          <w:rFonts w:ascii="Arial" w:cs="Arial" w:eastAsia="Arial" w:hAnsi="Arial"/>
          <w:color w:val="222222"/>
          <w:sz w:val="21"/>
          <w:szCs w:val="21"/>
        </w:rPr>
        <w:t xml:space="preserve">——药物选择应首先考虑器官保护获益</w:t>
      </w:r>
    </w:p>
    <w:p>
      <w:pPr>
        <w:pStyle w:val="ListParagraph"/>
        <w:numPr>
          <w:ilvl w:val="0"/>
          <w:numId w:val="3"/>
        </w:numPr>
        <w:spacing w:after="40" w:before="40"/>
      </w:pPr>
      <w:r>
        <w:rPr>
          <w:rFonts w:ascii="Arial" w:cs="Arial" w:eastAsia="Arial" w:hAnsi="Arial"/>
          <w:b/>
          <w:bCs/>
          <w:color w:val="222222"/>
          <w:sz w:val="21"/>
          <w:szCs w:val="21"/>
        </w:rPr>
        <w:t xml:space="preserve">肥胖是疾病，不是失败</w:t>
      </w:r>
      <w:r>
        <w:rPr>
          <w:rFonts w:ascii="Arial" w:cs="Arial" w:eastAsia="Arial" w:hAnsi="Arial"/>
          <w:color w:val="222222"/>
          <w:sz w:val="21"/>
          <w:szCs w:val="21"/>
        </w:rPr>
        <w:t xml:space="preserve">——体重管理与血糖管理同等重要</w:t>
      </w:r>
    </w:p>
    <w:p>
      <w:pPr>
        <w:pStyle w:val="ListParagraph"/>
        <w:numPr>
          <w:ilvl w:val="0"/>
          <w:numId w:val="3"/>
        </w:numPr>
        <w:spacing w:after="40" w:before="40"/>
      </w:pPr>
      <w:r>
        <w:rPr>
          <w:rFonts w:ascii="Arial" w:cs="Arial" w:eastAsia="Arial" w:hAnsi="Arial"/>
          <w:b/>
          <w:bCs/>
          <w:color w:val="222222"/>
          <w:sz w:val="21"/>
          <w:szCs w:val="21"/>
        </w:rPr>
        <w:t xml:space="preserve">技术改变管理</w:t>
      </w:r>
      <w:r>
        <w:rPr>
          <w:rFonts w:ascii="Arial" w:cs="Arial" w:eastAsia="Arial" w:hAnsi="Arial"/>
          <w:color w:val="222222"/>
          <w:sz w:val="21"/>
          <w:szCs w:val="21"/>
        </w:rPr>
        <w:t xml:space="preserve">——CGM和AID系统应尽早普及至所有有需要的患者</w:t>
      </w:r>
    </w:p>
    <w:p>
      <w:pPr>
        <w:pStyle w:val="ListParagraph"/>
        <w:numPr>
          <w:ilvl w:val="0"/>
          <w:numId w:val="3"/>
        </w:numPr>
        <w:spacing w:after="40" w:before="40"/>
      </w:pPr>
      <w:r>
        <w:rPr>
          <w:rFonts w:ascii="Arial" w:cs="Arial" w:eastAsia="Arial" w:hAnsi="Arial"/>
          <w:b/>
          <w:bCs/>
          <w:color w:val="222222"/>
          <w:sz w:val="21"/>
          <w:szCs w:val="21"/>
        </w:rPr>
        <w:t xml:space="preserve">每个人都不同</w:t>
      </w:r>
      <w:r>
        <w:rPr>
          <w:rFonts w:ascii="Arial" w:cs="Arial" w:eastAsia="Arial" w:hAnsi="Arial"/>
          <w:color w:val="222222"/>
          <w:sz w:val="21"/>
          <w:szCs w:val="21"/>
        </w:rPr>
        <w:t xml:space="preserve">——以人为中心的个体化方案才是最佳方案</w:t>
      </w:r>
    </w:p>
    <w:p>
      <w:pPr>
        <w:pStyle w:val="ListParagraph"/>
        <w:numPr>
          <w:ilvl w:val="0"/>
          <w:numId w:val="3"/>
        </w:numPr>
        <w:spacing w:after="40" w:before="40"/>
      </w:pPr>
      <w:r>
        <w:rPr>
          <w:rFonts w:ascii="Arial" w:cs="Arial" w:eastAsia="Arial" w:hAnsi="Arial"/>
          <w:b/>
          <w:bCs/>
          <w:color w:val="222222"/>
          <w:sz w:val="21"/>
          <w:szCs w:val="21"/>
        </w:rPr>
        <w:t xml:space="preserve">每3–6个月重新评估</w:t>
      </w:r>
      <w:r>
        <w:rPr>
          <w:rFonts w:ascii="Arial" w:cs="Arial" w:eastAsia="Arial" w:hAnsi="Arial"/>
          <w:color w:val="222222"/>
          <w:sz w:val="21"/>
          <w:szCs w:val="21"/>
        </w:rPr>
        <w:t xml:space="preserve">——临床惰性不可接受，治疗应持续优化</w:t>
      </w:r>
    </w:p>
    <w:p>
      <w:pPr>
        <w:spacing w:after="100" w:before="60"/>
      </w:pPr>
      <w:r>
        <w:rPr>
          <w:rFonts w:ascii="Arial" w:cs="Arial" w:eastAsia="Arial" w:hAnsi="Arial"/>
          <w:color w:val="222222"/>
          <w:sz w:val="21"/>
          <w:szCs w:val="21"/>
        </w:rPr>
        <w:t xml:space="preserve">通过早期预防、规范治疗和综合管理，糖尿病患者完全可以实现良好的代谢控制，预防并发症，提高生活质量。科学管理，从了解指南开始。</w:t>
      </w:r>
    </w:p>
    <w:p>
      <w:r>
        <w:br w:type="page"/>
      </w:r>
    </w:p>
    <w:p>
      <w:pPr>
        <w:pStyle w:val="Heading1"/>
        <w:spacing w:after="180" w:before="360"/>
      </w:pPr>
      <w:r>
        <w:rPr>
          <w:rFonts w:ascii="Arial" w:cs="Arial" w:eastAsia="Arial" w:hAnsi="Arial"/>
          <w:b/>
          <w:bCs/>
          <w:color w:val="3a5239"/>
          <w:sz w:val="32"/>
          <w:szCs w:val="32"/>
        </w:rPr>
        <w:t xml:space="preserve">参考文献</w:t>
      </w:r>
    </w:p>
    <w:p>
      <w:pPr>
        <w:pBdr>
          <w:bottom w:val="single" w:color="476647" w:sz="3" w:space="4"/>
        </w:pBdr>
        <w:spacing w:after="200" w:before="0"/>
      </w:pPr>
    </w:p>
    <w:p>
      <w:pPr>
        <w:pStyle w:val="ListParagraph"/>
        <w:numPr>
          <w:ilvl w:val="0"/>
          <w:numId w:val="3"/>
        </w:numPr>
        <w:spacing w:after="40" w:before="40"/>
      </w:pPr>
      <w:r>
        <w:rPr>
          <w:rFonts w:ascii="Arial" w:cs="Arial" w:eastAsia="Arial" w:hAnsi="Arial"/>
          <w:color w:val="222222"/>
          <w:sz w:val="21"/>
          <w:szCs w:val="21"/>
        </w:rPr>
        <w:t xml:space="preserve">American Diabetes Association Professional Practice Committee for Diabetes. Standards of Care in Diabetes—2026. </w:t>
      </w:r>
      <w:r>
        <w:rPr>
          <w:rFonts w:ascii="Arial" w:cs="Arial" w:eastAsia="Arial" w:hAnsi="Arial"/>
          <w:i/>
          <w:iCs/>
          <w:color w:val="222222"/>
          <w:sz w:val="21"/>
          <w:szCs w:val="21"/>
        </w:rPr>
        <w:t xml:space="preserve">Diabetes Care</w:t>
      </w:r>
      <w:r>
        <w:rPr>
          <w:rFonts w:ascii="Arial" w:cs="Arial" w:eastAsia="Arial" w:hAnsi="Arial"/>
          <w:color w:val="222222"/>
          <w:sz w:val="21"/>
          <w:szCs w:val="21"/>
        </w:rPr>
        <w:t xml:space="preserve">. 2026;49(Suppl 1):S1–S320. https://doi.org/10.2337/dc26-SINT</w:t>
      </w:r>
    </w:p>
    <w:p>
      <w:pPr>
        <w:pStyle w:val="ListParagraph"/>
        <w:numPr>
          <w:ilvl w:val="0"/>
          <w:numId w:val="3"/>
        </w:numPr>
        <w:spacing w:after="40" w:before="40"/>
      </w:pPr>
      <w:r>
        <w:rPr>
          <w:rFonts w:ascii="Arial" w:cs="Arial" w:eastAsia="Arial" w:hAnsi="Arial"/>
          <w:color w:val="222222"/>
          <w:sz w:val="21"/>
          <w:szCs w:val="21"/>
        </w:rPr>
        <w:t xml:space="preserve">American Diabetes Association Professional Practice Committee for Diabetes. Summary of Revisions: Standards of Care in Diabetes—2026. </w:t>
      </w:r>
      <w:r>
        <w:rPr>
          <w:rFonts w:ascii="Arial" w:cs="Arial" w:eastAsia="Arial" w:hAnsi="Arial"/>
          <w:i/>
          <w:iCs/>
          <w:color w:val="222222"/>
          <w:sz w:val="21"/>
          <w:szCs w:val="21"/>
        </w:rPr>
        <w:t xml:space="preserve">Diabetes Care</w:t>
      </w:r>
      <w:r>
        <w:rPr>
          <w:rFonts w:ascii="Arial" w:cs="Arial" w:eastAsia="Arial" w:hAnsi="Arial"/>
          <w:color w:val="222222"/>
          <w:sz w:val="21"/>
          <w:szCs w:val="21"/>
        </w:rPr>
        <w:t xml:space="preserve">. 2026;49(Suppl 1):S6–S12. https://doi.org/10.2337/dc26-SREV</w:t>
      </w:r>
    </w:p>
    <w:p>
      <w:pPr>
        <w:pStyle w:val="ListParagraph"/>
        <w:numPr>
          <w:ilvl w:val="0"/>
          <w:numId w:val="3"/>
        </w:numPr>
        <w:spacing w:after="40" w:before="40"/>
      </w:pPr>
      <w:r>
        <w:rPr>
          <w:rFonts w:ascii="Arial" w:cs="Arial" w:eastAsia="Arial" w:hAnsi="Arial"/>
          <w:color w:val="222222"/>
          <w:sz w:val="21"/>
          <w:szCs w:val="21"/>
        </w:rPr>
        <w:t xml:space="preserve">American Diabetes Association Professional Practice Committee for Diabetes. 2. Diagnosis and Classification of Diabetes: Standards of Care in Diabetes—2026. </w:t>
      </w:r>
      <w:r>
        <w:rPr>
          <w:rFonts w:ascii="Arial" w:cs="Arial" w:eastAsia="Arial" w:hAnsi="Arial"/>
          <w:i/>
          <w:iCs/>
          <w:color w:val="222222"/>
          <w:sz w:val="21"/>
          <w:szCs w:val="21"/>
        </w:rPr>
        <w:t xml:space="preserve">Diabetes Care</w:t>
      </w:r>
      <w:r>
        <w:rPr>
          <w:rFonts w:ascii="Arial" w:cs="Arial" w:eastAsia="Arial" w:hAnsi="Arial"/>
          <w:color w:val="222222"/>
          <w:sz w:val="21"/>
          <w:szCs w:val="21"/>
        </w:rPr>
        <w:t xml:space="preserve">. 2026;49(Suppl 1). https://doi.org/10.2337/dc26-S002</w:t>
      </w:r>
    </w:p>
    <w:p>
      <w:pPr>
        <w:pStyle w:val="ListParagraph"/>
        <w:numPr>
          <w:ilvl w:val="0"/>
          <w:numId w:val="3"/>
        </w:numPr>
        <w:spacing w:after="40" w:before="40"/>
      </w:pPr>
      <w:r>
        <w:rPr>
          <w:rFonts w:ascii="Arial" w:cs="Arial" w:eastAsia="Arial" w:hAnsi="Arial"/>
          <w:color w:val="222222"/>
          <w:sz w:val="21"/>
          <w:szCs w:val="21"/>
        </w:rPr>
        <w:t xml:space="preserve">American Diabetes Association Professional Practice Committee for Diabetes. 9. Pharmacologic Approaches to Glycemic Treatment: Standards of Care in Diabetes—2026. </w:t>
      </w:r>
      <w:r>
        <w:rPr>
          <w:rFonts w:ascii="Arial" w:cs="Arial" w:eastAsia="Arial" w:hAnsi="Arial"/>
          <w:i/>
          <w:iCs/>
          <w:color w:val="222222"/>
          <w:sz w:val="21"/>
          <w:szCs w:val="21"/>
        </w:rPr>
        <w:t xml:space="preserve">Diabetes Care</w:t>
      </w:r>
      <w:r>
        <w:rPr>
          <w:rFonts w:ascii="Arial" w:cs="Arial" w:eastAsia="Arial" w:hAnsi="Arial"/>
          <w:color w:val="222222"/>
          <w:sz w:val="21"/>
          <w:szCs w:val="21"/>
        </w:rPr>
        <w:t xml:space="preserve">. 2026;49(Suppl 1):S183–S215. https://doi.org/10.2337/dc26-S009</w:t>
      </w:r>
    </w:p>
    <w:p>
      <w:pPr>
        <w:pStyle w:val="ListParagraph"/>
        <w:numPr>
          <w:ilvl w:val="0"/>
          <w:numId w:val="3"/>
        </w:numPr>
        <w:spacing w:after="40" w:before="40"/>
      </w:pPr>
      <w:r>
        <w:rPr>
          <w:rFonts w:ascii="Arial" w:cs="Arial" w:eastAsia="Arial" w:hAnsi="Arial"/>
          <w:color w:val="222222"/>
          <w:sz w:val="21"/>
          <w:szCs w:val="21"/>
        </w:rPr>
        <w:t xml:space="preserve">American Diabetes Association Professional Practice Committee for Diabetes. 10. Cardiovascular Disease and Risk Management: Standards of Care in Diabetes—2026. </w:t>
      </w:r>
      <w:r>
        <w:rPr>
          <w:rFonts w:ascii="Arial" w:cs="Arial" w:eastAsia="Arial" w:hAnsi="Arial"/>
          <w:i/>
          <w:iCs/>
          <w:color w:val="222222"/>
          <w:sz w:val="21"/>
          <w:szCs w:val="21"/>
        </w:rPr>
        <w:t xml:space="preserve">Diabetes Care</w:t>
      </w:r>
      <w:r>
        <w:rPr>
          <w:rFonts w:ascii="Arial" w:cs="Arial" w:eastAsia="Arial" w:hAnsi="Arial"/>
          <w:color w:val="222222"/>
          <w:sz w:val="21"/>
          <w:szCs w:val="21"/>
        </w:rPr>
        <w:t xml:space="preserve">. 2026;49(Suppl 1):S216–S245. https://doi.org/10.2337/dc26-S010</w:t>
      </w:r>
    </w:p>
    <w:p>
      <w:pPr>
        <w:pStyle w:val="ListParagraph"/>
        <w:numPr>
          <w:ilvl w:val="0"/>
          <w:numId w:val="3"/>
        </w:numPr>
        <w:spacing w:after="40" w:before="40"/>
      </w:pPr>
      <w:r>
        <w:rPr>
          <w:rFonts w:ascii="Arial" w:cs="Arial" w:eastAsia="Arial" w:hAnsi="Arial"/>
          <w:color w:val="222222"/>
          <w:sz w:val="21"/>
          <w:szCs w:val="21"/>
        </w:rPr>
        <w:t xml:space="preserve">American Diabetes Association Professional Practice Committee for Diabetes. 11. Chronic Kidney Disease and Risk Management: Standards of Care in Diabetes—2026. </w:t>
      </w:r>
      <w:r>
        <w:rPr>
          <w:rFonts w:ascii="Arial" w:cs="Arial" w:eastAsia="Arial" w:hAnsi="Arial"/>
          <w:i/>
          <w:iCs/>
          <w:color w:val="222222"/>
          <w:sz w:val="21"/>
          <w:szCs w:val="21"/>
        </w:rPr>
        <w:t xml:space="preserve">Diabetes Care</w:t>
      </w:r>
      <w:r>
        <w:rPr>
          <w:rFonts w:ascii="Arial" w:cs="Arial" w:eastAsia="Arial" w:hAnsi="Arial"/>
          <w:color w:val="222222"/>
          <w:sz w:val="21"/>
          <w:szCs w:val="21"/>
        </w:rPr>
        <w:t xml:space="preserve">. 2026;49(Suppl 1):S246–S260. https://doi.org/10.2337/dc26-S011</w:t>
      </w:r>
    </w:p>
    <w:p>
      <w:pPr>
        <w:pStyle w:val="ListParagraph"/>
        <w:numPr>
          <w:ilvl w:val="0"/>
          <w:numId w:val="3"/>
        </w:numPr>
        <w:spacing w:after="40" w:before="40"/>
      </w:pPr>
      <w:r>
        <w:rPr>
          <w:rFonts w:ascii="Arial" w:cs="Arial" w:eastAsia="Arial" w:hAnsi="Arial"/>
          <w:color w:val="222222"/>
          <w:sz w:val="21"/>
          <w:szCs w:val="21"/>
        </w:rPr>
        <w:t xml:space="preserve">American Diabetes Association Professional Practice Committee for Diabetes. 8. Obesity and Weight Management for the Prevention and Treatment of Diabetes: Standards of Care in Diabetes—2026. </w:t>
      </w:r>
      <w:r>
        <w:rPr>
          <w:rFonts w:ascii="Arial" w:cs="Arial" w:eastAsia="Arial" w:hAnsi="Arial"/>
          <w:i/>
          <w:iCs/>
          <w:color w:val="222222"/>
          <w:sz w:val="21"/>
          <w:szCs w:val="21"/>
        </w:rPr>
        <w:t xml:space="preserve">Diabetes Care</w:t>
      </w:r>
      <w:r>
        <w:rPr>
          <w:rFonts w:ascii="Arial" w:cs="Arial" w:eastAsia="Arial" w:hAnsi="Arial"/>
          <w:color w:val="222222"/>
          <w:sz w:val="21"/>
          <w:szCs w:val="21"/>
        </w:rPr>
        <w:t xml:space="preserve">. 2026;49(Suppl 1):S166–S182. https://doi.org/10.2337/dc26-S008</w:t>
      </w:r>
    </w:p>
    <w:p>
      <w:pPr>
        <w:pStyle w:val="ListParagraph"/>
        <w:numPr>
          <w:ilvl w:val="0"/>
          <w:numId w:val="3"/>
        </w:numPr>
        <w:spacing w:after="40" w:before="40"/>
      </w:pPr>
      <w:r>
        <w:rPr>
          <w:rFonts w:ascii="Arial" w:cs="Arial" w:eastAsia="Arial" w:hAnsi="Arial"/>
          <w:color w:val="222222"/>
          <w:sz w:val="21"/>
          <w:szCs w:val="21"/>
        </w:rPr>
        <w:t xml:space="preserve">American Diabetes Association Professional Practice Committee for Diabetes. 7. Diabetes Technology: Standards of Care in Diabetes—2026. </w:t>
      </w:r>
      <w:r>
        <w:rPr>
          <w:rFonts w:ascii="Arial" w:cs="Arial" w:eastAsia="Arial" w:hAnsi="Arial"/>
          <w:i/>
          <w:iCs/>
          <w:color w:val="222222"/>
          <w:sz w:val="21"/>
          <w:szCs w:val="21"/>
        </w:rPr>
        <w:t xml:space="preserve">Diabetes Care</w:t>
      </w:r>
      <w:r>
        <w:rPr>
          <w:rFonts w:ascii="Arial" w:cs="Arial" w:eastAsia="Arial" w:hAnsi="Arial"/>
          <w:color w:val="222222"/>
          <w:sz w:val="21"/>
          <w:szCs w:val="21"/>
        </w:rPr>
        <w:t xml:space="preserve">. 2026;49(Suppl 1). https://doi.org/10.2337/dc26-S007</w:t>
      </w:r>
    </w:p>
    <w:p>
      <w:pPr>
        <w:pStyle w:val="ListParagraph"/>
        <w:numPr>
          <w:ilvl w:val="0"/>
          <w:numId w:val="3"/>
        </w:numPr>
        <w:spacing w:after="40" w:before="40"/>
      </w:pPr>
      <w:r>
        <w:rPr>
          <w:rFonts w:ascii="Arial" w:cs="Arial" w:eastAsia="Arial" w:hAnsi="Arial"/>
          <w:color w:val="222222"/>
          <w:sz w:val="21"/>
          <w:szCs w:val="21"/>
        </w:rPr>
        <w:t xml:space="preserve">Writing Committee Members, Blumenthal RS, Morris PB, et al. 2026 ACC/AHA Guideline on the Management of Dyslipidemia. </w:t>
      </w:r>
      <w:r>
        <w:rPr>
          <w:rFonts w:ascii="Arial" w:cs="Arial" w:eastAsia="Arial" w:hAnsi="Arial"/>
          <w:i/>
          <w:iCs/>
          <w:color w:val="222222"/>
          <w:sz w:val="21"/>
          <w:szCs w:val="21"/>
        </w:rPr>
        <w:t xml:space="preserve">Circulation</w:t>
      </w:r>
      <w:r>
        <w:rPr>
          <w:rFonts w:ascii="Arial" w:cs="Arial" w:eastAsia="Arial" w:hAnsi="Arial"/>
          <w:color w:val="222222"/>
          <w:sz w:val="21"/>
          <w:szCs w:val="21"/>
        </w:rPr>
        <w:t xml:space="preserve">. 2026. https://doi.org/10.1161/CIR.0000000000001423</w:t>
      </w:r>
    </w:p>
    <w:p>
      <w:pPr>
        <w:pStyle w:val="ListParagraph"/>
        <w:numPr>
          <w:ilvl w:val="0"/>
          <w:numId w:val="3"/>
        </w:numPr>
        <w:spacing w:after="40" w:before="40"/>
      </w:pPr>
      <w:r>
        <w:rPr>
          <w:rFonts w:ascii="Arial" w:cs="Arial" w:eastAsia="Arial" w:hAnsi="Arial"/>
          <w:color w:val="222222"/>
          <w:sz w:val="21"/>
          <w:szCs w:val="21"/>
        </w:rPr>
        <w:t xml:space="preserve">KDIGO 2026 Clinical Practice Guideline for Diabetes Management in Chronic Kidney Disease (Update). KDIGO. 2026.</w:t>
      </w:r>
    </w:p>
    <w:p>
      <w:pPr>
        <w:pStyle w:val="ListParagraph"/>
        <w:numPr>
          <w:ilvl w:val="0"/>
          <w:numId w:val="3"/>
        </w:numPr>
        <w:spacing w:after="40" w:before="40"/>
      </w:pPr>
      <w:r>
        <w:rPr>
          <w:rFonts w:ascii="Arial" w:cs="Arial" w:eastAsia="Arial" w:hAnsi="Arial"/>
          <w:color w:val="222222"/>
          <w:sz w:val="21"/>
          <w:szCs w:val="21"/>
        </w:rPr>
        <w:t xml:space="preserve">Diabetes Control and Complications Trial Research Group. The effect of intensive treatment of diabetes on the development and progression of long-term complications in insulin-dependent diabetes mellitus. </w:t>
      </w:r>
      <w:r>
        <w:rPr>
          <w:rFonts w:ascii="Arial" w:cs="Arial" w:eastAsia="Arial" w:hAnsi="Arial"/>
          <w:i/>
          <w:iCs/>
          <w:color w:val="222222"/>
          <w:sz w:val="21"/>
          <w:szCs w:val="21"/>
        </w:rPr>
        <w:t xml:space="preserve">N Engl J Med</w:t>
      </w:r>
      <w:r>
        <w:rPr>
          <w:rFonts w:ascii="Arial" w:cs="Arial" w:eastAsia="Arial" w:hAnsi="Arial"/>
          <w:color w:val="222222"/>
          <w:sz w:val="21"/>
          <w:szCs w:val="21"/>
        </w:rPr>
        <w:t xml:space="preserve">. 1993;329(14):977–986.</w:t>
      </w:r>
    </w:p>
    <w:p>
      <w:pPr>
        <w:pStyle w:val="ListParagraph"/>
        <w:numPr>
          <w:ilvl w:val="0"/>
          <w:numId w:val="3"/>
        </w:numPr>
        <w:spacing w:after="40" w:before="40"/>
      </w:pPr>
      <w:r>
        <w:rPr>
          <w:rFonts w:ascii="Arial" w:cs="Arial" w:eastAsia="Arial" w:hAnsi="Arial"/>
          <w:color w:val="222222"/>
          <w:sz w:val="21"/>
          <w:szCs w:val="21"/>
        </w:rPr>
        <w:t xml:space="preserve">UK Prospective Diabetes Study (UKPDS) Group. Intensive blood-glucose control with sulphonylureas or insulin compared with conventional treatment and risk of complications in patients with type 2 diabetes (UKPDS 33). </w:t>
      </w:r>
      <w:r>
        <w:rPr>
          <w:rFonts w:ascii="Arial" w:cs="Arial" w:eastAsia="Arial" w:hAnsi="Arial"/>
          <w:i/>
          <w:iCs/>
          <w:color w:val="222222"/>
          <w:sz w:val="21"/>
          <w:szCs w:val="21"/>
        </w:rPr>
        <w:t xml:space="preserve">Lancet</w:t>
      </w:r>
      <w:r>
        <w:rPr>
          <w:rFonts w:ascii="Arial" w:cs="Arial" w:eastAsia="Arial" w:hAnsi="Arial"/>
          <w:color w:val="222222"/>
          <w:sz w:val="21"/>
          <w:szCs w:val="21"/>
        </w:rPr>
        <w:t xml:space="preserve">. 1998;352(9131):837–853.</w:t>
      </w:r>
    </w:p>
    <w:p>
      <w:pPr>
        <w:pStyle w:val="ListParagraph"/>
        <w:numPr>
          <w:ilvl w:val="0"/>
          <w:numId w:val="3"/>
        </w:numPr>
        <w:spacing w:after="40" w:before="40"/>
      </w:pPr>
      <w:r>
        <w:rPr>
          <w:rFonts w:ascii="Arial" w:cs="Arial" w:eastAsia="Arial" w:hAnsi="Arial"/>
          <w:color w:val="222222"/>
          <w:sz w:val="21"/>
          <w:szCs w:val="21"/>
        </w:rPr>
        <w:t xml:space="preserve">International Diabetes Federation. </w:t>
      </w:r>
      <w:r>
        <w:rPr>
          <w:rFonts w:ascii="Arial" w:cs="Arial" w:eastAsia="Arial" w:hAnsi="Arial"/>
          <w:i/>
          <w:iCs/>
          <w:color w:val="222222"/>
          <w:sz w:val="21"/>
          <w:szCs w:val="21"/>
        </w:rPr>
        <w:t xml:space="preserve">IDF Diabetes Atlas</w:t>
      </w:r>
      <w:r>
        <w:rPr>
          <w:rFonts w:ascii="Arial" w:cs="Arial" w:eastAsia="Arial" w:hAnsi="Arial"/>
          <w:color w:val="222222"/>
          <w:sz w:val="21"/>
          <w:szCs w:val="21"/>
        </w:rPr>
        <w:t xml:space="preserve">. 10th ed. 2021.</w:t>
      </w:r>
    </w:p>
    <w:p>
      <w:pPr>
        <w:pStyle w:val="ListParagraph"/>
        <w:numPr>
          <w:ilvl w:val="0"/>
          <w:numId w:val="3"/>
        </w:numPr>
        <w:spacing w:after="40" w:before="40"/>
      </w:pPr>
      <w:r>
        <w:rPr>
          <w:rFonts w:ascii="Arial" w:cs="Arial" w:eastAsia="Arial" w:hAnsi="Arial"/>
          <w:color w:val="222222"/>
          <w:sz w:val="21"/>
          <w:szCs w:val="21"/>
        </w:rPr>
        <w:t xml:space="preserve">Marso SP, Daniels GH, Tanaka-Poulsen K, et al. Liraglutide and cardiovascular outcomes in type 2 diabetes (LEADER). </w:t>
      </w:r>
      <w:r>
        <w:rPr>
          <w:rFonts w:ascii="Arial" w:cs="Arial" w:eastAsia="Arial" w:hAnsi="Arial"/>
          <w:i/>
          <w:iCs/>
          <w:color w:val="222222"/>
          <w:sz w:val="21"/>
          <w:szCs w:val="21"/>
        </w:rPr>
        <w:t xml:space="preserve">N Engl J Med</w:t>
      </w:r>
      <w:r>
        <w:rPr>
          <w:rFonts w:ascii="Arial" w:cs="Arial" w:eastAsia="Arial" w:hAnsi="Arial"/>
          <w:color w:val="222222"/>
          <w:sz w:val="21"/>
          <w:szCs w:val="21"/>
        </w:rPr>
        <w:t xml:space="preserve">. 2016;375(4):311–322.</w:t>
      </w:r>
    </w:p>
    <w:p>
      <w:pPr>
        <w:pStyle w:val="ListParagraph"/>
        <w:numPr>
          <w:ilvl w:val="0"/>
          <w:numId w:val="3"/>
        </w:numPr>
        <w:spacing w:after="40" w:before="40"/>
      </w:pPr>
      <w:r>
        <w:rPr>
          <w:rFonts w:ascii="Arial" w:cs="Arial" w:eastAsia="Arial" w:hAnsi="Arial"/>
          <w:color w:val="222222"/>
          <w:sz w:val="21"/>
          <w:szCs w:val="21"/>
        </w:rPr>
        <w:t xml:space="preserve">Perkovic V, Jardine MJ, Neal B, et al. Canagliflozin and renal outcomes in type 2 diabetes and nephropathy (CREDENCE). </w:t>
      </w:r>
      <w:r>
        <w:rPr>
          <w:rFonts w:ascii="Arial" w:cs="Arial" w:eastAsia="Arial" w:hAnsi="Arial"/>
          <w:i/>
          <w:iCs/>
          <w:color w:val="222222"/>
          <w:sz w:val="21"/>
          <w:szCs w:val="21"/>
        </w:rPr>
        <w:t xml:space="preserve">N Engl J Med</w:t>
      </w:r>
      <w:r>
        <w:rPr>
          <w:rFonts w:ascii="Arial" w:cs="Arial" w:eastAsia="Arial" w:hAnsi="Arial"/>
          <w:color w:val="222222"/>
          <w:sz w:val="21"/>
          <w:szCs w:val="21"/>
        </w:rPr>
        <w:t xml:space="preserve">. 2019;380(24):2295–2306.</w:t>
      </w:r>
    </w:p>
    <w:p>
      <w:pPr>
        <w:pStyle w:val="ListParagraph"/>
        <w:numPr>
          <w:ilvl w:val="0"/>
          <w:numId w:val="3"/>
        </w:numPr>
        <w:spacing w:after="40" w:before="40"/>
      </w:pPr>
      <w:r>
        <w:rPr>
          <w:rFonts w:ascii="Arial" w:cs="Arial" w:eastAsia="Arial" w:hAnsi="Arial"/>
          <w:color w:val="222222"/>
          <w:sz w:val="21"/>
          <w:szCs w:val="21"/>
        </w:rPr>
        <w:t xml:space="preserve">Bakris GL, Agarwal R, Anker SD, et al. Effect of finerenone on chronic kidney disease outcomes in type 2 diabetes (FIDELIO-DKD). </w:t>
      </w:r>
      <w:r>
        <w:rPr>
          <w:rFonts w:ascii="Arial" w:cs="Arial" w:eastAsia="Arial" w:hAnsi="Arial"/>
          <w:i/>
          <w:iCs/>
          <w:color w:val="222222"/>
          <w:sz w:val="21"/>
          <w:szCs w:val="21"/>
        </w:rPr>
        <w:t xml:space="preserve">N Engl J Med</w:t>
      </w:r>
      <w:r>
        <w:rPr>
          <w:rFonts w:ascii="Arial" w:cs="Arial" w:eastAsia="Arial" w:hAnsi="Arial"/>
          <w:color w:val="222222"/>
          <w:sz w:val="21"/>
          <w:szCs w:val="21"/>
        </w:rPr>
        <w:t xml:space="preserve">. 2020;383(23):2219–2229.</w:t>
      </w:r>
    </w:p>
    <w:p>
      <w:pPr>
        <w:pStyle w:val="ListParagraph"/>
        <w:numPr>
          <w:ilvl w:val="0"/>
          <w:numId w:val="3"/>
        </w:numPr>
        <w:spacing w:after="40" w:before="40"/>
      </w:pPr>
      <w:r>
        <w:rPr>
          <w:rFonts w:ascii="Arial" w:cs="Arial" w:eastAsia="Arial" w:hAnsi="Arial"/>
          <w:color w:val="222222"/>
          <w:sz w:val="21"/>
          <w:szCs w:val="21"/>
        </w:rPr>
        <w:t xml:space="preserve">Jastreboff AM, Aronne LJ, Ahmad NN, et al. Tirzepatide once weekly for the treatment of obesity (SURMOUNT-1). </w:t>
      </w:r>
      <w:r>
        <w:rPr>
          <w:rFonts w:ascii="Arial" w:cs="Arial" w:eastAsia="Arial" w:hAnsi="Arial"/>
          <w:i/>
          <w:iCs/>
          <w:color w:val="222222"/>
          <w:sz w:val="21"/>
          <w:szCs w:val="21"/>
        </w:rPr>
        <w:t xml:space="preserve">N Engl J Med</w:t>
      </w:r>
      <w:r>
        <w:rPr>
          <w:rFonts w:ascii="Arial" w:cs="Arial" w:eastAsia="Arial" w:hAnsi="Arial"/>
          <w:color w:val="222222"/>
          <w:sz w:val="21"/>
          <w:szCs w:val="21"/>
        </w:rPr>
        <w:t xml:space="preserve">. 2022;387(3):205–216.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5"/>
        <w:szCs w:val="15"/>
      </w:rPr>
      <w:t xml:space="preserve">仅供健康科普和教育目的，不构成个人医疗建议  |  第 </w:t>
    </w:r>
    <w:r>
      <w:rPr>
        <w:rFonts w:ascii="Arial" w:cs="Arial" w:eastAsia="Arial" w:hAnsi="Arial"/>
        <w:color w:val="666666"/>
        <w:sz w:val="15"/>
        <w:szCs w:val="15"/>
      </w:rPr>
      <w:fldChar w:fldCharType="begin"/>
      <w:instrText xml:space="preserve">PAGE</w:instrText>
      <w:fldChar w:fldCharType="separate"/>
      <w:fldChar w:fldCharType="end"/>
    </w:r>
    <w:r>
      <w:rPr>
        <w:rFonts w:ascii="Arial" w:cs="Arial" w:eastAsia="Arial" w:hAnsi="Arial"/>
        <w:color w:val="666666"/>
        <w:sz w:val="15"/>
        <w:szCs w:val="15"/>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ADA 2026 糖尿病诊疗指南 · 科普解读</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3a523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31432f"/>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31432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2026-04-13T18:07:08.775Z</dcterms:created>
  <dcterms:modified xsi:type="dcterms:W3CDTF">2026-04-13T18:07:08.776Z</dcterms:modified>
</cp:coreProperties>
</file>

<file path=docProps/custom.xml><?xml version="1.0" encoding="utf-8"?>
<Properties xmlns="http://schemas.openxmlformats.org/officeDocument/2006/custom-properties" xmlns:vt="http://schemas.openxmlformats.org/officeDocument/2006/docPropsVTypes"/>
</file>