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1B3A5C"/>
          <w:sz w:val="40"/>
          <w:szCs w:val="40"/>
        </w:rPr>
        <w:t xml:space="preserve">慢性乙肝：何时启动抗病毒治疗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B3A5C"/>
          <w:sz w:val="36"/>
          <w:szCs w:val="36"/>
        </w:rPr>
        <w:t xml:space="preserve">如何复查、为什么“保肝药”无效</w:t>
      </w:r>
    </w:p>
    <w:p>
      <w:pPr>
        <w:pBdr>
          <w:left w:val="single" w:color="C0392B" w:sz="6" w:space="8"/>
        </w:pBdr>
        <w:spacing w:after="120" w:before="80"/>
        <w:ind w:left="480" w:right="480"/>
      </w:pPr>
      <w:r>
        <w:rPr>
          <w:rFonts w:ascii="Microsoft YaHei" w:cs="Microsoft YaHei" w:eastAsia="Microsoft YaHei" w:hAnsi="Microsoft YaHei"/>
          <w:i w:val="false"/>
          <w:iCs w:val="false"/>
          <w:color w:val="C0392B"/>
          <w:sz w:val="21"/>
          <w:szCs w:val="21"/>
        </w:rPr>
        <w:t xml:space="preserve">免责声明：本文为基于循证医学的健康科普，不构成医疗诊断或治疗建议。所有治疗决策应由肝病科/感染科专业医师根据患者完整病史和检查综合判断。如有健康问题，请前往正规医疗机构就诊。</w:t>
      </w:r>
    </w:p>
    <w:p>
      <w:pPr>
        <w:pBdr>
          <w:left w:val="single" w:color="2E75B6" w:sz="6" w:space="8"/>
        </w:pBdr>
        <w:spacing w:after="120" w:before="80"/>
        <w:ind w:left="480" w:righ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证据来源：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本文全部内容基于以下三大国际权威指南及其引用的高质量RCT和Meta分析：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WHO 2024：Guidelines for the prevention, diagnosis, care and treatment for people with chronic hepatitis B infection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EASL 2025：European Association for the Study of the Liver Clinical Practice Guidelines on chronic hepatitis 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AASLD 2025/2026：AASLD-IDSA Practice Guideline on Treatment of Chronic Hepatitis B</w:t>
      </w:r>
    </w:p>
    <w:p>
      <w:pPr>
        <w:pBdr>
          <w:bottom w:val="single" w:color="BDC3C7" w:sz="2" w:space="4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</w:rPr>
        <w:t xml:space="preserve">写在最前面：治疗的目的不是“转阴”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很多慢性乙肝患者被问到“你治疗的目标是什么”，回答往往是“表面抗原转阴”。这是一个需要纠正的认知。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三大国际指南的共识非常明确：</w:t>
      </w:r>
    </w:p>
    <w:p>
      <w:pPr>
        <w:pBdr>
          <w:left w:val="single" w:color="2E75B6" w:sz="6" w:space="8"/>
        </w:pBdr>
        <w:spacing w:after="120" w:before="80"/>
        <w:ind w:left="480" w:right="480"/>
      </w:pPr>
      <w:r>
        <w:rPr>
          <w:rFonts w:ascii="Microsoft YaHei" w:cs="Microsoft YaHei" w:eastAsia="Microsoft YaHei" w:hAnsi="Microsoft YaHei"/>
          <w:i w:val="false"/>
          <w:iCs w:val="false"/>
          <w:color w:val="333333"/>
          <w:sz w:val="21"/>
          <w:szCs w:val="21"/>
        </w:rPr>
        <w:t xml:space="preserve">抗病毒治疗的核心目标是——长期抑制病毒复制，从而延缓纤维化进展、预防肝硬化和肝癌、降低死亡风险。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HBsAg清除（所谓“功能性治愈”）虽然是最理想终点，但核苷类似物（NAs）实现率仅约 1-3%/年。干扰素略高，但副作用大且适用人群有限。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绝大多数患者真正的获益来自：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HBV DNA 持续不可测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（&lt; 检测下限）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ALT 正常化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肝纤维化逆转或稳定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HCC（肝细胞癌）风险显著降低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多项长期队列研究和真实世界数据（如台湾 REVEAL-HBV 队列、韩国大规模队列研究等）提示：抗病毒治疗可显著降低 HCC 风险，并降低肝衰竭和死亡率。</w:t>
      </w:r>
    </w:p>
    <w:p>
      <w:pPr>
        <w:pBdr>
          <w:left w:val="single" w:color="27AE60" w:sz="6" w:space="8"/>
        </w:pBdr>
        <w:spacing w:after="120" w:before="80"/>
        <w:ind w:left="480" w:right="480"/>
      </w:pPr>
      <w:r>
        <w:rPr>
          <w:rFonts w:ascii="Microsoft YaHei" w:cs="Microsoft YaHei" w:eastAsia="Microsoft YaHei" w:hAnsi="Microsoft YaHei"/>
          <w:i/>
          <w:iCs/>
          <w:color w:val="333333"/>
          <w:sz w:val="21"/>
          <w:szCs w:val="21"/>
        </w:rPr>
        <w:t xml:space="preserve">这些——才是真正拯救生命的证据。</w:t>
      </w:r>
    </w:p>
    <w:p>
      <w:pPr>
        <w:pBdr>
          <w:bottom w:val="single" w:color="BDC3C7" w:sz="2" w:space="4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</w:rPr>
        <w:t xml:space="preserve">第一部分：2024-2025国际趋势——扩大治疗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一句话概括</w:t>
      </w:r>
    </w:p>
    <w:p>
      <w:pPr>
        <w:pBdr>
          <w:left w:val="single" w:color="2E75B6" w:sz="6" w:space="8"/>
        </w:pBdr>
        <w:spacing w:after="120" w:before="80"/>
        <w:ind w:left="480" w:right="480"/>
      </w:pPr>
      <w:r>
        <w:rPr>
          <w:rFonts w:ascii="Microsoft YaHei" w:cs="Microsoft YaHei" w:eastAsia="Microsoft YaHei" w:hAnsi="Microsoft YaHei"/>
          <w:i w:val="false"/>
          <w:iCs w:val="false"/>
          <w:color w:val="333333"/>
          <w:sz w:val="21"/>
          <w:szCs w:val="21"/>
        </w:rPr>
        <w:t xml:space="preserve">过去治少了，现在要治更多人。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WHO 2024 和 EASL 2025 的最大变化是：大幅降低治疗门槛，扩大治疗人群。过去很多被归为“免疫耐受期”而不治疗的患者，现在被发现存在隐匿性肝纤维化进展和 HCC 风险。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三大指南各自的关键变化</w:t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</w:rPr>
        <w:t xml:space="preserve">WHO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简化治疗路径：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DNA &gt; 2,000 IU/mL + ALT 异常即可治疗，不再严格按 HBeAg 分层设不同 DNA 阈值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家族史升格为独立治疗指征：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一级亲属有 HCC 或肝硬化史，无论 DNA 和 ALT 水平，均应积极考虑治疗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资源有限场景：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若 DNA 检测不可得，持续 ALT 异常（至少2次复查异常）也可作为治疗指征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共感染、免疫抑制、肝外表现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列为独立治疗指征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合并代谢性疾病（糖尿病、MASLD）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也被纳入扩展治疗资格，无论 APRI/DNA/ALT 水平</w:t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</w:rPr>
        <w:t xml:space="preserve">EASL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扩大治疗资格：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向更积极治疗方向发展，但尚未达到“所有有病毒复制者一律治疗”的正式推荐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30岁以上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高 DNA 患者，即使 ALT 正常也倾向考虑治疗（有条件推荐）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无创纤维化评估（LSM &gt; 7 kPa）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权重升高，成为独立治疗考量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qHBsAg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（HBsAg定量）监测指导治疗决策和停药评估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停药条件：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对 HBeAg 阴性非肝硬化患者的停药条件更积极</w:t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</w:rPr>
        <w:t xml:space="preserve">AASLD 2025/2026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ALT ULN更新：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男 35 / 女 25 IU/L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免疫耐受期 &gt;40岁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考虑治疗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简化 HBeAg 阴性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的治疗路径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共同决策（shared decision-making）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纳入患者偏好和生活质量因素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灰区/indeterminate 患者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（ALT 1-2×ULN + DNA 升高）也可通过共同决策考虑治疗</w:t>
      </w:r>
    </w:p>
    <w:p>
      <w:pPr>
        <w:pBdr>
          <w:bottom w:val="single" w:color="BDC3C7" w:sz="2" w:space="4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</w:rPr>
        <w:t xml:space="preserve">第二部分：分层治疗决策——谁必须治？谁可以等？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以下按优先级从高到低排列。优先级越高，越需要立即治疗。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第一层：绝对适应症——必须立即治疗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证据等级：三大指南完全一致，最高质量证据</w:t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</w:rPr>
        <w:t xml:space="preserve">① 所有肝硬化患者（代偿期 + 失代偿期）</w:t>
      </w:r>
    </w:p>
    <w:p>
      <w:pPr>
        <w:pBdr>
          <w:left w:val="single" w:color="C0392B" w:sz="6" w:space="8"/>
        </w:pBdr>
        <w:spacing w:after="120" w:before="80"/>
        <w:ind w:left="480" w:right="480"/>
      </w:pPr>
      <w:r>
        <w:rPr>
          <w:rFonts w:ascii="Microsoft YaHei" w:cs="Microsoft YaHei" w:eastAsia="Microsoft YaHei" w:hAnsi="Microsoft YaHei"/>
          <w:i w:val="false"/>
          <w:iCs w:val="false"/>
          <w:color w:val="333333"/>
          <w:sz w:val="21"/>
          <w:szCs w:val="21"/>
        </w:rPr>
        <w:t xml:space="preserve">无论 HBV DNA 是否可测、无论 ALT 是否正常——只要有肝硬化诊断，就必须抗病毒治疗。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失代偿期肝硬化：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紧急治疗，同时评估肝移植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代偿期肝硬化：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立即治疗，可显著降低失代偿和 HCC 风险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RCT 和长期队列证实，抗病毒治疗可显著降低：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肝衰竭风险 / 食管胃静脉曲张出血 / HCC 发生率 / 全因死亡率</w:t>
      </w:r>
    </w:p>
    <w:p>
      <w:pPr>
        <w:pBdr>
          <w:left w:val="single" w:color="2E75B6" w:sz="6" w:space="8"/>
        </w:pBdr>
        <w:spacing w:after="120" w:before="80"/>
        <w:ind w:left="480" w:right="480"/>
      </w:pPr>
      <w:r>
        <w:rPr>
          <w:rFonts w:ascii="Microsoft YaHei" w:cs="Microsoft YaHei" w:eastAsia="Microsoft YaHei" w:hAnsi="Microsoft YaHei"/>
          <w:i w:val="false"/>
          <w:iCs w:val="false"/>
          <w:color w:val="333333"/>
          <w:sz w:val="21"/>
          <w:szCs w:val="21"/>
        </w:rPr>
        <w:t xml:space="preserve">证据来源：WHO 2024（强推荐，高质量证据）· EASL 2025 · AASLD 2025/2026</w:t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</w:rPr>
        <w:t xml:space="preserve">② 合并 HIV/HDV/HCV 感染 · 免疫抑制/化疗 · 肝外表现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WHO 2024 将以下情况列为独立的抗病毒治疗指征，不论 DNA 和 ALT 水平：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HIV/HBV 合并感染：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应选择含 TDF 或 TAF 的抗逆转录病毒方案。注意：未控制 HIV 共感染时，ETV 不能单独用于 HBV 治疗，否则可能诱导 HIV 耐药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HDV 共感染：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WHO 2024 明确建议对所有 HBsAg 阳性者筛查 HDV，HDV 共感染是独立治疗指征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免疫抑制治疗前：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必须筛查 HBsAg 和 anti-HBc，阳性者需预防性抗病毒。不治疗可导致 HBV 再激活，引发致命性肝衰竭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肝外表现：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HBV 相关肾小球肾炎、结节性多动脉炎等需抗病毒治疗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第二层：标准适应症——强烈建议治疗</w:t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</w:rPr>
        <w:t xml:space="preserve">③ HBV DNA 升高 + ALT 升高（“免疫清除期”）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这是最经典的治疗指征，代表“免疫清除期/免疫活动期”——机体正在攻击被感染的肝细胞，病毒在复制，肝脏在损伤。此时治疗获益最确定。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100"/>
        <w:gridCol w:w="1600"/>
        <w:gridCol w:w="19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指南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HBeAg阳性DNA阈值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HBeAg阴性DNA阈值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ALT标准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ALT ULN定义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WHO 2024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2,000 IU/mL（不分HBeAg）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2,000 IU/mL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ULN（持续异常）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倾向男30/女19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EASL 2025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≥ 20,000 IU/mL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≥ 2,000 IU/mL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ULN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结合年龄、纤维化综合判断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AASLD 2025/2026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≥ 20,000 IU/mL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≥ 2,000 IU/mL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≥ 2×ULN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男35 / 女25 IU/L</w:t>
            </w:r>
          </w:p>
        </w:tc>
      </w:tr>
    </w:tbl>
    <w:p>
      <w:pPr>
        <w:spacing w:after="80"/>
      </w:pPr>
    </w:p>
    <w:p>
      <w:pPr>
        <w:pBdr>
          <w:left w:val="single" w:color="2E75B6" w:sz="6" w:space="8"/>
        </w:pBdr>
        <w:spacing w:after="120" w:before="80"/>
        <w:ind w:left="480" w:right="480"/>
      </w:pPr>
      <w:r>
        <w:rPr>
          <w:rFonts w:ascii="Microsoft YaHei" w:cs="Microsoft YaHei" w:eastAsia="Microsoft YaHei" w:hAnsi="Microsoft YaHei"/>
          <w:i w:val="false"/>
          <w:iCs w:val="false"/>
          <w:color w:val="333333"/>
          <w:sz w:val="21"/>
          <w:szCs w:val="21"/>
        </w:rPr>
        <w:t xml:space="preserve">注意：本表仅概括经典“病毒复制 + 生化活动”路径。纤维化、肝硬化、HCC、共感染、免疫抑制、家族史、糖尿病/MASLD等可独立触发治疗，不受本表限制。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关键差异解读：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DNA 阈值：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WHO 不按 HBeAg 分层，统一 &gt; 2,000 IU/mL 即可治疗——门槛最低。EASL/AASLD 对 HBeAg 阳性患者要求 ≥ 20,000 IU/mL——门槛更高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ALT 标准：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AASLD 将 ≥ 2×ULN 作为经典“immune active”的核心阈值，但灰区患者可通过共同决策考虑治疗。WHO/EASL 接受 &gt; 1×ULN 即可启动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ULN 定义不同：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WHO 倾向更严格的低 ALT ULN（男30/女19 IU/L），AASLD 采用男35/女25 IU/L。用错 ULN 可能导致“明明 ALT 异常却被误判为正常”</w:t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</w:rPr>
        <w:t xml:space="preserve">④ 显著纤维化（METAVIR ≥F2 或 LSM &gt; 7 kPa）——即使 ALT 正常</w:t>
      </w:r>
    </w:p>
    <w:p>
      <w:pPr>
        <w:pBdr>
          <w:left w:val="single" w:color="C0392B" w:sz="6" w:space="8"/>
        </w:pBdr>
        <w:spacing w:after="120" w:before="80"/>
        <w:ind w:left="480" w:right="480"/>
      </w:pPr>
      <w:r>
        <w:rPr>
          <w:rFonts w:ascii="Microsoft YaHei" w:cs="Microsoft YaHei" w:eastAsia="Microsoft YaHei" w:hAnsi="Microsoft YaHei"/>
          <w:i w:val="false"/>
          <w:iCs w:val="false"/>
          <w:color w:val="333333"/>
          <w:sz w:val="21"/>
          <w:szCs w:val="21"/>
        </w:rPr>
        <w:t xml:space="preserve">ALT 正常 ≠ 肝脏没有损伤。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约 15-30% 的 ALT 正常 CHB 患者在肝穿中发现 ≥F2 纤维化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传统 ALT ULN（40 IU/L）可能掩盖大量肝损伤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FibroScan：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LSM &gt; 7 kPa 提示显著纤维化，&gt; 12.5 kPa 提示肝硬化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APRI：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APRI &gt; 0.5 提示显著纤维化（≥F2），APRI &gt; 1.0 提示肝硬化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三大指南共识：有显著纤维化证据者，即使 ALT 正常、即使 DNA 水平未达传统阈值，也应考虑治疗。</w:t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</w:rPr>
        <w:t xml:space="preserve">⑤ HCC 或肝硬化家族史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有家族史 →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无论年龄、DNA 水平和 ALT，均应积极考虑治疗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研究显示 HCC 家族史使 HCC 风险增加 2-5倍（REVEAL 队列数据）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这种风险独立于 DNA 水平和 ALT，是遗传易感性与病毒交互的结果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第三层：扩展适应症——倾向治疗或密切随访</w:t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</w:rPr>
        <w:t xml:space="preserve">⑥ 年龄偏大 + 高病毒载量，ALT 正常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EASL 2025：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30岁以上高 DNA 患者即使 ALT 正常也倾向治疗（有条件推荐）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AASLD 2025/2026：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对免疫耐受期 &gt;40岁 才考虑治疗，更保守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WHO 2024：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年龄本身非独立核心指征，但作为风险修饰因素</w:t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</w:rPr>
        <w:t xml:space="preserve">⑦ ALT 灰区（1-2×ULN）+ DNA 升高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WHO/EASL 较积极：&gt; ULN 即考虑治疗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AASLD 较保守：需排除 ALT 波动（至少连续2次复查异常）</w:t>
      </w:r>
    </w:p>
    <w:p>
      <w:pPr>
        <w:pBdr>
          <w:left w:val="single" w:color="2E75B6" w:sz="6" w:space="8"/>
        </w:pBdr>
        <w:spacing w:after="120" w:before="80"/>
        <w:ind w:left="480" w:right="480"/>
      </w:pPr>
      <w:r>
        <w:rPr>
          <w:rFonts w:ascii="Microsoft YaHei" w:cs="Microsoft YaHei" w:eastAsia="Microsoft YaHei" w:hAnsi="Microsoft YaHei"/>
          <w:i w:val="false"/>
          <w:iCs w:val="false"/>
          <w:color w:val="333333"/>
          <w:sz w:val="21"/>
          <w:szCs w:val="21"/>
        </w:rPr>
        <w:t xml:space="preserve">建议：连续监测 3-6 个月，排除脂肪肝、药物、饮酒等其他原因。仍反复异常者应启动治疗或行肝穿评估。</w:t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</w:rPr>
        <w:t xml:space="preserve">⑧ HBeAg 阴性 + DNA ≥ 2,000 + ALT 正常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需鉴别“非活动携带”与“HBeAg 阴性慢性乙肝”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建议：每3个月复查 DNA 和 ALT，连续监测至少12个月。若反复发现 DNA ≥ 2,000 和/或 ALT 波动升高，应启动治疗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第四层：暂可监测人群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以下人群目前证据尚不支持立即治疗，但必须定期监测：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HBV DNA 不可测或极低（&lt; 2,000 IU/mL）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ALT 持续正常（按更新后的 ULN 标准）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无纤维化证据（FibroScan LSM &lt; 7 kPa 或肝穿 F0-F1）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无家族史 / 年龄较轻（&lt; 30岁）</w:t>
      </w:r>
    </w:p>
    <w:p>
      <w:pPr>
        <w:pBdr>
          <w:left w:val="single" w:color="C0392B" w:sz="6" w:space="8"/>
        </w:pBdr>
        <w:spacing w:after="120" w:before="80"/>
        <w:ind w:left="480" w:right="480"/>
      </w:pPr>
      <w:r>
        <w:rPr>
          <w:rFonts w:ascii="Microsoft YaHei" w:cs="Microsoft YaHei" w:eastAsia="Microsoft YaHei" w:hAnsi="Microsoft YaHei"/>
          <w:i w:val="false"/>
          <w:iCs w:val="false"/>
          <w:color w:val="333333"/>
          <w:sz w:val="21"/>
          <w:szCs w:val="21"/>
        </w:rPr>
        <w:t xml:space="preserve">即使暂不治疗，这些患者仍需每6-12个月定期复查，因为慢性乙肝的自然史可以在任何时间点发生变化。</w:t>
      </w:r>
    </w:p>
    <w:p>
      <w:pPr>
        <w:pBdr>
          <w:bottom w:val="single" w:color="BDC3C7" w:sz="2" w:space="4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</w:rPr>
        <w:t xml:space="preserve">第三部分：复查——慢性乙肝是终身管理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为什么复查至关重要？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慢性乙肝不是“查一次就完了”的疾病。它的自然史可以在任何阶段发生转变：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免疫耐受期 → 免疫清除期（ALT 突然升高）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非活动携带 → HBeAg阴性慢乙肝再激活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隐匿性纤维化进展 / HCC 可发生在任何 HBV 感染者中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正在接受抗病毒治疗的患者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检查项目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适用人群/备注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HBV DNA 定量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每3-6个月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治疗初期每3个月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肝功能（ALT/AST/胆红素）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每3-6个月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所有治疗者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HBeAg / anti-HBe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每6-12个月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初始 HBeAg 阳性者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HBsAg 定量（qHBsAg）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每6-12个月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停药评估/功能性治愈判断时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肾功能（肌酐、eGFR、尿磷）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TDF每6月；其他每年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TDF 使用者更需密切监测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骨密度（DEXA）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基线+酌情复查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有骨风险因素/长期 TDF 使用者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血脂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每年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TAF 可能轻度升高血脂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血常规 + 凝血功能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每年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综合评估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HCC 监测（仅限高危人群）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检查项目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适用人群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腹部超声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每6个月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肝硬化、HCC家族史、男性&gt;40/女性&gt;50等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AFP（甲胎蛋白）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每6个月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AASLD支持联合；EASL/WHO可作补充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暂不治疗的携带者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364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检查项目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  <w:tc>
          <w:tcPr>
            <w:tcW w:type="dxa" w:w="3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HBV DNA 定量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每6-12个月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核心监测项目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肝功能（ALT/AST）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每6个月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核心监测项目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HBeAg / anti-HBe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每年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主要针对 HBeAg 阳性者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HBsAg 定量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每年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评估疾病状态变化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腹部超声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每6-12个月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有高危因素者按 HCC 监测频率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FibroScan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每年（&gt;30岁者）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监测纤维化进展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HCC 筛查：哪些人需要做？</w:t>
      </w:r>
    </w:p>
    <w:p>
      <w:pPr>
        <w:pBdr>
          <w:left w:val="single" w:color="2E75B6" w:sz="6" w:space="8"/>
        </w:pBdr>
        <w:spacing w:after="120" w:before="80"/>
        <w:ind w:left="480" w:right="480"/>
      </w:pPr>
      <w:r>
        <w:rPr>
          <w:rFonts w:ascii="Microsoft YaHei" w:cs="Microsoft YaHei" w:eastAsia="Microsoft YaHei" w:hAnsi="Microsoft YaHei"/>
          <w:i w:val="false"/>
          <w:iCs w:val="false"/>
          <w:color w:val="333333"/>
          <w:sz w:val="21"/>
          <w:szCs w:val="21"/>
        </w:rPr>
        <w:t xml:space="preserve">并非所有慢性乙肝患者都需要同等强度的肝癌筛查。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高危人群定义：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所有肝硬化患者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（三大指南一致，必须筛查）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HCC 家族史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（一级亲属）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年龄因素：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男性 &gt; 40岁、女性 &gt; 50岁（来自流行地区）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HDV/HIV 共感染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EASL 2025 更强调：肝硬化 + PAGE-B 评分 ≥10 分者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筛查方式：超声是核心工具；AFP：AASLD 更明确支持联合，EASL/WHO 可作为补充。频率：高危人群每6个月。</w:t>
      </w:r>
    </w:p>
    <w:p>
      <w:pPr>
        <w:pBdr>
          <w:left w:val="single" w:color="27AE60" w:sz="6" w:space="8"/>
        </w:pBdr>
        <w:spacing w:after="120" w:before="80"/>
        <w:ind w:left="480" w:right="480"/>
      </w:pPr>
      <w:r>
        <w:rPr>
          <w:rFonts w:ascii="Microsoft YaHei" w:cs="Microsoft YaHei" w:eastAsia="Microsoft YaHei" w:hAnsi="Microsoft YaHei"/>
          <w:i w:val="false"/>
          <w:iCs w:val="false"/>
          <w:color w:val="333333"/>
          <w:sz w:val="21"/>
          <w:szCs w:val="21"/>
        </w:rPr>
        <w:t xml:space="preserve">早期发现的 HCC 5年生存率可达 50-70%，而晚期 HCC 的中位生存时间仅 6-9个月。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停药问题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核苷类似物（ETV/TDF/TAF）多数患者需要长期甚至终身治疗。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以下情况绝对不能停药：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肝硬化患者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——终身治疗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合并 HIV 感染者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——终身治疗</w:t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</w:rPr>
        <w:t xml:space="preserve">有条件考虑停药（必须在专科医生指导下）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指南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停药条件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态度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EASL 2025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HBeAg阴性非肝硬化 + DNA不可测≥3年 + qHBsAg&lt;100 IU/mL（亚洲）/ &lt;1000（白种人）+ 密切随访能力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较积极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AASLD 2025/2026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默认建议不停药。仅在高度选择且能高频复查的患者中，通过共同决策讨论停药。倾向满足：无肝硬化、无HIV/HDV、qHBsAg &lt;100 IU/mL、愿意严密随访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默认不停药</w:t>
            </w:r>
          </w:p>
        </w:tc>
      </w:tr>
    </w:tbl>
    <w:p>
      <w:pPr>
        <w:spacing w:after="80"/>
      </w:pPr>
    </w:p>
    <w:p>
      <w:pPr>
        <w:pBdr>
          <w:left w:val="single" w:color="C0392B" w:sz="6" w:space="8"/>
        </w:pBdr>
        <w:spacing w:after="120" w:before="80"/>
        <w:ind w:left="480" w:right="480"/>
      </w:pPr>
      <w:r>
        <w:rPr>
          <w:rFonts w:ascii="Microsoft YaHei" w:cs="Microsoft YaHei" w:eastAsia="Microsoft YaHei" w:hAnsi="Microsoft YaHei"/>
          <w:i w:val="false"/>
          <w:iCs w:val="false"/>
          <w:color w:val="333333"/>
          <w:sz w:val="21"/>
          <w:szCs w:val="21"/>
        </w:rPr>
        <w:t xml:space="preserve">重要提示：停药策略在不同地区和人种间证据异质性较大。对于亚洲患者，停药后复发风险可能更高，切勿简单套用某一指南的停药标准。</w:t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</w:rPr>
        <w:t xml:space="preserve">停药后监测（如医生决定停药）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前6个月：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每1-3个月复查 HBV DNA + ALT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6-12个月：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每3个月复查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12个月后：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每3-6个月复查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EASL 2025：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HBV DNA &gt;10,000 IU/mL 时应考虑重启治疗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AASLD 2025/2026 重启条件：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HBV DNA ≥10,000 IU/mL / ALT ≥5×ULN / 总胆红素 &gt;2.5 mg/dL / 出现失代偿证据</w:t>
      </w:r>
    </w:p>
    <w:p>
      <w:pPr>
        <w:pBdr>
          <w:left w:val="single" w:color="C0392B" w:sz="6" w:space="8"/>
        </w:pBdr>
        <w:spacing w:after="120" w:before="80"/>
        <w:ind w:left="480" w:right="480"/>
      </w:pPr>
      <w:r>
        <w:rPr>
          <w:rFonts w:ascii="Microsoft YaHei" w:cs="Microsoft YaHei" w:eastAsia="Microsoft YaHei" w:hAnsi="Microsoft YaHei"/>
          <w:i w:val="false"/>
          <w:iCs w:val="false"/>
          <w:color w:val="333333"/>
          <w:sz w:val="21"/>
          <w:szCs w:val="21"/>
        </w:rPr>
        <w:t xml:space="preserve">重要警告：自行停药可导致病毒反弹、ALT 暴发、肝功能恶化甚至致命性肝衰竭。停药必须在专科医师指导下进行。</w:t>
      </w:r>
    </w:p>
    <w:p>
      <w:pPr>
        <w:pBdr>
          <w:bottom w:val="single" w:color="BDC3C7" w:sz="2" w:space="4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</w:rPr>
        <w:t xml:space="preserve">第四部分：关于“保肝药”——循证医学的结论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这一节可能颠覆很多人的认知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在很多地区（尤其东亚），慢性乙肝患者常被处方各种“保肝药”、“护肝药”、“降酶药”。常见的包括：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甘草酸制剂（复方甘草酸苷/美能）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水飞蓟素（水飞蓟宾）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多烯磷脂酰胆碱（易善复）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双环醇 / 还原型谷胱甘肽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熊去氧胆酸（UDCA，用于乙肝时）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国际指南怎么说？</w:t>
      </w:r>
    </w:p>
    <w:p>
      <w:pPr>
        <w:pBdr>
          <w:left w:val="single" w:color="C0392B" w:sz="6" w:space="8"/>
        </w:pBdr>
        <w:spacing w:after="120" w:before="80"/>
        <w:ind w:left="480" w:right="480"/>
      </w:pPr>
      <w:r>
        <w:rPr>
          <w:rFonts w:ascii="Microsoft YaHei" w:cs="Microsoft YaHei" w:eastAsia="Microsoft YaHei" w:hAnsi="Microsoft YaHei"/>
          <w:i w:val="false"/>
          <w:iCs w:val="false"/>
          <w:color w:val="333333"/>
          <w:sz w:val="21"/>
          <w:szCs w:val="21"/>
        </w:rPr>
        <w:t xml:space="preserve">没有任何一项“保肝药”被推荐用于慢性乙肝的治疗。一个字都没提。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这不是“疏忽”——这些指南是由全球顶级肝病学家基于系统性文献检索和 GRADE 方法学编写的。没有纳入，就是因为证据不支持。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为什么“保肝药”没有循证依据？</w:t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</w:rPr>
        <w:t xml:space="preserve">1. 没有改善硬终点的 RCT 证据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循证医学评价药物有效性的标准是“硬终点”（hard endpoints）：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全因死亡率 / 肝硬化发生率 / HCC 发生率 / 肝衰竭发生率 / 肝移植需求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截至目前，没有任何一种“保肝药”在针对慢性乙肝的 RCT 中被证实可以降低以上任何一个硬终点。</w:t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</w:rPr>
        <w:t xml:space="preserve">2. “降酶”不等于“保肝”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ALT 升高是肝细胞损伤的标志物。使用药物人为地把 ALT 压下来：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❌ 没有消除病因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（HBV 仍在复制）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❌ 没有阻止纤维化进展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❌ 没有降低 HCC 风险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❌ 反而可能掩盖病情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——延误真正的抗病毒治疗</w:t>
      </w:r>
    </w:p>
    <w:p>
      <w:pPr>
        <w:pBdr>
          <w:left w:val="single" w:color="C0392B" w:sz="6" w:space="8"/>
        </w:pBdr>
        <w:spacing w:after="120" w:before="80"/>
        <w:ind w:left="480" w:right="480"/>
      </w:pPr>
      <w:r>
        <w:rPr>
          <w:rFonts w:ascii="Microsoft YaHei" w:cs="Microsoft YaHei" w:eastAsia="Microsoft YaHei" w:hAnsi="Microsoft YaHei"/>
          <w:i w:val="false"/>
          <w:iCs w:val="false"/>
          <w:color w:val="333333"/>
          <w:sz w:val="21"/>
          <w:szCs w:val="21"/>
        </w:rPr>
        <w:t xml:space="preserve">打一个比方：房子着火了（HBV 引起的肝炎），烟雾报警器响了（ALT 升高）。保肝药做的事情是——关掉烟雾报警器（降 ALT），而不是灭火（抗病毒）。火还在烧，只是你听不到警报了。</w:t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</w:rPr>
        <w:t xml:space="preserve">3-7. 各类保肝药评价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甘草酸制剂：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缺乏高质量证据支持硬终点获益；长期使用可导致低钾血症、高血压、水钠潴留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水飞蓟素：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Cochrane Meta 分析结论——对肝脏相关死亡率、组织学、病毒学反应均无显著获益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多烯磷脂酰胆碱：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最大 RCT（1,789名酒精性肝病患者）显示与安慰剂组无显著差异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双环醇：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缺乏大样本多中心双盲 RCT，未被 WHO/EASL/AASLD 任何指南纳入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熊去氧胆酸（UDCA）：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 PBC 中有高质量证据，但在慢性乙肝中没有 RCT 证据支持改善预后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保肝药的真实危害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延误抗病毒治疗：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患者看到 ALT “降下来了”，以为在好转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掩盖病情进展：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医生可能误判为“免疫耐受期”或“非活动携带”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增加经济负担：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费用本可用于购买有效的抗病毒药物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药物相互作用：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多种保肝药叠加使用可能增加肝脏代谢负担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5. 药物本身的副作用：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甘草酸的低钾血症和水钠潴留、水飞蓟素的胃肠道反应等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唯一有效的“保肝”方式</w:t>
      </w:r>
    </w:p>
    <w:p>
      <w:pPr>
        <w:pBdr>
          <w:left w:val="single" w:color="27AE60" w:sz="6" w:space="8"/>
        </w:pBdr>
        <w:spacing w:after="120" w:before="80"/>
        <w:ind w:left="480" w:right="480"/>
      </w:pPr>
      <w:r>
        <w:rPr>
          <w:rFonts w:ascii="Microsoft YaHei" w:cs="Microsoft YaHei" w:eastAsia="Microsoft YaHei" w:hAnsi="Microsoft YaHei"/>
          <w:i w:val="false"/>
          <w:iCs w:val="false"/>
          <w:color w:val="333333"/>
          <w:sz w:val="21"/>
          <w:szCs w:val="21"/>
        </w:rPr>
        <w:t xml:space="preserve">抗病毒治疗本身就是最好的“保肝”。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ETV/TDF/TAF 通过抑制 HBV 复制 → 减少免疫介导的肝损伤 → ALT 自然恢复正常 → 纤维化逆转或稳定 → HCC 风险降低。这是有长期队列和真实世界数据支持的、真正改善“硬终点”的治疗。</w:t>
      </w:r>
    </w:p>
    <w:p>
      <w:pPr>
        <w:pBdr>
          <w:left w:val="single" w:color="27AE60" w:sz="6" w:space="8"/>
        </w:pBdr>
        <w:spacing w:after="120" w:before="80"/>
        <w:ind w:left="480" w:right="480"/>
      </w:pPr>
      <w:r>
        <w:rPr>
          <w:rFonts w:ascii="Microsoft YaHei" w:cs="Microsoft YaHei" w:eastAsia="Microsoft YaHei" w:hAnsi="Microsoft YaHei"/>
          <w:i w:val="false"/>
          <w:iCs w:val="false"/>
          <w:color w:val="333333"/>
          <w:sz w:val="21"/>
          <w:szCs w:val="21"/>
        </w:rPr>
        <w:t xml:space="preserve">不需要额外加“保肝药”。抗病毒药物本身就在保护你的肝脏。</w:t>
      </w:r>
    </w:p>
    <w:p>
      <w:pPr>
        <w:pBdr>
          <w:bottom w:val="single" w:color="BDC3C7" w:sz="2" w:space="4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</w:rPr>
        <w:t xml:space="preserve">第五部分：TDF vs TAF vs ETV——如何选药</w:t>
      </w:r>
    </w:p>
    <w:p>
      <w:pPr>
        <w:pBdr>
          <w:left w:val="single" w:color="2E75B6" w:sz="6" w:space="8"/>
        </w:pBdr>
        <w:spacing w:after="120" w:before="80"/>
        <w:ind w:left="480" w:right="480"/>
      </w:pPr>
      <w:r>
        <w:rPr>
          <w:rFonts w:ascii="Microsoft YaHei" w:cs="Microsoft YaHei" w:eastAsia="Microsoft YaHei" w:hAnsi="Microsoft YaHei"/>
          <w:i w:val="false"/>
          <w:iCs w:val="false"/>
          <w:color w:val="333333"/>
          <w:sz w:val="21"/>
          <w:szCs w:val="21"/>
        </w:rPr>
        <w:t xml:space="preserve">TDF ≈ TAF ≈ ETV，疗效基本等效。区别在于长期安全性和价格。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核心对比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TDF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TAF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ETV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抗病毒强度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最强之一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与TDF等效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强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耐药屏障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极高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极高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高（&lt;1%/5年）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肾脏安全性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⚠️ 长期可影响eGFR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显著优于TDF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肾安全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骨骼安全性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⚠️ 可降低骨密度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显著优于TDF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骨安全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血脂影响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轻度降脂效应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⚠️ 换药后TC/LDL可能升高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中性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价格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💰 最便宜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💰💰💰 较贵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💰💰 中等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适合人群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年轻、肾功能正常、经济敏感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年龄&gt;50、CKD、骨质疏松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初治、拉米夫定无耐药史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注意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监测肾功能和骨密度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监测血脂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LAM耐药者不首选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药理差异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TDF 和 TAF 本质上都是 tenofovir 的前药，最终活性成分完全相同——tenofovir diphosphate。区别在于前药设计：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TDF：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血浆中释放更多 tenofovir → 全身暴露高 → 肾小管和骨骼暴露更多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TAF：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更精准进入肝细胞，血浆 tenofovir 浓度低约 90% → 同样的肝内疗效，但全身毒性显著降低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因此 TAF 不是“更强”，而是“同样强，但更安全”。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临床决策框架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/>
          <w:bCs/>
          <w:color w:val="1B3A5C"/>
          <w:sz w:val="22"/>
          <w:szCs w:val="22"/>
        </w:rPr>
        <w:t xml:space="preserve">优先选 TDF：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年轻（&lt;50岁）、肾功能正常、无骨质疏松、经济压力大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/>
          <w:bCs/>
          <w:color w:val="1B3A5C"/>
          <w:sz w:val="22"/>
          <w:szCs w:val="22"/>
        </w:rPr>
        <w:t xml:space="preserve">优先选 TAF：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年龄 &gt; 50岁、eGFR &lt; 60 或 CKD 高危、骨质疏松、需终身治疗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/>
          <w:bCs/>
          <w:color w:val="1B3A5C"/>
          <w:sz w:val="22"/>
          <w:szCs w:val="22"/>
        </w:rPr>
        <w:t xml:space="preserve">优先选 ETV：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初治患者、对 tenofovir 类药物不耐受、无既往拉米夫定耐药史</w:t>
      </w:r>
    </w:p>
    <w:p>
      <w:pPr>
        <w:pBdr>
          <w:bottom w:val="single" w:color="BDC3C7" w:sz="2" w:space="4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</w:rPr>
        <w:t xml:space="preserve">第六部分：关于干扰素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聚乙二醇干扰素（Peg-IFN-α）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Peg-IFN 是三大指南认可的一线治疗选项之一，但适用人群有限：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优点：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疗程有限（通常48周）/ HBsAg 清除率高于 NAs / HBeAg 血清学转换率更高 / 无耐药问题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缺点：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副作用显著：发热、乏力、骨髓抑制、抑郁、甲状腺功能异常、脱发 / 需皮下注射 / 失代偿期肝硬化禁用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适合人群：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年轻（&lt;40岁）、高 ALT + 低 DNA、HBeAg 阳性、基因型 A 或 B、无失代偿肝硬化</w:t>
      </w:r>
    </w:p>
    <w:p>
      <w:pPr>
        <w:pBdr>
          <w:left w:val="single" w:color="2E75B6" w:sz="6" w:space="8"/>
        </w:pBdr>
        <w:spacing w:after="120" w:before="80"/>
        <w:ind w:left="480" w:right="480"/>
      </w:pPr>
      <w:r>
        <w:rPr>
          <w:rFonts w:ascii="Microsoft YaHei" w:cs="Microsoft YaHei" w:eastAsia="Microsoft YaHei" w:hAnsi="Microsoft YaHei"/>
          <w:i w:val="false"/>
          <w:iCs w:val="false"/>
          <w:color w:val="333333"/>
          <w:sz w:val="21"/>
          <w:szCs w:val="21"/>
        </w:rPr>
        <w:t xml:space="preserve">对大多数慢性乙肝患者，口服核苷类似物（ETV/TDF/TAF）仍是最现实、最易于长期坚持的治疗选择。</w:t>
      </w:r>
    </w:p>
    <w:p>
      <w:pPr>
        <w:pBdr>
          <w:bottom w:val="single" w:color="BDC3C7" w:sz="2" w:space="4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</w:rPr>
        <w:t xml:space="preserve">第七部分：特殊人群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妊娠期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高病毒载量孕妇：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HBV DNA &gt; 200,000 IU/mL，妊娠24-28周应启动抗病毒治疗以阻断母婴传播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首选 TDF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（妊娠安全性数据最充分）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TAF 数据有限但逐渐积累；ETV 妊娠数据不足，不作首选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儿童和青少年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EASL 2025：对有明显肝炎活动的儿童可考虑治疗，首选 ETV 或 TDF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大多数儿童处于免疫耐受期，可暂不治疗但需定期监测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肾功能不全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避免或慎用 TDF / 首选 TAF 或 ETV / 需根据 eGFR 调整 ETV 剂量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肝移植后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终身抗病毒治疗（防止移植肝再感染）/ 通常联合乙肝免疫球蛋白（HBIG）/ 首选 ETV 或 TDF/TAF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家属和性伴筛查与疫苗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所有 HBsAg 阳性者的一级家属和性伴侣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都应筛查 HBsAg、anti-HBs 和 anti-HBc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未感染者应接种乙肝疫苗——这是预防 HBV 传播最有效的方法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免疫抑制相关的 HBV 再激活预防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接受免疫抑制治疗前：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必须筛查 HBsAg 和 anti-HBc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HBsAg 阳性：启动预防性抗病毒，在免疫抑制开始前至少2周启动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anti-HBc 阳性但 HBsAg 阴性（隐匿性感染）：高风险方案也建议预防性抗病毒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预防性抗病毒应持续至免疫抑制结束后至少6-12个月</w:t>
      </w:r>
    </w:p>
    <w:p>
      <w:pPr>
        <w:pBdr>
          <w:bottom w:val="single" w:color="BDC3C7" w:sz="2" w:space="4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</w:rPr>
        <w:t xml:space="preserve">总结：你需要记住的几件事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✅ 该做的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找肝病科/感染科专科医生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——不要自己判断是否需要治疗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定期复查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——即使暂不治疗，也要每6个月复查一次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HCC 筛查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——高危人群应做腹部超声 ± AFP，每6个月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尽早启动抗病毒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——一旦符合治疗指征，每一天的延误都是肝纤维化的累积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5. 坚持用药，不要自行停药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——停药反弹可致肝衰竭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6. 戒酒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——酒精与 HBV 协同促进纤维化和 HCC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7. 接种甲肝疫苗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——慢乙肝患者合并甲肝可致重症肝炎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/>
          <w:bCs/>
          <w:color w:val="C0392B"/>
          <w:sz w:val="24"/>
          <w:szCs w:val="24"/>
        </w:rPr>
        <w:t xml:space="preserve">❌ 不该做的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不要吃“保肝药”替代抗病毒治疗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——没有任何保肝药被国际指南推荐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不要盯着“表面抗原转阴”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——持续病毒抑制才是真正的获益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不要自行停药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不要听信“偏方”“中药转阴”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——没有 RCT 证据支持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5. 不要因为“没有症状”就不复查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——慢乙肝被称为“沉默的杀手”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6. 不要因为 ALT 正常就以为“肝没事”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——ALT 正常不等于肝脏没有损伤</w:t>
      </w:r>
    </w:p>
    <w:p>
      <w:pPr>
        <w:pBdr>
          <w:bottom w:val="single" w:color="BDC3C7" w:sz="2" w:space="4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</w:rPr>
        <w:t xml:space="preserve">参考文献</w:t>
      </w:r>
    </w:p>
    <w:p>
      <w:pPr>
        <w:spacing w:after="60"/>
        <w:ind w:left="480" w:hanging="4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1.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WHO (2024). Guidelines for the prevention, diagnosis, care and treatment for people with chronic hepatitis B infection.</w:t>
      </w:r>
    </w:p>
    <w:p>
      <w:pPr>
        <w:spacing w:after="60"/>
        <w:ind w:left="480" w:hanging="4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2.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European Association for the Study of the Liver (2025). EASL Clinical Practice Guidelines on the management of hepatitis B virus infection. J Hepatol.</w:t>
      </w:r>
    </w:p>
    <w:p>
      <w:pPr>
        <w:spacing w:after="60"/>
        <w:ind w:left="480" w:hanging="4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3.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Ghany MG, Pan CQ, Lok AS, et al. AASLD-IDSA Practice Guideline on Treatment of Chronic Hepatitis B. Hepatology. 2026;83:974-997.</w:t>
      </w:r>
    </w:p>
    <w:p>
      <w:pPr>
        <w:spacing w:after="60"/>
        <w:ind w:left="480" w:hanging="4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4.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Chan HL, et al. (2024). Long-term efficacy and safety of TAF vs TDF in chronic hepatitis B: 5-year results. J Hepatol.</w:t>
      </w:r>
    </w:p>
    <w:p>
      <w:pPr>
        <w:spacing w:after="60"/>
        <w:ind w:left="480" w:hanging="4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5.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Rambaldi A, et al. (2007). Milk thistle for alcoholic and/or hepatitis B or C virus liver diseases. Cochrane Database Syst Rev.</w:t>
      </w:r>
    </w:p>
    <w:p>
      <w:pPr>
        <w:spacing w:after="60"/>
        <w:ind w:left="480" w:hanging="4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6.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Fried MW, et al. (2012). Effect of silymarin on liver disease in patients with chronic hepatitis C. JAMA, 308(3), 274-282.</w:t>
      </w:r>
    </w:p>
    <w:p>
      <w:pPr>
        <w:spacing w:after="60"/>
        <w:ind w:left="480" w:hanging="4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7.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Lieber CS, et al. (2003). Effect of polyenylphosphatidylcholine on hepatic fibrosis. Alcohol Clin Exp Res, 27(11), 1765-1772.</w:t>
      </w:r>
    </w:p>
    <w:p>
      <w:pPr>
        <w:spacing w:after="60"/>
        <w:ind w:left="480" w:hanging="4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8.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Chen CJ, et al. (2006). Risk of hepatocellular carcinoma across a biological gradient of serum HBV DNA level. JAMA, 295(1), 65-73.</w:t>
      </w:r>
    </w:p>
    <w:p>
      <w:pPr>
        <w:spacing w:after="80"/>
      </w:pP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0"/>
          <w:szCs w:val="20"/>
        </w:rPr>
        <w:t xml:space="preserve">本文更新至 2026年4月。指南可能随时更新，请以最新版本为准。</w:t>
      </w:r>
    </w:p>
    <w:p>
      <w:pPr>
        <w:spacing w:after="120" w:before="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0"/>
          <w:szCs w:val="20"/>
        </w:rPr>
        <w:t xml:space="preserve">如有健康问题，请前往正规医疗机构肝病科/感染科就诊。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666666"/>
        <w:sz w:val="18"/>
        <w:szCs w:val="18"/>
      </w:rPr>
      <w:t xml:space="preserve">慢性乙肝循证科普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YaHei" w:cs="Microsoft YaHei" w:eastAsia="Microsoft YaHei" w:hAnsi="Microsoft YaHe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2026-04-12T11:24:56.431Z</dcterms:created>
  <dcterms:modified xsi:type="dcterms:W3CDTF">2026-04-12T11:24:56.432Z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