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1F1F"/>
          <w:sz w:val="36"/>
          <w:szCs w:val="36"/>
        </w:rPr>
        <w:t xml:space="preserve">Marketing &amp; Media Services Agreement</w:t>
      </w:r>
    </w:p>
    <w:p>
      <w:pPr>
        <w:spacing w:after="240"/>
      </w:pPr>
      <w:r>
        <w:rPr>
          <w:b/>
          <w:bCs/>
          <w:color w:val="B06A4F"/>
          <w:sz w:val="20"/>
          <w:szCs w:val="20"/>
        </w:rPr>
        <w:t xml:space="preserve">Roth Media  ·  FWF</w:t>
      </w:r>
    </w:p>
    <w:p>
      <w:pPr>
        <w:spacing w:after="120" w:line="276"/>
      </w:pPr>
      <w:r>
        <w:t xml:space="preserve">This agreement is between </w:t>
      </w:r>
      <w:r>
        <w:rPr>
          <w:b/>
          <w:bCs/>
        </w:rPr>
        <w:t xml:space="preserve">Brandon Roth, doing business as Roth Media</w:t>
      </w:r>
      <w:r>
        <w:t xml:space="preserve"> </w:t>
      </w:r>
      <w:r>
        <w:rPr>
          <w:highlight w:val="yellow"/>
        </w:rPr>
        <w:t xml:space="preserve">[or your LLC name, if you have one]</w:t>
      </w:r>
      <w:r>
        <w:t xml:space="preserve"> (“Contractor”) and </w:t>
      </w:r>
      <w:r>
        <w:rPr>
          <w:b/>
          <w:bCs/>
        </w:rPr>
        <w:t xml:space="preserve">[FWF full legal business name]</w:t>
      </w:r>
      <w:r>
        <w:t xml:space="preserve"> (“Client” or “FWF”), represented by </w:t>
      </w:r>
      <w:r>
        <w:rPr>
          <w:b/>
          <w:bCs/>
        </w:rPr>
        <w:t xml:space="preserve">Nicole [Last Name]</w:t>
      </w:r>
      <w:r>
        <w:t xml:space="preserve">. It starts on </w:t>
      </w:r>
      <w:r>
        <w:rPr>
          <w:b/>
          <w:bCs/>
        </w:rPr>
        <w:t xml:space="preserve">[Effective Date]</w:t>
      </w:r>
      <w:r>
        <w:t xml:space="preserve"> (the “Effective Date”).</w:t>
      </w:r>
    </w:p>
    <w:p>
      <w:pPr>
        <w:spacing w:after="200"/>
      </w:pPr>
      <w:r>
        <w:t xml:space="preserve">Highlighted items in </w:t>
      </w:r>
      <w:r>
        <w:rPr>
          <w:highlight w:val="yellow"/>
        </w:rPr>
        <w:t xml:space="preserve">[brackets]</w:t>
      </w:r>
      <w:r>
        <w:t xml:space="preserve"> get filled in before signing.</w:t>
      </w:r>
    </w:p>
    <w:p>
      <w:pPr>
        <w:spacing w:after="100"/>
      </w:pPr>
      <w:r>
        <w:rPr>
          <w:b/>
          <w:bCs/>
          <w:sz w:val="22"/>
          <w:szCs w:val="2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CFC7" w:sz="4"/>
              <w:left w:val="single" w:color="D9CFC7" w:sz="4"/>
              <w:bottom w:val="single" w:color="D9CFC7" w:sz="4"/>
              <w:right w:val="single" w:color="D9CFC7" w:sz="4"/>
            </w:tcBorders>
            <w:shd w:fill="F4EFEA" w:color="auto" w:val="clear"/>
            <w:tcMar>
              <w:top w:type="dxa" w:w="100"/>
              <w:left w:type="dxa" w:w="140"/>
              <w:bottom w:type="dxa" w:w="100"/>
              <w:right w:type="dxa" w:w="140"/>
            </w:tcMar>
          </w:tcPr>
          <w:p>
            <w:r>
              <w:rPr>
                <w:b/>
                <w:bCs/>
              </w:rPr>
              <w:t xml:space="preserve">Rate</w:t>
            </w:r>
          </w:p>
        </w:tc>
        <w:tc>
          <w:tcPr>
            <w:tcW w:type="dxa" w:w="7160"/>
            <w:tcBorders>
              <w:top w:val="single" w:color="D9CFC7" w:sz="4"/>
              <w:left w:val="single" w:color="D9CFC7" w:sz="4"/>
              <w:bottom w:val="single" w:color="D9CFC7" w:sz="4"/>
              <w:right w:val="single" w:color="D9CFC7" w:sz="4"/>
            </w:tcBorders>
            <w:tcMar>
              <w:top w:type="dxa" w:w="100"/>
              <w:left w:type="dxa" w:w="140"/>
              <w:bottom w:type="dxa" w:w="100"/>
              <w:right w:type="dxa" w:w="140"/>
            </w:tcMar>
          </w:tcPr>
          <w:p>
            <w:r>
              <w:t xml:space="preserve">$30/hour, paid by FWF, for all work (filming, editing, ads, funnel, meetings, sales calls)</w:t>
            </w:r>
          </w:p>
        </w:tc>
      </w:tr>
      <w:tr>
        <w:tc>
          <w:tcPr>
            <w:tcW w:type="dxa" w:w="2200"/>
            <w:tcBorders>
              <w:top w:val="single" w:color="D9CFC7" w:sz="4"/>
              <w:left w:val="single" w:color="D9CFC7" w:sz="4"/>
              <w:bottom w:val="single" w:color="D9CFC7" w:sz="4"/>
              <w:right w:val="single" w:color="D9CFC7" w:sz="4"/>
            </w:tcBorders>
            <w:shd w:fill="F4EFEA" w:color="auto" w:val="clear"/>
            <w:tcMar>
              <w:top w:type="dxa" w:w="100"/>
              <w:left w:type="dxa" w:w="140"/>
              <w:bottom w:type="dxa" w:w="100"/>
              <w:right w:type="dxa" w:w="140"/>
            </w:tcMar>
          </w:tcPr>
          <w:p>
            <w:r>
              <w:rPr>
                <w:b/>
                <w:bCs/>
              </w:rPr>
              <w:t xml:space="preserve">Billing</w:t>
            </w:r>
          </w:p>
        </w:tc>
        <w:tc>
          <w:tcPr>
            <w:tcW w:type="dxa" w:w="7160"/>
            <w:tcBorders>
              <w:top w:val="single" w:color="D9CFC7" w:sz="4"/>
              <w:left w:val="single" w:color="D9CFC7" w:sz="4"/>
              <w:bottom w:val="single" w:color="D9CFC7" w:sz="4"/>
              <w:right w:val="single" w:color="D9CFC7" w:sz="4"/>
            </w:tcBorders>
            <w:tcMar>
              <w:top w:type="dxa" w:w="100"/>
              <w:left w:type="dxa" w:w="140"/>
              <w:bottom w:type="dxa" w:w="100"/>
              <w:right w:type="dxa" w:w="140"/>
            </w:tcMar>
          </w:tcPr>
          <w:p>
            <w:r>
              <w:t xml:space="preserve">Invoice every two weeks with a timesheet; due within 7 days</w:t>
            </w:r>
          </w:p>
        </w:tc>
      </w:tr>
      <w:tr>
        <w:tc>
          <w:tcPr>
            <w:tcW w:type="dxa" w:w="2200"/>
            <w:tcBorders>
              <w:top w:val="single" w:color="D9CFC7" w:sz="4"/>
              <w:left w:val="single" w:color="D9CFC7" w:sz="4"/>
              <w:bottom w:val="single" w:color="D9CFC7" w:sz="4"/>
              <w:right w:val="single" w:color="D9CFC7" w:sz="4"/>
            </w:tcBorders>
            <w:shd w:fill="F4EFEA" w:color="auto" w:val="clear"/>
            <w:tcMar>
              <w:top w:type="dxa" w:w="100"/>
              <w:left w:type="dxa" w:w="140"/>
              <w:bottom w:type="dxa" w:w="100"/>
              <w:right w:type="dxa" w:w="140"/>
            </w:tcMar>
          </w:tcPr>
          <w:p>
            <w:r>
              <w:rPr>
                <w:b/>
                <w:bCs/>
              </w:rPr>
              <w:t xml:space="preserve">Monthly hours</w:t>
            </w:r>
          </w:p>
        </w:tc>
        <w:tc>
          <w:tcPr>
            <w:tcW w:type="dxa" w:w="7160"/>
            <w:tcBorders>
              <w:top w:val="single" w:color="D9CFC7" w:sz="4"/>
              <w:left w:val="single" w:color="D9CFC7" w:sz="4"/>
              <w:bottom w:val="single" w:color="D9CFC7" w:sz="4"/>
              <w:right w:val="single" w:color="D9CFC7" w:sz="4"/>
            </w:tcBorders>
            <w:tcMar>
              <w:top w:type="dxa" w:w="100"/>
              <w:left w:type="dxa" w:w="140"/>
              <w:bottom w:type="dxa" w:w="100"/>
              <w:right w:type="dxa" w:w="140"/>
            </w:tcMar>
          </w:tcPr>
          <w:p>
            <w:r>
              <w:t xml:space="preserve">About </w:t>
            </w:r>
            <w:r>
              <w:rPr>
                <w:highlight w:val="yellow"/>
              </w:rPr>
              <w:t xml:space="preserve">[__]</w:t>
            </w:r>
            <w:r>
              <w:t xml:space="preserve"> hours/month; no more than </w:t>
            </w:r>
            <w:r>
              <w:rPr>
                <w:highlight w:val="yellow"/>
              </w:rPr>
              <w:t xml:space="preserve">[__]</w:t>
            </w:r>
            <w:r>
              <w:t xml:space="preserve"> without Nicole’s OK</w:t>
            </w:r>
          </w:p>
        </w:tc>
      </w:tr>
      <w:tr>
        <w:tc>
          <w:tcPr>
            <w:tcW w:type="dxa" w:w="2200"/>
            <w:tcBorders>
              <w:top w:val="single" w:color="D9CFC7" w:sz="4"/>
              <w:left w:val="single" w:color="D9CFC7" w:sz="4"/>
              <w:bottom w:val="single" w:color="D9CFC7" w:sz="4"/>
              <w:right w:val="single" w:color="D9CFC7" w:sz="4"/>
            </w:tcBorders>
            <w:shd w:fill="F4EFEA" w:color="auto" w:val="clear"/>
            <w:tcMar>
              <w:top w:type="dxa" w:w="100"/>
              <w:left w:type="dxa" w:w="140"/>
              <w:bottom w:type="dxa" w:w="100"/>
              <w:right w:type="dxa" w:w="140"/>
            </w:tcMar>
          </w:tcPr>
          <w:p>
            <w:r>
              <w:rPr>
                <w:b/>
                <w:bCs/>
              </w:rPr>
              <w:t xml:space="preserve">Ad spend</w:t>
            </w:r>
          </w:p>
        </w:tc>
        <w:tc>
          <w:tcPr>
            <w:tcW w:type="dxa" w:w="7160"/>
            <w:tcBorders>
              <w:top w:val="single" w:color="D9CFC7" w:sz="4"/>
              <w:left w:val="single" w:color="D9CFC7" w:sz="4"/>
              <w:bottom w:val="single" w:color="D9CFC7" w:sz="4"/>
              <w:right w:val="single" w:color="D9CFC7" w:sz="4"/>
            </w:tcBorders>
            <w:tcMar>
              <w:top w:type="dxa" w:w="100"/>
              <w:left w:type="dxa" w:w="140"/>
              <w:bottom w:type="dxa" w:w="100"/>
              <w:right w:type="dxa" w:w="140"/>
            </w:tcMar>
          </w:tcPr>
          <w:p>
            <w:r>
              <w:t xml:space="preserve">Paid by FWF directly to the platform on FWF’s card; budget $</w:t>
            </w:r>
            <w:r>
              <w:rPr>
                <w:highlight w:val="yellow"/>
              </w:rPr>
              <w:t xml:space="preserve">[____]</w:t>
            </w:r>
            <w:r>
              <w:t xml:space="preserve">/month</w:t>
            </w:r>
          </w:p>
        </w:tc>
      </w:tr>
      <w:tr>
        <w:tc>
          <w:tcPr>
            <w:tcW w:type="dxa" w:w="2200"/>
            <w:tcBorders>
              <w:top w:val="single" w:color="D9CFC7" w:sz="4"/>
              <w:left w:val="single" w:color="D9CFC7" w:sz="4"/>
              <w:bottom w:val="single" w:color="D9CFC7" w:sz="4"/>
              <w:right w:val="single" w:color="D9CFC7" w:sz="4"/>
            </w:tcBorders>
            <w:shd w:fill="F4EFEA" w:color="auto" w:val="clear"/>
            <w:tcMar>
              <w:top w:type="dxa" w:w="100"/>
              <w:left w:type="dxa" w:w="140"/>
              <w:bottom w:type="dxa" w:w="100"/>
              <w:right w:type="dxa" w:w="140"/>
            </w:tcMar>
          </w:tcPr>
          <w:p>
            <w:r>
              <w:rPr>
                <w:b/>
                <w:bCs/>
              </w:rPr>
              <w:t xml:space="preserve">Leads</w:t>
            </w:r>
          </w:p>
        </w:tc>
        <w:tc>
          <w:tcPr>
            <w:tcW w:type="dxa" w:w="7160"/>
            <w:tcBorders>
              <w:top w:val="single" w:color="D9CFC7" w:sz="4"/>
              <w:left w:val="single" w:color="D9CFC7" w:sz="4"/>
              <w:bottom w:val="single" w:color="D9CFC7" w:sz="4"/>
              <w:right w:val="single" w:color="D9CFC7" w:sz="4"/>
            </w:tcBorders>
            <w:tcMar>
              <w:top w:type="dxa" w:w="100"/>
              <w:left w:type="dxa" w:w="140"/>
              <w:bottom w:type="dxa" w:w="100"/>
              <w:right w:type="dxa" w:w="140"/>
            </w:tcMar>
          </w:tcPr>
          <w:p>
            <w:r>
              <w:t xml:space="preserve">Sent straight to Nicole; she follows up within </w:t>
            </w:r>
            <w:r>
              <w:rPr>
                <w:highlight w:val="yellow"/>
              </w:rPr>
              <w:t xml:space="preserve">[24 hours]</w:t>
            </w:r>
            <w:r>
              <w:t xml:space="preserve"> unless she asks Brandon to close</w:t>
            </w:r>
          </w:p>
        </w:tc>
      </w:tr>
      <w:tr>
        <w:tc>
          <w:tcPr>
            <w:tcW w:type="dxa" w:w="2200"/>
            <w:tcBorders>
              <w:top w:val="single" w:color="D9CFC7" w:sz="4"/>
              <w:left w:val="single" w:color="D9CFC7" w:sz="4"/>
              <w:bottom w:val="single" w:color="D9CFC7" w:sz="4"/>
              <w:right w:val="single" w:color="D9CFC7" w:sz="4"/>
            </w:tcBorders>
            <w:shd w:fill="F4EFEA" w:color="auto" w:val="clear"/>
            <w:tcMar>
              <w:top w:type="dxa" w:w="100"/>
              <w:left w:type="dxa" w:w="140"/>
              <w:bottom w:type="dxa" w:w="100"/>
              <w:right w:type="dxa" w:w="140"/>
            </w:tcMar>
          </w:tcPr>
          <w:p>
            <w:r>
              <w:rPr>
                <w:b/>
                <w:bCs/>
              </w:rPr>
              <w:t xml:space="preserve">Results</w:t>
            </w:r>
          </w:p>
        </w:tc>
        <w:tc>
          <w:tcPr>
            <w:tcW w:type="dxa" w:w="7160"/>
            <w:tcBorders>
              <w:top w:val="single" w:color="D9CFC7" w:sz="4"/>
              <w:left w:val="single" w:color="D9CFC7" w:sz="4"/>
              <w:bottom w:val="single" w:color="D9CFC7" w:sz="4"/>
              <w:right w:val="single" w:color="D9CFC7" w:sz="4"/>
            </w:tcBorders>
            <w:tcMar>
              <w:top w:type="dxa" w:w="100"/>
              <w:left w:type="dxa" w:w="140"/>
              <w:bottom w:type="dxa" w:w="100"/>
              <w:right w:type="dxa" w:w="140"/>
            </w:tcMar>
          </w:tcPr>
          <w:p>
            <w:r>
              <w:t xml:space="preserve">Not guaranteed; Brandon is paid for time, not outcomes</w:t>
            </w:r>
          </w:p>
        </w:tc>
      </w:tr>
      <w:tr>
        <w:tc>
          <w:tcPr>
            <w:tcW w:type="dxa" w:w="2200"/>
            <w:tcBorders>
              <w:top w:val="single" w:color="D9CFC7" w:sz="4"/>
              <w:left w:val="single" w:color="D9CFC7" w:sz="4"/>
              <w:bottom w:val="single" w:color="D9CFC7" w:sz="4"/>
              <w:right w:val="single" w:color="D9CFC7" w:sz="4"/>
            </w:tcBorders>
            <w:shd w:fill="F4EFEA" w:color="auto" w:val="clear"/>
            <w:tcMar>
              <w:top w:type="dxa" w:w="100"/>
              <w:left w:type="dxa" w:w="140"/>
              <w:bottom w:type="dxa" w:w="100"/>
              <w:right w:type="dxa" w:w="140"/>
            </w:tcMar>
          </w:tcPr>
          <w:p>
            <w:r>
              <w:rPr>
                <w:b/>
                <w:bCs/>
              </w:rPr>
              <w:t xml:space="preserve">Ending</w:t>
            </w:r>
          </w:p>
        </w:tc>
        <w:tc>
          <w:tcPr>
            <w:tcW w:type="dxa" w:w="7160"/>
            <w:tcBorders>
              <w:top w:val="single" w:color="D9CFC7" w:sz="4"/>
              <w:left w:val="single" w:color="D9CFC7" w:sz="4"/>
              <w:bottom w:val="single" w:color="D9CFC7" w:sz="4"/>
              <w:right w:val="single" w:color="D9CFC7" w:sz="4"/>
            </w:tcBorders>
            <w:tcMar>
              <w:top w:type="dxa" w:w="100"/>
              <w:left w:type="dxa" w:w="140"/>
              <w:bottom w:type="dxa" w:w="100"/>
              <w:right w:type="dxa" w:w="140"/>
            </w:tcMar>
          </w:tcPr>
          <w:p>
            <w:r>
              <w:t xml:space="preserve">Either side, </w:t>
            </w:r>
            <w:r>
              <w:rPr>
                <w:highlight w:val="yellow"/>
              </w:rPr>
              <w:t xml:space="preserve">[14]</w:t>
            </w:r>
            <w:r>
              <w:t xml:space="preserve"> days’ notice by text or email</w:t>
            </w:r>
          </w:p>
        </w:tc>
      </w:tr>
    </w:tbl>
    <w:p>
      <w:pPr>
        <w:spacing w:after="60"/>
      </w:pPr>
    </w:p>
    <w:p>
      <w:pPr>
        <w:keepNext/>
        <w:pBdr>
          <w:bottom w:val="single" w:color="D9CFC7" w:sz="4" w:space="2"/>
        </w:pBdr>
        <w:spacing w:after="120" w:before="280"/>
      </w:pPr>
      <w:r>
        <w:rPr>
          <w:b/>
          <w:bCs/>
          <w:color w:val="B06A4F"/>
          <w:sz w:val="24"/>
          <w:szCs w:val="24"/>
        </w:rPr>
        <w:t xml:space="preserve">1. What Contractor will do</w:t>
      </w:r>
    </w:p>
    <w:p>
      <w:pPr>
        <w:spacing w:after="120" w:line="276"/>
      </w:pPr>
      <w:r>
        <w:t xml:space="preserve">Contractor will provide the following services as needed and agreed with Client:</w:t>
      </w:r>
    </w:p>
    <w:p>
      <w:pPr>
        <w:pStyle w:val="ListParagraph"/>
        <w:numPr>
          <w:ilvl w:val="0"/>
          <w:numId w:val="2"/>
        </w:numPr>
        <w:spacing w:after="80" w:line="276"/>
      </w:pPr>
      <w:r>
        <w:rPr>
          <w:b/>
          <w:bCs/>
        </w:rPr>
        <w:t xml:space="preserve">Paid ads.</w:t>
      </w:r>
      <w:r>
        <w:t xml:space="preserve"> Plan, build, run, and adjust ads on Facebook/Instagram (Meta) and any other platform Client approves.</w:t>
      </w:r>
    </w:p>
    <w:p>
      <w:pPr>
        <w:pStyle w:val="ListParagraph"/>
        <w:numPr>
          <w:ilvl w:val="0"/>
          <w:numId w:val="2"/>
        </w:numPr>
        <w:spacing w:after="80" w:line="276"/>
      </w:pPr>
      <w:r>
        <w:rPr>
          <w:b/>
          <w:bCs/>
        </w:rPr>
        <w:t xml:space="preserve">Content.</w:t>
      </w:r>
      <w:r>
        <w:t xml:space="preserve"> Record and edit photo and video content for Client’s ads and social media.</w:t>
      </w:r>
    </w:p>
    <w:p>
      <w:pPr>
        <w:pStyle w:val="ListParagraph"/>
        <w:numPr>
          <w:ilvl w:val="0"/>
          <w:numId w:val="2"/>
        </w:numPr>
        <w:spacing w:after="80" w:line="276"/>
      </w:pPr>
      <w:r>
        <w:rPr>
          <w:b/>
          <w:bCs/>
        </w:rPr>
        <w:t xml:space="preserve">Lead funnel.</w:t>
      </w:r>
      <w:r>
        <w:t xml:space="preserve"> Run Contractor’s lead funnel and deliver new leads directly to Nicole by </w:t>
      </w:r>
      <w:r>
        <w:rPr>
          <w:highlight w:val="yellow"/>
        </w:rPr>
        <w:t xml:space="preserve">[text / email / CRM]</w:t>
      </w:r>
      <w:r>
        <w:t xml:space="preserve"> as they come in.</w:t>
      </w:r>
    </w:p>
    <w:p>
      <w:pPr>
        <w:pStyle w:val="ListParagraph"/>
        <w:numPr>
          <w:ilvl w:val="0"/>
          <w:numId w:val="2"/>
        </w:numPr>
        <w:spacing w:after="80" w:line="276"/>
      </w:pPr>
      <w:r>
        <w:rPr>
          <w:b/>
          <w:bCs/>
        </w:rPr>
        <w:t xml:space="preserve">Closing (optional).</w:t>
      </w:r>
      <w:r>
        <w:t xml:space="preserve"> Only when Client asks (a text or email is enough), Contractor will contact and try to close leads for Client. See Section 5.</w:t>
      </w:r>
    </w:p>
    <w:p>
      <w:pPr>
        <w:spacing w:after="120" w:line="276"/>
      </w:pPr>
      <w:r>
        <w:t xml:space="preserve">Anything not listed here is outside this agreement unless both parties agree to it in writing. A text or email counts as writing.</w:t>
      </w:r>
    </w:p>
    <w:p>
      <w:pPr>
        <w:keepNext/>
        <w:pBdr>
          <w:bottom w:val="single" w:color="D9CFC7" w:sz="4" w:space="2"/>
        </w:pBdr>
        <w:spacing w:after="120" w:before="280"/>
      </w:pPr>
      <w:r>
        <w:rPr>
          <w:b/>
          <w:bCs/>
          <w:color w:val="B06A4F"/>
          <w:sz w:val="24"/>
          <w:szCs w:val="24"/>
        </w:rPr>
        <w:t xml:space="preserve">2. Pay</w:t>
      </w:r>
    </w:p>
    <w:p>
      <w:pPr>
        <w:pStyle w:val="ListParagraph"/>
        <w:numPr>
          <w:ilvl w:val="0"/>
          <w:numId w:val="2"/>
        </w:numPr>
        <w:spacing w:after="80" w:line="276"/>
      </w:pPr>
      <w:r>
        <w:rPr>
          <w:b/>
          <w:bCs/>
        </w:rPr>
        <w:t xml:space="preserve">Rate.</w:t>
      </w:r>
      <w:r>
        <w:t xml:space="preserve"> FWF pays Contractor </w:t>
      </w:r>
      <w:r>
        <w:rPr>
          <w:b/>
          <w:bCs/>
        </w:rPr>
        <w:t xml:space="preserve">$30 per hour</w:t>
      </w:r>
      <w:r>
        <w:t xml:space="preserve"> for all work under this agreement, including filming, editing, ad setup and management, funnel management, reporting, meetings and calls with Client, and sales/closing calls.</w:t>
      </w:r>
    </w:p>
    <w:p>
      <w:pPr>
        <w:pStyle w:val="ListParagraph"/>
        <w:numPr>
          <w:ilvl w:val="0"/>
          <w:numId w:val="2"/>
        </w:numPr>
        <w:spacing w:after="80" w:line="276"/>
      </w:pPr>
      <w:r>
        <w:rPr>
          <w:b/>
          <w:bCs/>
        </w:rPr>
        <w:t xml:space="preserve">Time tracking.</w:t>
      </w:r>
      <w:r>
        <w:t xml:space="preserve"> Time is tracked in 15-minute increments. Each invoice includes a timesheet showing what was done.</w:t>
      </w:r>
    </w:p>
    <w:p>
      <w:pPr>
        <w:pStyle w:val="ListParagraph"/>
        <w:numPr>
          <w:ilvl w:val="0"/>
          <w:numId w:val="2"/>
        </w:numPr>
        <w:spacing w:after="80" w:line="276"/>
      </w:pPr>
      <w:r>
        <w:rPr>
          <w:b/>
          <w:bCs/>
        </w:rPr>
        <w:t xml:space="preserve">Invoices.</w:t>
      </w:r>
      <w:r>
        <w:t xml:space="preserve"> Contractor invoices every two weeks. Payment is due within </w:t>
      </w:r>
      <w:r>
        <w:rPr>
          <w:b/>
          <w:bCs/>
        </w:rPr>
        <w:t xml:space="preserve">7 days</w:t>
      </w:r>
      <w:r>
        <w:t xml:space="preserve"> of the invoice by </w:t>
      </w:r>
      <w:r>
        <w:rPr>
          <w:highlight w:val="yellow"/>
        </w:rPr>
        <w:t xml:space="preserve">[Venmo / Zelle / check / other]</w:t>
      </w:r>
      <w:r>
        <w:t xml:space="preserve">.</w:t>
      </w:r>
    </w:p>
    <w:p>
      <w:pPr>
        <w:pStyle w:val="ListParagraph"/>
        <w:numPr>
          <w:ilvl w:val="0"/>
          <w:numId w:val="2"/>
        </w:numPr>
        <w:spacing w:after="80" w:line="276"/>
      </w:pPr>
      <w:r>
        <w:rPr>
          <w:b/>
          <w:bCs/>
        </w:rPr>
        <w:t xml:space="preserve">Late payment.</w:t>
      </w:r>
      <w:r>
        <w:t xml:space="preserve"> If an invoice is more than 14 days past due, Contractor may pause all work, including active ad campaigns, until it is paid. Contractor is not responsible for lost leads or results during a pause caused by late payment.</w:t>
      </w:r>
    </w:p>
    <w:p>
      <w:pPr>
        <w:pStyle w:val="ListParagraph"/>
        <w:numPr>
          <w:ilvl w:val="0"/>
          <w:numId w:val="2"/>
        </w:numPr>
        <w:spacing w:after="80" w:line="276"/>
      </w:pPr>
      <w:r>
        <w:rPr>
          <w:b/>
          <w:bCs/>
        </w:rPr>
        <w:t xml:space="preserve">Monthly hours.</w:t>
      </w:r>
      <w:r>
        <w:t xml:space="preserve"> Contractor expects to work about </w:t>
      </w:r>
      <w:r>
        <w:rPr>
          <w:b/>
          <w:bCs/>
        </w:rPr>
        <w:t xml:space="preserve">[__] hours per month</w:t>
      </w:r>
      <w:r>
        <w:t xml:space="preserve">. Contractor will not go over </w:t>
      </w:r>
      <w:r>
        <w:rPr>
          <w:b/>
          <w:bCs/>
        </w:rPr>
        <w:t xml:space="preserve">[__] hours</w:t>
      </w:r>
      <w:r>
        <w:t xml:space="preserve"> in a month without Client’s approval (a text is enough).</w:t>
      </w:r>
    </w:p>
    <w:p>
      <w:pPr>
        <w:pStyle w:val="ListParagraph"/>
        <w:numPr>
          <w:ilvl w:val="0"/>
          <w:numId w:val="2"/>
        </w:numPr>
        <w:spacing w:after="80" w:line="276"/>
      </w:pPr>
      <w:r>
        <w:rPr>
          <w:b/>
          <w:bCs/>
        </w:rPr>
        <w:t xml:space="preserve">No commission.</w:t>
      </w:r>
      <w:r>
        <w:t xml:space="preserve"> The hourly rate is Contractor’s full pay. No commission or bonus applies unless both parties add one in writing.</w:t>
      </w:r>
    </w:p>
    <w:p>
      <w:pPr>
        <w:keepNext/>
        <w:pBdr>
          <w:bottom w:val="single" w:color="D9CFC7" w:sz="4" w:space="2"/>
        </w:pBdr>
        <w:spacing w:after="120" w:before="280"/>
      </w:pPr>
      <w:r>
        <w:rPr>
          <w:b/>
          <w:bCs/>
          <w:color w:val="B06A4F"/>
          <w:sz w:val="24"/>
          <w:szCs w:val="24"/>
        </w:rPr>
        <w:t xml:space="preserve">3. Ad spend and other costs</w:t>
      </w:r>
    </w:p>
    <w:p>
      <w:pPr>
        <w:pStyle w:val="ListParagraph"/>
        <w:numPr>
          <w:ilvl w:val="0"/>
          <w:numId w:val="2"/>
        </w:numPr>
        <w:spacing w:after="80" w:line="276"/>
      </w:pPr>
      <w:r>
        <w:rPr>
          <w:b/>
          <w:bCs/>
        </w:rPr>
        <w:t xml:space="preserve">Ad spend is separate from Contractor’s pay.</w:t>
      </w:r>
      <w:r>
        <w:t xml:space="preserve"> Client pays the ad platforms directly, using Client’s own payment method, in ad accounts owned by Client. Contractor will never front or pay for ad spend.</w:t>
      </w:r>
    </w:p>
    <w:p>
      <w:pPr>
        <w:pStyle w:val="ListParagraph"/>
        <w:numPr>
          <w:ilvl w:val="0"/>
          <w:numId w:val="2"/>
        </w:numPr>
        <w:spacing w:after="80" w:line="276"/>
      </w:pPr>
      <w:r>
        <w:rPr>
          <w:b/>
          <w:bCs/>
        </w:rPr>
        <w:t xml:space="preserve">Budget.</w:t>
      </w:r>
      <w:r>
        <w:t xml:space="preserve"> Client sets the ad budget, currently </w:t>
      </w:r>
      <w:r>
        <w:rPr>
          <w:b/>
          <w:bCs/>
        </w:rPr>
        <w:t xml:space="preserve">$[____] per month</w:t>
      </w:r>
      <w:r>
        <w:t xml:space="preserve">. Contractor will not go over the budget Client approves. Client may change the budget at any time with notice to Contractor.</w:t>
      </w:r>
    </w:p>
    <w:p>
      <w:pPr>
        <w:pStyle w:val="ListParagraph"/>
        <w:numPr>
          <w:ilvl w:val="0"/>
          <w:numId w:val="2"/>
        </w:numPr>
        <w:spacing w:after="80" w:line="276"/>
      </w:pPr>
      <w:r>
        <w:rPr>
          <w:b/>
          <w:bCs/>
        </w:rPr>
        <w:t xml:space="preserve">Other costs.</w:t>
      </w:r>
      <w:r>
        <w:t xml:space="preserve"> Music licenses, software, props, printing, or other costs are only purchased with Client’s approval first, and Client reimburses them at cost.</w:t>
      </w:r>
    </w:p>
    <w:p>
      <w:pPr>
        <w:keepNext/>
        <w:pBdr>
          <w:bottom w:val="single" w:color="D9CFC7" w:sz="4" w:space="2"/>
        </w:pBdr>
        <w:spacing w:after="120" w:before="280"/>
      </w:pPr>
      <w:r>
        <w:rPr>
          <w:b/>
          <w:bCs/>
          <w:color w:val="B06A4F"/>
          <w:sz w:val="24"/>
          <w:szCs w:val="24"/>
        </w:rPr>
        <w:t xml:space="preserve">4. Leads and what Client is responsible for</w:t>
      </w:r>
    </w:p>
    <w:p>
      <w:pPr>
        <w:pStyle w:val="ListParagraph"/>
        <w:numPr>
          <w:ilvl w:val="0"/>
          <w:numId w:val="2"/>
        </w:numPr>
        <w:spacing w:after="80" w:line="276"/>
      </w:pPr>
      <w:r>
        <w:rPr>
          <w:b/>
          <w:bCs/>
        </w:rPr>
        <w:t xml:space="preserve">Lead handoff.</w:t>
      </w:r>
      <w:r>
        <w:t xml:space="preserve"> Once a lead is delivered to Client, follow-up is Client’s responsibility unless Client has asked Contractor to close that lead.</w:t>
      </w:r>
    </w:p>
    <w:p>
      <w:pPr>
        <w:pStyle w:val="ListParagraph"/>
        <w:numPr>
          <w:ilvl w:val="0"/>
          <w:numId w:val="2"/>
        </w:numPr>
        <w:spacing w:after="80" w:line="276"/>
      </w:pPr>
      <w:r>
        <w:rPr>
          <w:b/>
          <w:bCs/>
        </w:rPr>
        <w:t xml:space="preserve">Response time.</w:t>
      </w:r>
      <w:r>
        <w:t xml:space="preserve"> Client agrees to contact new leads within </w:t>
      </w:r>
      <w:r>
        <w:rPr>
          <w:b/>
          <w:bCs/>
        </w:rPr>
        <w:t xml:space="preserve">[24 hours]</w:t>
      </w:r>
      <w:r>
        <w:t xml:space="preserve">. Leads go cold fast; slow or missed follow-up is outside Contractor’s control and is not a failure of Contractor’s work.</w:t>
      </w:r>
    </w:p>
    <w:p>
      <w:pPr>
        <w:pStyle w:val="ListParagraph"/>
        <w:numPr>
          <w:ilvl w:val="0"/>
          <w:numId w:val="2"/>
        </w:numPr>
        <w:spacing w:after="80" w:line="276"/>
      </w:pPr>
      <w:r>
        <w:rPr>
          <w:b/>
          <w:bCs/>
        </w:rPr>
        <w:t xml:space="preserve">Access.</w:t>
      </w:r>
      <w:r>
        <w:t xml:space="preserve"> Client provides timely access to ad accounts, social pages, the facility for filming, and the information Contractor needs to do the work.</w:t>
      </w:r>
    </w:p>
    <w:p>
      <w:pPr>
        <w:pStyle w:val="ListParagraph"/>
        <w:numPr>
          <w:ilvl w:val="0"/>
          <w:numId w:val="2"/>
        </w:numPr>
        <w:spacing w:after="80" w:line="276"/>
      </w:pPr>
      <w:r>
        <w:rPr>
          <w:b/>
          <w:bCs/>
        </w:rPr>
        <w:t xml:space="preserve">Approvals.</w:t>
      </w:r>
      <w:r>
        <w:t xml:space="preserve"> Client reviews content and ads within </w:t>
      </w:r>
      <w:r>
        <w:rPr>
          <w:b/>
          <w:bCs/>
        </w:rPr>
        <w:t xml:space="preserve">3 business days</w:t>
      </w:r>
      <w:r>
        <w:t xml:space="preserve">. If Client does not respond or object within that time, the content is considered approved.</w:t>
      </w:r>
    </w:p>
    <w:p>
      <w:pPr>
        <w:pStyle w:val="ListParagraph"/>
        <w:numPr>
          <w:ilvl w:val="0"/>
          <w:numId w:val="2"/>
        </w:numPr>
        <w:spacing w:after="80" w:line="276"/>
      </w:pPr>
      <w:r>
        <w:rPr>
          <w:b/>
          <w:bCs/>
        </w:rPr>
        <w:t xml:space="preserve">Accuracy.</w:t>
      </w:r>
      <w:r>
        <w:t xml:space="preserve"> Client is responsible for making sure its offers, pricing, schedules, guarantees, and claims (including any fitness, health, or results claims) are accurate and that Client actually delivers them.</w:t>
      </w:r>
    </w:p>
    <w:p>
      <w:pPr>
        <w:pStyle w:val="ListParagraph"/>
        <w:numPr>
          <w:ilvl w:val="0"/>
          <w:numId w:val="2"/>
        </w:numPr>
        <w:spacing w:after="80" w:line="276"/>
      </w:pPr>
      <w:r>
        <w:rPr>
          <w:b/>
          <w:bCs/>
        </w:rPr>
        <w:t xml:space="preserve">Lead data.</w:t>
      </w:r>
      <w:r>
        <w:t xml:space="preserve"> Leads collected for Client belong to Client. Client is responsible for how it uses and stores lead information and for following any laws that apply to calling, texting, or emailing leads.</w:t>
      </w:r>
    </w:p>
    <w:p>
      <w:pPr>
        <w:keepNext/>
        <w:pBdr>
          <w:bottom w:val="single" w:color="D9CFC7" w:sz="4" w:space="2"/>
        </w:pBdr>
        <w:spacing w:after="120" w:before="280"/>
      </w:pPr>
      <w:r>
        <w:rPr>
          <w:b/>
          <w:bCs/>
          <w:color w:val="B06A4F"/>
          <w:sz w:val="24"/>
          <w:szCs w:val="24"/>
        </w:rPr>
        <w:t xml:space="preserve">5. Closing leads (only if Client asks)</w:t>
      </w:r>
    </w:p>
    <w:p>
      <w:pPr>
        <w:pStyle w:val="ListParagraph"/>
        <w:numPr>
          <w:ilvl w:val="0"/>
          <w:numId w:val="2"/>
        </w:numPr>
        <w:spacing w:after="80" w:line="276"/>
      </w:pPr>
      <w:r>
        <w:t xml:space="preserve">Contractor uses only Client’s approved prices, offers, and scripts, and will not offer discounts or make promises without Client’s OK.</w:t>
      </w:r>
    </w:p>
    <w:p>
      <w:pPr>
        <w:pStyle w:val="ListParagraph"/>
        <w:numPr>
          <w:ilvl w:val="0"/>
          <w:numId w:val="2"/>
        </w:numPr>
        <w:spacing w:after="80" w:line="276"/>
      </w:pPr>
      <w:r>
        <w:t xml:space="preserve">All payments go directly to Client through Client’s own system. Contractor does not collect or hold money for Client.</w:t>
      </w:r>
    </w:p>
    <w:p>
      <w:pPr>
        <w:pStyle w:val="ListParagraph"/>
        <w:numPr>
          <w:ilvl w:val="0"/>
          <w:numId w:val="2"/>
        </w:numPr>
        <w:spacing w:after="80" w:line="276"/>
      </w:pPr>
      <w:r>
        <w:t xml:space="preserve">Contractor is not responsible for a lead’s decision not to buy, or for refunds, cancellations, or member disputes.</w:t>
      </w:r>
    </w:p>
    <w:p>
      <w:pPr>
        <w:pStyle w:val="ListParagraph"/>
        <w:numPr>
          <w:ilvl w:val="0"/>
          <w:numId w:val="2"/>
        </w:numPr>
        <w:spacing w:after="80" w:line="276"/>
      </w:pPr>
      <w:r>
        <w:t xml:space="preserve">Closing time is billed at the same hourly rate. Client can stop or restart closing work at any time.</w:t>
      </w:r>
    </w:p>
    <w:p>
      <w:pPr>
        <w:keepNext/>
        <w:pBdr>
          <w:bottom w:val="single" w:color="D9CFC7" w:sz="4" w:space="2"/>
        </w:pBdr>
        <w:spacing w:after="120" w:before="280"/>
      </w:pPr>
      <w:r>
        <w:rPr>
          <w:b/>
          <w:bCs/>
          <w:color w:val="B06A4F"/>
          <w:sz w:val="24"/>
          <w:szCs w:val="24"/>
        </w:rPr>
        <w:t xml:space="preserve">6. No guaranteed results</w:t>
      </w:r>
    </w:p>
    <w:p>
      <w:pPr>
        <w:spacing w:after="120" w:line="276"/>
      </w:pPr>
      <w:r>
        <w:t xml:space="preserve">Marketing results vary. Contractor does not guarantee any number of leads, cost per lead, sign-ups, sales, or revenue. Ad platforms can reject ads, limit or shut down accounts, and change their rules, algorithms, or pricing at any time; Contractor is not responsible for those decisions. Client pays for hours worked regardless of results.</w:t>
      </w:r>
    </w:p>
    <w:p>
      <w:pPr>
        <w:keepNext/>
        <w:pBdr>
          <w:bottom w:val="single" w:color="D9CFC7" w:sz="4" w:space="2"/>
        </w:pBdr>
        <w:spacing w:after="120" w:before="280"/>
      </w:pPr>
      <w:r>
        <w:rPr>
          <w:b/>
          <w:bCs/>
          <w:color w:val="B06A4F"/>
          <w:sz w:val="24"/>
          <w:szCs w:val="24"/>
        </w:rPr>
        <w:t xml:space="preserve">7. Filming at Client’s facility</w:t>
      </w:r>
    </w:p>
    <w:p>
      <w:pPr>
        <w:pStyle w:val="ListParagraph"/>
        <w:numPr>
          <w:ilvl w:val="0"/>
          <w:numId w:val="2"/>
        </w:numPr>
        <w:spacing w:after="80" w:line="276"/>
      </w:pPr>
      <w:r>
        <w:t xml:space="preserve">Client is responsible for getting permission from its members, staff, and guests to be filmed and shown in marketing (for example, through signage, its membership agreement, or a signed release). Contractor will provide a simple release form on request.</w:t>
      </w:r>
    </w:p>
    <w:p>
      <w:pPr>
        <w:pStyle w:val="ListParagraph"/>
        <w:numPr>
          <w:ilvl w:val="0"/>
          <w:numId w:val="2"/>
        </w:numPr>
        <w:spacing w:after="80" w:line="276"/>
      </w:pPr>
      <w:r>
        <w:t xml:space="preserve">Contractor will not film anyone who asks not to be filmed, and will follow Client’s facility rules while on site.</w:t>
      </w:r>
    </w:p>
    <w:p>
      <w:pPr>
        <w:pStyle w:val="ListParagraph"/>
        <w:numPr>
          <w:ilvl w:val="0"/>
          <w:numId w:val="2"/>
        </w:numPr>
        <w:spacing w:after="80" w:line="276"/>
      </w:pPr>
      <w:r>
        <w:t xml:space="preserve">Client is responsible for the safety of its facility and for its members, leads, and guests. Each party is responsible for its own equipment and its own insurance.</w:t>
      </w:r>
    </w:p>
    <w:p>
      <w:pPr>
        <w:keepNext/>
        <w:pBdr>
          <w:bottom w:val="single" w:color="D9CFC7" w:sz="4" w:space="2"/>
        </w:pBdr>
        <w:spacing w:after="120" w:before="280"/>
      </w:pPr>
      <w:r>
        <w:rPr>
          <w:b/>
          <w:bCs/>
          <w:color w:val="B06A4F"/>
          <w:sz w:val="24"/>
          <w:szCs w:val="24"/>
        </w:rPr>
        <w:t xml:space="preserve">8. Who owns what</w:t>
      </w:r>
    </w:p>
    <w:p>
      <w:pPr>
        <w:pStyle w:val="ListParagraph"/>
        <w:numPr>
          <w:ilvl w:val="0"/>
          <w:numId w:val="2"/>
        </w:numPr>
        <w:spacing w:after="80" w:line="276"/>
      </w:pPr>
      <w:r>
        <w:rPr>
          <w:b/>
          <w:bCs/>
        </w:rPr>
        <w:t xml:space="preserve">Finished content.</w:t>
      </w:r>
      <w:r>
        <w:t xml:space="preserve"> Once paid for, Client owns the final edited photos and videos and may use them however it likes.</w:t>
      </w:r>
    </w:p>
    <w:p>
      <w:pPr>
        <w:pStyle w:val="ListParagraph"/>
        <w:numPr>
          <w:ilvl w:val="0"/>
          <w:numId w:val="2"/>
        </w:numPr>
        <w:spacing w:after="80" w:line="276"/>
      </w:pPr>
      <w:r>
        <w:rPr>
          <w:b/>
          <w:bCs/>
        </w:rPr>
        <w:t xml:space="preserve">Raw files.</w:t>
      </w:r>
      <w:r>
        <w:t xml:space="preserve"> Contractor keeps raw footage and project files. Client may request raw footage, and preparing it is billed at the hourly rate.</w:t>
      </w:r>
    </w:p>
    <w:p>
      <w:pPr>
        <w:pStyle w:val="ListParagraph"/>
        <w:numPr>
          <w:ilvl w:val="0"/>
          <w:numId w:val="2"/>
        </w:numPr>
        <w:spacing w:after="80" w:line="276"/>
      </w:pPr>
      <w:r>
        <w:rPr>
          <w:b/>
          <w:bCs/>
        </w:rPr>
        <w:t xml:space="preserve">Portfolio.</w:t>
      </w:r>
      <w:r>
        <w:t xml:space="preserve"> Contractor may use the work in Contractor’s own portfolio, website, and social media, unless Client asks in writing that a specific piece stay private.</w:t>
      </w:r>
    </w:p>
    <w:p>
      <w:pPr>
        <w:pStyle w:val="ListParagraph"/>
        <w:numPr>
          <w:ilvl w:val="0"/>
          <w:numId w:val="2"/>
        </w:numPr>
        <w:spacing w:after="80" w:line="276"/>
      </w:pPr>
      <w:r>
        <w:rPr>
          <w:b/>
          <w:bCs/>
        </w:rPr>
        <w:t xml:space="preserve">The funnel.</w:t>
      </w:r>
      <w:r>
        <w:t xml:space="preserve"> Contractor built the lead funnel (pages, forms, automations, templates, and copy) and continues to own it. Client may use it while this agreement is active. When the agreement ends, Contractor will hand over all lead data collected for Client, and the funnel itself stays with Contractor unless Client buys it for </w:t>
      </w:r>
      <w:r>
        <w:rPr>
          <w:b/>
          <w:bCs/>
        </w:rPr>
        <w:t xml:space="preserve">$[_____]</w:t>
      </w:r>
      <w:r>
        <w:t xml:space="preserve"> or both parties agree otherwise in writing.</w:t>
      </w:r>
    </w:p>
    <w:p>
      <w:pPr>
        <w:pStyle w:val="ListParagraph"/>
        <w:numPr>
          <w:ilvl w:val="0"/>
          <w:numId w:val="2"/>
        </w:numPr>
        <w:spacing w:after="80" w:line="276"/>
      </w:pPr>
      <w:r>
        <w:rPr>
          <w:b/>
          <w:bCs/>
        </w:rPr>
        <w:t xml:space="preserve">Client’s accounts.</w:t>
      </w:r>
      <w:r>
        <w:t xml:space="preserve"> Client owns its ad accounts, social pages, website, domain, and logins. Contractor uses partner or admin access only and will not change ownership of any Client account.</w:t>
      </w:r>
    </w:p>
    <w:p>
      <w:pPr>
        <w:keepNext/>
        <w:pBdr>
          <w:bottom w:val="single" w:color="D9CFC7" w:sz="4" w:space="2"/>
        </w:pBdr>
        <w:spacing w:after="120" w:before="280"/>
      </w:pPr>
      <w:r>
        <w:rPr>
          <w:b/>
          <w:bCs/>
          <w:color w:val="B06A4F"/>
          <w:sz w:val="24"/>
          <w:szCs w:val="24"/>
        </w:rPr>
        <w:t xml:space="preserve">9. Confidentiality</w:t>
      </w:r>
    </w:p>
    <w:p>
      <w:pPr>
        <w:spacing w:after="120" w:line="276"/>
      </w:pPr>
      <w:r>
        <w:t xml:space="preserve">Each party keeps the other’s private information private, including member and lead information, pricing, finances, and Contractor’s funnel methods. This continues after the agreement ends.</w:t>
      </w:r>
    </w:p>
    <w:p>
      <w:pPr>
        <w:keepNext/>
        <w:pBdr>
          <w:bottom w:val="single" w:color="D9CFC7" w:sz="4" w:space="2"/>
        </w:pBdr>
        <w:spacing w:after="120" w:before="280"/>
      </w:pPr>
      <w:r>
        <w:rPr>
          <w:b/>
          <w:bCs/>
          <w:color w:val="B06A4F"/>
          <w:sz w:val="24"/>
          <w:szCs w:val="24"/>
        </w:rPr>
        <w:t xml:space="preserve">10. Independent contractor</w:t>
      </w:r>
    </w:p>
    <w:p>
      <w:pPr>
        <w:spacing w:after="120" w:line="276"/>
      </w:pPr>
      <w:r>
        <w:t xml:space="preserve">Contractor is an independent contractor, not an employee of Client. Contractor controls how the work is done and uses Contractor’s own equipment. Contractor pays Contractor’s own taxes and receives no employee benefits; Client will issue a Form 1099 if required. Contractor is free to work with other clients.</w:t>
      </w:r>
    </w:p>
    <w:p>
      <w:pPr>
        <w:keepNext/>
        <w:pBdr>
          <w:bottom w:val="single" w:color="D9CFC7" w:sz="4" w:space="2"/>
        </w:pBdr>
        <w:spacing w:after="120" w:before="280"/>
      </w:pPr>
      <w:r>
        <w:rPr>
          <w:b/>
          <w:bCs/>
          <w:color w:val="B06A4F"/>
          <w:sz w:val="24"/>
          <w:szCs w:val="24"/>
        </w:rPr>
        <w:t xml:space="preserve">11. Limits of responsibility</w:t>
      </w:r>
    </w:p>
    <w:p>
      <w:pPr>
        <w:pStyle w:val="ListParagraph"/>
        <w:numPr>
          <w:ilvl w:val="0"/>
          <w:numId w:val="2"/>
        </w:numPr>
        <w:spacing w:after="80" w:line="276"/>
      </w:pPr>
      <w:r>
        <w:rPr>
          <w:b/>
          <w:bCs/>
        </w:rPr>
        <w:t xml:space="preserve">Cap.</w:t>
      </w:r>
      <w:r>
        <w:t xml:space="preserve"> Contractor’s total liability under this agreement is limited to the amount Client paid Contractor in the 3 months before the claim. Neither party is liable for lost profits or indirect damages.</w:t>
      </w:r>
    </w:p>
    <w:p>
      <w:pPr>
        <w:pStyle w:val="ListParagraph"/>
        <w:numPr>
          <w:ilvl w:val="0"/>
          <w:numId w:val="2"/>
        </w:numPr>
        <w:spacing w:after="80" w:line="276"/>
      </w:pPr>
      <w:r>
        <w:rPr>
          <w:b/>
          <w:bCs/>
        </w:rPr>
        <w:t xml:space="preserve">Client covers Contractor for:</w:t>
      </w:r>
      <w:r>
        <w:t xml:space="preserve"> claims that come from Client’s services or facility (including injuries), Client’s offers, pricing, and claims, materials Client provides (music, logos, photos), Client’s handling of leads and messaging, and anyone filmed without the permission Client was responsible for getting. This includes reasonable legal costs.</w:t>
      </w:r>
    </w:p>
    <w:p>
      <w:pPr>
        <w:pStyle w:val="ListParagraph"/>
        <w:numPr>
          <w:ilvl w:val="0"/>
          <w:numId w:val="2"/>
        </w:numPr>
        <w:spacing w:after="80" w:line="276"/>
      </w:pPr>
      <w:r>
        <w:rPr>
          <w:b/>
          <w:bCs/>
        </w:rPr>
        <w:t xml:space="preserve">Contractor covers Client for:</w:t>
      </w:r>
      <w:r>
        <w:t xml:space="preserve"> claims caused by Contractor’s gross negligence or intentional misconduct.</w:t>
      </w:r>
    </w:p>
    <w:p>
      <w:pPr>
        <w:keepNext/>
        <w:pBdr>
          <w:bottom w:val="single" w:color="D9CFC7" w:sz="4" w:space="2"/>
        </w:pBdr>
        <w:spacing w:after="120" w:before="280"/>
      </w:pPr>
      <w:r>
        <w:rPr>
          <w:b/>
          <w:bCs/>
          <w:color w:val="B06A4F"/>
          <w:sz w:val="24"/>
          <w:szCs w:val="24"/>
        </w:rPr>
        <w:t xml:space="preserve">12. Term and ending the agreement</w:t>
      </w:r>
    </w:p>
    <w:p>
      <w:pPr>
        <w:pStyle w:val="ListParagraph"/>
        <w:numPr>
          <w:ilvl w:val="0"/>
          <w:numId w:val="2"/>
        </w:numPr>
        <w:spacing w:after="80" w:line="276"/>
      </w:pPr>
      <w:r>
        <w:t xml:space="preserve">This agreement runs month to month starting on the Effective Date.</w:t>
      </w:r>
    </w:p>
    <w:p>
      <w:pPr>
        <w:pStyle w:val="ListParagraph"/>
        <w:numPr>
          <w:ilvl w:val="0"/>
          <w:numId w:val="2"/>
        </w:numPr>
        <w:spacing w:after="80" w:line="276"/>
      </w:pPr>
      <w:r>
        <w:t xml:space="preserve">Either party may end it with </w:t>
      </w:r>
      <w:r>
        <w:rPr>
          <w:b/>
          <w:bCs/>
        </w:rPr>
        <w:t xml:space="preserve">[14] days’ notice</w:t>
      </w:r>
      <w:r>
        <w:t xml:space="preserve"> by text or email. Either party may end it right away if the other seriously breaks this agreement and doesn’t fix it within 7 days of notice, or if an invoice is more than 30 days past due.</w:t>
      </w:r>
    </w:p>
    <w:p>
      <w:pPr>
        <w:pStyle w:val="ListParagraph"/>
        <w:numPr>
          <w:ilvl w:val="0"/>
          <w:numId w:val="2"/>
        </w:numPr>
        <w:spacing w:after="80" w:line="276"/>
      </w:pPr>
      <w:r>
        <w:t xml:space="preserve">When it ends: Client pays for all hours worked through the end date; Contractor delivers paid-for finished content and all lead data; ad campaigns are paused or handed over as Client directs; and each party removes the other’s access to its accounts.</w:t>
      </w:r>
    </w:p>
    <w:p>
      <w:pPr>
        <w:keepNext/>
        <w:pBdr>
          <w:bottom w:val="single" w:color="D9CFC7" w:sz="4" w:space="2"/>
        </w:pBdr>
        <w:spacing w:after="120" w:before="280"/>
      </w:pPr>
      <w:r>
        <w:rPr>
          <w:b/>
          <w:bCs/>
          <w:color w:val="B06A4F"/>
          <w:sz w:val="24"/>
          <w:szCs w:val="24"/>
        </w:rPr>
        <w:t xml:space="preserve">13. Communication</w:t>
      </w:r>
    </w:p>
    <w:p>
      <w:pPr>
        <w:spacing w:after="120" w:line="276"/>
      </w:pPr>
      <w:r>
        <w:t xml:space="preserve">Text and email are the main channels. Contractor will reply within one business day and will send a monthly summary of hours, ad spend, and leads.</w:t>
      </w:r>
    </w:p>
    <w:p>
      <w:pPr>
        <w:keepNext/>
        <w:pBdr>
          <w:bottom w:val="single" w:color="D9CFC7" w:sz="4" w:space="2"/>
        </w:pBdr>
        <w:spacing w:after="120" w:before="280"/>
      </w:pPr>
      <w:r>
        <w:rPr>
          <w:b/>
          <w:bCs/>
          <w:color w:val="B06A4F"/>
          <w:sz w:val="24"/>
          <w:szCs w:val="24"/>
        </w:rPr>
        <w:t xml:space="preserve">14. General terms</w:t>
      </w:r>
    </w:p>
    <w:p>
      <w:pPr>
        <w:spacing w:after="120" w:line="276"/>
      </w:pPr>
      <w:r>
        <w:t xml:space="preserve">This is the whole agreement between the parties and replaces any earlier understandings. Changes must be in writing (text or email is fine). New York law applies, and any dispute will be handled in </w:t>
      </w:r>
      <w:r>
        <w:rPr>
          <w:highlight w:val="yellow"/>
        </w:rPr>
        <w:t xml:space="preserve">[Tioga]</w:t>
      </w:r>
      <w:r>
        <w:t xml:space="preserve"> County, New York. If any part is found unenforceable, the rest still applies. Neither party may transfer this agreement without the other’s consent. Electronic signatures count as originals.</w:t>
      </w:r>
    </w:p>
    <w:p>
      <w:pPr>
        <w:spacing w:after="200"/>
      </w:pPr>
    </w:p>
    <w:p>
      <w:pPr>
        <w:spacing w:after="120"/>
      </w:pPr>
      <w:r>
        <w:t xml:space="preserve">Signed by the parties on the dates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300"/>
            </w:tcMar>
          </w:tcPr>
          <w:p>
            <w:pPr>
              <w:spacing w:after="360"/>
            </w:pPr>
            <w:r>
              <w:rPr>
                <w:b/>
                <w:bCs/>
                <w:color w:val="B06A4F"/>
              </w:rPr>
              <w:t xml:space="preserve">CONTRACTOR</w:t>
            </w:r>
          </w:p>
          <w:p>
            <w:pPr>
              <w:pBdr>
                <w:bottom w:val="single" w:color="808080" w:sz="4" w:space="1"/>
              </w:pBdr>
              <w:spacing w:after="40" w:before="360"/>
            </w:pPr>
          </w:p>
          <w:p>
            <w:pPr>
              <w:spacing w:after="80"/>
            </w:pPr>
            <w:r>
              <w:rPr>
                <w:color w:val="595959"/>
                <w:sz w:val="18"/>
                <w:szCs w:val="18"/>
              </w:rPr>
              <w:t xml:space="preserve">Signature</w:t>
            </w:r>
          </w:p>
          <w:p>
            <w:pPr>
              <w:pBdr>
                <w:bottom w:val="single" w:color="808080" w:sz="4" w:space="1"/>
              </w:pBdr>
              <w:spacing w:after="40" w:before="360"/>
            </w:pPr>
          </w:p>
          <w:p>
            <w:pPr>
              <w:spacing w:after="80"/>
            </w:pPr>
            <w:r>
              <w:rPr>
                <w:color w:val="595959"/>
                <w:sz w:val="18"/>
                <w:szCs w:val="18"/>
              </w:rPr>
              <w:t xml:space="preserve">Brandon Roth, Roth Media </w:t>
            </w:r>
            <w:r>
              <w:rPr>
                <w:color w:val="595959"/>
                <w:sz w:val="18"/>
                <w:szCs w:val="18"/>
                <w:highlight w:val="yellow"/>
              </w:rPr>
              <w:t xml:space="preserve">[or your LLC name]</w:t>
            </w:r>
          </w:p>
          <w:p>
            <w:pPr>
              <w:pBdr>
                <w:bottom w:val="single" w:color="808080" w:sz="4" w:space="1"/>
              </w:pBdr>
              <w:spacing w:after="40" w:before="360"/>
            </w:pPr>
          </w:p>
          <w:p>
            <w:pPr>
              <w:spacing w:after="80"/>
            </w:pPr>
            <w:r>
              <w:rPr>
                <w:color w:val="595959"/>
                <w:sz w:val="18"/>
                <w:szCs w:val="18"/>
              </w:rPr>
              <w:t xml:space="preserve">Date</w:t>
            </w:r>
          </w:p>
        </w:tc>
        <w:tc>
          <w:tcPr>
            <w:tcW w:type="dxa" w:w="4680"/>
            <w:tcBorders>
              <w:top w:val="none" w:color="FFFFFF" w:sz="0"/>
              <w:left w:val="none" w:color="FFFFFF" w:sz="0"/>
              <w:bottom w:val="none" w:color="FFFFFF" w:sz="0"/>
              <w:right w:val="none" w:color="FFFFFF" w:sz="0"/>
            </w:tcBorders>
            <w:tcMar>
              <w:left w:type="dxa" w:w="300"/>
            </w:tcMar>
          </w:tcPr>
          <w:p>
            <w:pPr>
              <w:spacing w:after="360"/>
            </w:pPr>
            <w:r>
              <w:rPr>
                <w:b/>
                <w:bCs/>
                <w:color w:val="B06A4F"/>
              </w:rPr>
              <w:t xml:space="preserve">CLIENT</w:t>
            </w:r>
          </w:p>
          <w:p>
            <w:pPr>
              <w:pBdr>
                <w:bottom w:val="single" w:color="808080" w:sz="4" w:space="1"/>
              </w:pBdr>
              <w:spacing w:after="40" w:before="360"/>
            </w:pPr>
          </w:p>
          <w:p>
            <w:pPr>
              <w:spacing w:after="80"/>
            </w:pPr>
            <w:r>
              <w:rPr>
                <w:color w:val="595959"/>
                <w:sz w:val="18"/>
                <w:szCs w:val="18"/>
              </w:rPr>
              <w:t xml:space="preserve">Signature</w:t>
            </w:r>
          </w:p>
          <w:p>
            <w:pPr>
              <w:pBdr>
                <w:bottom w:val="single" w:color="808080" w:sz="4" w:space="1"/>
              </w:pBdr>
              <w:spacing w:after="40" w:before="360"/>
            </w:pPr>
          </w:p>
          <w:p>
            <w:pPr>
              <w:spacing w:after="80"/>
            </w:pPr>
            <w:r>
              <w:rPr>
                <w:color w:val="595959"/>
                <w:sz w:val="18"/>
                <w:szCs w:val="18"/>
              </w:rPr>
              <w:t xml:space="preserve">Nicole </w:t>
            </w:r>
            <w:r>
              <w:rPr>
                <w:color w:val="595959"/>
                <w:sz w:val="18"/>
                <w:szCs w:val="18"/>
                <w:highlight w:val="yellow"/>
              </w:rPr>
              <w:t xml:space="preserve">[Last Name]</w:t>
            </w:r>
            <w:r>
              <w:rPr>
                <w:color w:val="595959"/>
                <w:sz w:val="18"/>
                <w:szCs w:val="18"/>
              </w:rPr>
              <w:t xml:space="preserve">, </w:t>
            </w:r>
            <w:r>
              <w:rPr>
                <w:color w:val="595959"/>
                <w:sz w:val="18"/>
                <w:szCs w:val="18"/>
                <w:highlight w:val="yellow"/>
              </w:rPr>
              <w:t xml:space="preserve">[Title]</w:t>
            </w:r>
            <w:r>
              <w:rPr>
                <w:color w:val="595959"/>
                <w:sz w:val="18"/>
                <w:szCs w:val="18"/>
              </w:rPr>
              <w:t xml:space="preserve">, for </w:t>
            </w:r>
            <w:r>
              <w:rPr>
                <w:color w:val="595959"/>
                <w:sz w:val="18"/>
                <w:szCs w:val="18"/>
                <w:highlight w:val="yellow"/>
              </w:rPr>
              <w:t xml:space="preserve">[FWF legal business name]</w:t>
            </w:r>
          </w:p>
          <w:p>
            <w:pPr>
              <w:pBdr>
                <w:bottom w:val="single" w:color="808080" w:sz="4" w:space="1"/>
              </w:pBdr>
              <w:spacing w:after="40" w:before="360"/>
            </w:pPr>
          </w:p>
          <w:p>
            <w:pPr>
              <w:spacing w:after="80"/>
            </w:pPr>
            <w:r>
              <w:rPr>
                <w:color w:val="595959"/>
                <w:sz w:val="18"/>
                <w:szCs w:val="18"/>
              </w:rPr>
              <w:t xml:space="preserve">Date</w:t>
            </w:r>
          </w:p>
        </w:tc>
      </w:tr>
    </w:tbl>
    <w:sectPr>
      <w:footerReference w:type="default" r:id="rId6"/>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Roth Media · FWF Services Agreement · Page </w:t>
    </w:r>
    <w:r>
      <w:rPr>
        <w:color w:val="808080"/>
        <w:sz w:val="16"/>
        <w:szCs w:val="16"/>
      </w:rPr>
      <w:fldChar w:fldCharType="begin"/>
      <w:instrText xml:space="preserve">PAGE</w:instrText>
      <w:fldChar w:fldCharType="separate"/>
      <w:fldChar w:fldCharType="end"/>
    </w:r>
    <w:r>
      <w:rPr>
        <w:color w:val="808080"/>
        <w:sz w:val="16"/>
        <w:szCs w:val="16"/>
      </w:rPr>
      <w:t xml:space="preserve">   Initials: ____ / 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2026-10-02T10:34:04.726Z</dcterms:created>
  <dcterms:modified xsi:type="dcterms:W3CDTF">2026-10-02T10:34:04.726Z</dcterms:modified>
</cp:coreProperties>
</file>

<file path=docProps/custom.xml><?xml version="1.0" encoding="utf-8"?>
<Properties xmlns="http://schemas.openxmlformats.org/officeDocument/2006/custom-properties" xmlns:vt="http://schemas.openxmlformats.org/officeDocument/2006/docPropsVTypes"/>
</file>