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52"/>
              </w:rPr>
              <w:t>AGROCONECTA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93C5FD"/>
                <w:sz w:val="28"/>
              </w:rPr>
              <w:t>Documento de Arquitectura Tecnológica y Especificaciones del Sistema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6" w:space="0" w:color="1E3A8A"/>
          <w:left w:val="none"/>
          <w:right w:val="none"/>
          <w:insideH w:val="single" w:sz="4" w:space="0" w:color="E5E7EB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 xml:space="preserve">Proyecto: </w:t>
            </w:r>
            <w:r>
              <w:rPr>
                <w:color w:val="4B5563"/>
                <w:sz w:val="19"/>
              </w:rPr>
              <w:t>AgroConecta - Plataforma AgriTech / EUDR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 xml:space="preserve">Fecha: </w:t>
            </w:r>
            <w:r>
              <w:rPr>
                <w:color w:val="4B5563"/>
                <w:sz w:val="19"/>
              </w:rPr>
              <w:t>Agosto 2026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 xml:space="preserve">Fuente de la Verdad: </w:t>
            </w:r>
            <w:r>
              <w:rPr>
                <w:color w:val="4B5563"/>
                <w:sz w:val="19"/>
              </w:rPr>
              <w:t>Bóveda de Obsidian (docs/)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 xml:space="preserve">Estado: </w:t>
            </w:r>
            <w:r>
              <w:rPr>
                <w:color w:val="4B5563"/>
                <w:sz w:val="19"/>
              </w:rPr>
              <w:t>Versión 1.0 (Oficial)</w:t>
            </w:r>
          </w:p>
        </w:tc>
      </w:tr>
    </w:tbl>
    <w:p>
      <w:pPr>
        <w:spacing w:after="320"/>
      </w:pPr>
    </w:p>
    <w:p>
      <w:pPr>
        <w:keepNext/>
        <w:spacing w:before="360" w:after="160"/>
        <w:pBdr>
          <w:bottom w:val="single" w:sz="12" w:space="4" w:color="1E3A8A"/>
        </w:pBdr>
      </w:pPr>
      <w:r>
        <w:rPr>
          <w:rFonts w:ascii="Arial" w:hAnsi="Arial"/>
          <w:b/>
          <w:color w:val="1E3A8A"/>
          <w:sz w:val="36"/>
        </w:rPr>
        <w:t>1. Resumen Ejecutivo y Visión del Sistema</w:t>
      </w:r>
    </w:p>
    <w:p>
      <w:r>
        <w:t>AgroConecta es una plataforma tecnológica integral de alta precisión diseñada para revolucionar la gestión agronómica, la trazabilidad ambiental y el comercio B2B agrícola. Su arquitectura une la adquisición directa de imágenes satelitales del programa espacial europeo (Copernicus CDSE), la inteligencia artificial conversacional y visionaria multimodal (LangGraph + Gemini Flash) y el cumplimiento normativo internacional para normativas de cero deforestación (EUDR TRACES NT).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 xml:space="preserve">Pilares Arquitectónicos: </w:t>
            </w:r>
            <w:r>
              <w:rPr>
                <w:rFonts w:ascii="Calibri" w:hAnsi="Calibri"/>
                <w:color w:val="333333"/>
                <w:sz w:val="21"/>
              </w:rPr>
              <w:t>Despliegue modular en capas, desacoplamiento de frontend y backend, aislamiento estricto de multitenancy vía RLS en PostgreSQL/Supabase, e integración omnicanal WhatsApp/Web para el agricultor.</w:t>
            </w:r>
          </w:p>
        </w:tc>
      </w:tr>
    </w:tbl>
    <w:p>
      <w:pPr>
        <w:spacing w:after="120"/>
      </w:pPr>
    </w:p>
    <w:p>
      <w:pPr>
        <w:keepNext/>
        <w:spacing w:before="360" w:after="160"/>
        <w:pBdr>
          <w:bottom w:val="single" w:sz="12" w:space="4" w:color="1E3A8A"/>
        </w:pBdr>
      </w:pPr>
      <w:r>
        <w:rPr>
          <w:rFonts w:ascii="Arial" w:hAnsi="Arial"/>
          <w:b/>
          <w:color w:val="1E3A8A"/>
          <w:sz w:val="36"/>
        </w:rPr>
        <w:t>2. Arquitectura de Alto Nivel y Ecosistema Tecnológico</w:t>
      </w:r>
    </w:p>
    <w:p>
      <w:r>
        <w:t>El ecosistema de AgroConecta se estructura en 4 capas clave interoperables: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E3A8A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Capa Tecnológica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Componentes Principales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Responsabilidad Principal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Presentation Layer (Frontend)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React + Vite, Tailwind CSS v4, React-Leaflet, jsPDF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Single Page Application (SPA) para mapas interactivos geoespaciales, tableros analíticos y generación de certificados EUDR TRACES NT.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AI Agent Ecosystem (Core IA)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Python, FastAPI, LangGraph, LangChain, Google Gemini Flash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Orquestación multi-agente para análisis fitosanitario por visión computacional, recomendaciones hídricas/nutricionales y ruteo omnicanal.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Backend &amp; Data Layer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Supabase (PostgreSQL 15+), Row Level Security (RLS), PostGIS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Persistencia de datos relacionales y GeoJSON (EPSG:4326), aislamiento RLS por usuario/tenant y autenticación JWT securizada.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Integration &amp; Satellite Layer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Copernicus CDSE API (Sentinel-1, 2, 3, 5P), n8n, WhatsApp API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Adquisición de telemetría multiespectral/SAR en tiempo real y pasarela omnicanal automatizada para comunicación con productores.</w:t>
            </w:r>
          </w:p>
        </w:tc>
      </w:tr>
    </w:tbl>
    <w:p>
      <w:pPr>
        <w:spacing w:after="240"/>
      </w:pPr>
    </w:p>
    <w:p>
      <w:pPr>
        <w:keepNext/>
        <w:spacing w:before="360" w:after="160"/>
        <w:pBdr>
          <w:bottom w:val="single" w:sz="12" w:space="4" w:color="1E3A8A"/>
        </w:pBdr>
      </w:pPr>
      <w:r>
        <w:rPr>
          <w:rFonts w:ascii="Arial" w:hAnsi="Arial"/>
          <w:b/>
          <w:color w:val="1E3A8A"/>
          <w:sz w:val="36"/>
        </w:rPr>
        <w:t>3. Arquitectura Frontend (SPA Geoespacial)</w:t>
      </w:r>
    </w:p>
    <w:p>
      <w:pPr>
        <w:keepNext/>
        <w:spacing w:before="280" w:after="120"/>
      </w:pPr>
      <w:r>
        <w:rPr>
          <w:rFonts w:ascii="Arial" w:hAnsi="Arial"/>
          <w:b/>
          <w:color w:val="2D6A4F"/>
          <w:sz w:val="28"/>
        </w:rPr>
        <w:t>3.1 Stack Tecnológico y Principios de Diseño</w:t>
      </w:r>
    </w:p>
    <w:p>
      <w:r>
        <w:t>El portal frontend ha sido diseñado bajo los principios de velocidad, interacción fluida y estética moderna Premium (Dark Mode nativo, componentes responsivos pixel-perfect y glassmorfismo).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 xml:space="preserve">Framework Base: </w:t>
            </w:r>
            <w:r>
              <w:rPr>
                <w:rFonts w:ascii="Calibri" w:hAnsi="Calibri"/>
                <w:color w:val="333333"/>
                <w:sz w:val="21"/>
              </w:rPr>
              <w:t>React 19 + Vite para una compilación ultra-rápida y empaquetado optimizado.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 xml:space="preserve">Motor de Estilos: </w:t>
            </w:r>
            <w:r>
              <w:rPr>
                <w:rFonts w:ascii="Calibri" w:hAnsi="Calibri"/>
                <w:color w:val="333333"/>
                <w:sz w:val="21"/>
              </w:rPr>
              <w:t>Tailwind CSS v4 con variables CSS personalizadas y diseño UI adaptativo.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 xml:space="preserve">Mapas Geoespaciales: </w:t>
            </w:r>
            <w:r>
              <w:rPr>
                <w:rFonts w:ascii="Calibri" w:hAnsi="Calibri"/>
                <w:color w:val="333333"/>
                <w:sz w:val="21"/>
              </w:rPr>
              <w:t>React-Leaflet integrado con polígonos GeoJSON (EPSG:4326) e superposición de capas satelitales NDVI/NDMI.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 xml:space="preserve">Generación de Documentos: </w:t>
            </w:r>
            <w:r>
              <w:rPr>
                <w:rFonts w:ascii="Calibri" w:hAnsi="Calibri"/>
                <w:color w:val="333333"/>
                <w:sz w:val="21"/>
              </w:rPr>
              <w:t>jsPDF optimizado para la emisión client-side de certificados técnicos EUDR.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2D6A4F"/>
          <w:sz w:val="28"/>
        </w:rPr>
        <w:t>3.2 Estructura Modular de Artefactos</w:t>
      </w:r>
    </w:p>
    <w:p>
      <w:r>
        <w:t>El código cliente mantiene una separación clara de responsabilidades:</w:t>
      </w:r>
    </w:p>
    <w:p>
      <w:pPr>
        <w:pStyle w:val="ListBullet"/>
        <w:spacing w:after="60"/>
      </w:pPr>
      <w:r>
        <w:rPr>
          <w:b/>
          <w:color w:val="1E3A8A"/>
        </w:rPr>
        <w:t>src/components/:</w:t>
      </w:r>
      <w:r>
        <w:t xml:space="preserve"> Reutilizables de interfaz (tablas de telemetría, modales de alerta, tarjetas de insumos B2B).</w:t>
      </w:r>
    </w:p>
    <w:p>
      <w:pPr>
        <w:pStyle w:val="ListBullet"/>
        <w:spacing w:after="60"/>
      </w:pPr>
      <w:r>
        <w:rPr>
          <w:b/>
          <w:color w:val="1E3A8A"/>
        </w:rPr>
        <w:t>src/pages/:</w:t>
      </w:r>
      <w:r>
        <w:t xml:space="preserve"> Vistas de alto nivel (Dashboard Principal, Monitor Satelital, Gestión de Parcelas, Mercado B2B, Login).</w:t>
      </w:r>
    </w:p>
    <w:p>
      <w:pPr>
        <w:pStyle w:val="ListBullet"/>
        <w:spacing w:after="60"/>
      </w:pPr>
      <w:r>
        <w:rPr>
          <w:b/>
          <w:color w:val="1E3A8A"/>
        </w:rPr>
        <w:t>src/hooks/:</w:t>
      </w:r>
      <w:r>
        <w:t xml:space="preserve"> Hooks personalizados de lógica de estado como useAuth() para la gestión de sesión JWT con Supabase.</w:t>
      </w:r>
    </w:p>
    <w:p>
      <w:pPr>
        <w:pStyle w:val="ListBullet"/>
        <w:spacing w:after="60"/>
      </w:pPr>
      <w:r>
        <w:rPr>
          <w:b/>
          <w:color w:val="1E3A8A"/>
        </w:rPr>
        <w:t>src/lib/:</w:t>
      </w:r>
      <w:r>
        <w:t xml:space="preserve"> Cliente singleton de conexión Supabase y utilidades globales de formato astronómico y geográfico.</w:t>
      </w:r>
    </w:p>
    <w:p>
      <w:pPr>
        <w:pStyle w:val="ListBullet"/>
        <w:spacing w:after="60"/>
      </w:pPr>
      <w:r>
        <w:rPr>
          <w:b/>
          <w:color w:val="1E3A8A"/>
        </w:rPr>
        <w:t>src/types/:</w:t>
      </w:r>
      <w:r>
        <w:t xml:space="preserve"> Definiciones estrictas TypeScript que garantizan consistencia con la base de datos (Parcela, TelemetryRecord, SmartLead).</w:t>
      </w:r>
    </w:p>
    <w:p>
      <w:pPr>
        <w:keepNext/>
        <w:spacing w:before="360" w:after="160"/>
        <w:pBdr>
          <w:bottom w:val="single" w:sz="12" w:space="4" w:color="1E3A8A"/>
        </w:pBdr>
      </w:pPr>
      <w:r>
        <w:rPr>
          <w:rFonts w:ascii="Arial" w:hAnsi="Arial"/>
          <w:b/>
          <w:color w:val="1E3A8A"/>
          <w:sz w:val="36"/>
        </w:rPr>
        <w:t>4. Arquitectura de Backend y Modelo de Datos</w:t>
      </w:r>
    </w:p>
    <w:p>
      <w:pPr>
        <w:keepNext/>
        <w:spacing w:before="280" w:after="120"/>
      </w:pPr>
      <w:r>
        <w:rPr>
          <w:rFonts w:ascii="Arial" w:hAnsi="Arial"/>
          <w:b/>
          <w:color w:val="2D6A4F"/>
          <w:sz w:val="28"/>
        </w:rPr>
        <w:t>4.1 Motor de Base de Datos y Seguridad (Supabase PostgreSQL)</w:t>
      </w:r>
    </w:p>
    <w:p>
      <w:r>
        <w:t xml:space="preserve">El backend de persistencia se apoya en Supabase PostgreSQL. La seguridad y el acceso a datos están gobernados por políticas estrictas de </w:t>
      </w:r>
      <w:r>
        <w:rPr>
          <w:b/>
        </w:rPr>
        <w:t>Row Level Security (RLS)</w:t>
      </w:r>
      <w:r>
        <w:t>, garantizando el aislamiento absoluto entre tenants (Productores y Proveedores B2B).</w:t>
      </w:r>
    </w:p>
    <w:p>
      <w:pPr>
        <w:keepNext/>
        <w:spacing w:before="280" w:after="120"/>
      </w:pPr>
      <w:r>
        <w:rPr>
          <w:rFonts w:ascii="Arial" w:hAnsi="Arial"/>
          <w:b/>
          <w:color w:val="2D6A4F"/>
          <w:sz w:val="28"/>
        </w:rPr>
        <w:t>4.2 Matriz de Políticas RLS (Row Level Security)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E3A8A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Rol de Usuario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Permisos sobre Datos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Mecanismo de Control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Productores (Producers)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Acceso exclusivo de lectura y escritura únicamente sobre sus parcelas registadas, telemetría asociada y alertas climáticas.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 xml:space="preserve"> auth.uid() == parcel.producer_id 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Proveedores B2B (Providers)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Acceso a su perfil corporativo, catálogo de ofertas e inserción de respuestas a Smart Leads recibidos.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 xml:space="preserve"> auth.uid() == provider.user_id 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Sistema (Service Role / IA)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Bypassea RLS mediante service_role_key para procesar cronjobs masivos de ingestión satelital y actualización de memoria de agentes.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 xml:space="preserve"> Supabase Service Key Bypass 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Arial" w:hAnsi="Arial"/>
          <w:b/>
          <w:color w:val="2D6A4F"/>
          <w:sz w:val="28"/>
        </w:rPr>
        <w:t>4.3 Entidades Principales del Dominio</w:t>
      </w:r>
    </w:p>
    <w:p>
      <w:pPr>
        <w:pStyle w:val="ListBullet"/>
        <w:spacing w:after="60"/>
      </w:pPr>
      <w:r>
        <w:rPr>
          <w:b/>
          <w:color w:val="2D6A4F"/>
        </w:rPr>
        <w:t>users:</w:t>
      </w:r>
      <w:r>
        <w:t xml:space="preserve"> uuid (PK), role ('Producer', 'Provider', 'Admin'), full_name, phone_number, created_at.</w:t>
      </w:r>
    </w:p>
    <w:p>
      <w:pPr>
        <w:pStyle w:val="ListBullet"/>
        <w:spacing w:after="60"/>
      </w:pPr>
      <w:r>
        <w:rPr>
          <w:b/>
          <w:color w:val="2D6A4F"/>
        </w:rPr>
        <w:t>parcels:</w:t>
      </w:r>
      <w:r>
        <w:t xml:space="preserve"> uuid (PK), producer_id (FK), active_crop, geometry (GeoJSON EPSG:4326), area_ha.</w:t>
      </w:r>
    </w:p>
    <w:p>
      <w:pPr>
        <w:pStyle w:val="ListBullet"/>
        <w:spacing w:after="60"/>
      </w:pPr>
      <w:r>
        <w:rPr>
          <w:b/>
          <w:color w:val="2D6A4F"/>
        </w:rPr>
        <w:t>sat_telemetry:</w:t>
      </w:r>
      <w:r>
        <w:t xml:space="preserve"> uuid (PK), parcel_id (FK), mission ('Sentinel-2', 'Sentinel-1'), ndvi_avg, ndmi_avg, vv_avg, cloud_cover, acquisition_date.</w:t>
      </w:r>
    </w:p>
    <w:p>
      <w:pPr>
        <w:pStyle w:val="ListBullet"/>
        <w:spacing w:after="60"/>
      </w:pPr>
      <w:r>
        <w:rPr>
          <w:b/>
          <w:color w:val="2D6A4F"/>
        </w:rPr>
        <w:t>alerts_events:</w:t>
      </w:r>
      <w:r>
        <w:t xml:space="preserve"> uuid (PK), parcel_id (FK), severity ('Baja', 'Media', 'Alta'), anomaly_type, resolved_status.</w:t>
      </w:r>
    </w:p>
    <w:p>
      <w:pPr>
        <w:pStyle w:val="ListBullet"/>
        <w:spacing w:after="60"/>
      </w:pPr>
      <w:r>
        <w:rPr>
          <w:b/>
          <w:color w:val="2D6A4F"/>
        </w:rPr>
        <w:t>b2b_smart_leads:</w:t>
      </w:r>
      <w:r>
        <w:t xml:space="preserve"> uuid (PK), provider_id (FK), parcel_id (FK), category_match, match_score, status ('Nuevo', 'Contactado', 'Cerrado').</w:t>
      </w:r>
    </w:p>
    <w:p>
      <w:pPr>
        <w:keepNext/>
        <w:spacing w:before="360" w:after="160"/>
        <w:pBdr>
          <w:bottom w:val="single" w:sz="12" w:space="4" w:color="1E3A8A"/>
        </w:pBdr>
      </w:pPr>
      <w:r>
        <w:rPr>
          <w:rFonts w:ascii="Arial" w:hAnsi="Arial"/>
          <w:b/>
          <w:color w:val="1E3A8A"/>
          <w:sz w:val="36"/>
        </w:rPr>
        <w:t>5. Orquestación de Inteligencia Artificial (LangGraph Multi-Agente)</w:t>
      </w:r>
    </w:p>
    <w:p>
      <w:r>
        <w:t xml:space="preserve">La inteligencia agronómica de AgroConecta está estructurada mediante un ecosistema multi-agente en </w:t>
      </w:r>
      <w:r>
        <w:rPr>
          <w:b/>
        </w:rPr>
        <w:t>LangGraph / FastAPI</w:t>
      </w:r>
      <w:r>
        <w:t>. Un agente supervisor recibe peticiones desde la Web o WhatsApp (vía webhooks de n8n) y realiza un ruteo semántico dinámico hacia especialistas de dominio.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 xml:space="preserve">Supervisor Agent (Router): </w:t>
            </w:r>
            <w:r>
              <w:rPr>
                <w:rFonts w:ascii="Calibri" w:hAnsi="Calibri"/>
                <w:color w:val="333333"/>
                <w:sz w:val="21"/>
              </w:rPr>
              <w:t>Analiza la intención del usuario, extrae metadatos y consulta herramientas (get_parcel_info, get_latest_copernicus_telemetry).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 xml:space="preserve">Fitopatólogo (pest_specialist): </w:t>
            </w:r>
            <w:r>
              <w:rPr>
                <w:rFonts w:ascii="Calibri" w:hAnsi="Calibri"/>
                <w:color w:val="333333"/>
                <w:sz w:val="21"/>
              </w:rPr>
              <w:t>Aplica Visión Computacional con Gemini Flash sobre fotografías de hojas/frutos para identificar plagas/enfermedades y prescribir Manejo Integrado de Plagas (MIP).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 xml:space="preserve">Especialista en Riego (irrigation_specialist): </w:t>
            </w:r>
            <w:r>
              <w:rPr>
                <w:rFonts w:ascii="Calibri" w:hAnsi="Calibri"/>
                <w:color w:val="333333"/>
                <w:sz w:val="21"/>
              </w:rPr>
              <w:t>Evalúa series temporales de NDMI. Si el índice cae a &lt; 0.40, genera alertas de estrés hídrico severo.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E3A8A"/>
                <w:sz w:val="22"/>
              </w:rPr>
              <w:t xml:space="preserve">Analista Económico (economic_analyst): </w:t>
            </w:r>
            <w:r>
              <w:rPr>
                <w:rFonts w:ascii="Calibri" w:hAnsi="Calibri"/>
                <w:color w:val="333333"/>
                <w:sz w:val="21"/>
              </w:rPr>
              <w:t>Conecta las necesidades del agricultor con la herramienta get_b2b_providers para canalizar oportunidades de compra de insumos.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1E3A8A"/>
          <w:sz w:val="24"/>
        </w:rPr>
        <w:t>Gestión de Memoria y Estado Conversacional</w:t>
      </w:r>
    </w:p>
    <w:p>
      <w:r>
        <w:t>La memoria conversacional persiste en Supabase dentro de la tabla agent_memory_state. El número de teléfono del usuario o el ID de usuario web actúa como thread_id, permitiendo retomar diálogos contextuales complejos sin pérdida de antecedente agronómico.</w:t>
      </w:r>
    </w:p>
    <w:p>
      <w:pPr>
        <w:keepNext/>
        <w:spacing w:before="360" w:after="160"/>
        <w:pBdr>
          <w:bottom w:val="single" w:sz="12" w:space="4" w:color="1E3A8A"/>
        </w:pBdr>
      </w:pPr>
      <w:r>
        <w:rPr>
          <w:rFonts w:ascii="Arial" w:hAnsi="Arial"/>
          <w:b/>
          <w:color w:val="1E3A8A"/>
          <w:sz w:val="36"/>
        </w:rPr>
        <w:t>6. Integraciones Satelitales Copernicus CDSE (ESA)</w:t>
      </w:r>
    </w:p>
    <w:p>
      <w:r>
        <w:t>A través de la API de Copernicus Data Space Ecosystem (CDSE), el sistema procesa datos biofísicos de múltiples misiones satelitales: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E3A8A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Misión Satelital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Indicadores Extraídos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Aplicación Agronómica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Sentinel-2 (Óptico 10m)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NDVI, NDRE, CCC, EVI, LAI, FCOVER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Salud foliar, clorofila, detección temprana de deficiencia de Nitrógeno y densidad de dosel.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Sentinel-2 &amp; Sentinel-1 SAR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NDMI, SSM (Surface Soil Moisture), BSI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Monitoreo de humedad foliar en copa y humedad superficial del suelo (incluso con nubes).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Sentinel-1 SAR (Radar Banda C)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VV / VH Backscatter, RVI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Monitoreo estructural continuo e invariable ante cobertura nubosa en zonas tropicales.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Sentinel-3 SLSTR &amp; ERA5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LST (Land Surface Temp), ETa, ESI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Evapotranspiración real (mm/día) y detección de heladas o estrés térmico.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Sentinel-5P &amp; CAMS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FAPAR, Aerosol Index / CO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Absorción de radiación para modelos de rendimiento de cosecha y detección de quemas agrícolas.</w:t>
            </w:r>
          </w:p>
        </w:tc>
      </w:tr>
    </w:tbl>
    <w:p>
      <w:pPr>
        <w:spacing w:after="240"/>
      </w:pPr>
    </w:p>
    <w:p>
      <w:pPr>
        <w:keepNext/>
        <w:spacing w:before="360" w:after="160"/>
        <w:pBdr>
          <w:bottom w:val="single" w:sz="12" w:space="4" w:color="1E3A8A"/>
        </w:pBdr>
      </w:pPr>
      <w:r>
        <w:rPr>
          <w:rFonts w:ascii="Arial" w:hAnsi="Arial"/>
          <w:b/>
          <w:color w:val="1E3A8A"/>
          <w:sz w:val="36"/>
        </w:rPr>
        <w:t>7. Cumplimiento Normativo y Trazabilidad EUDR</w:t>
      </w:r>
    </w:p>
    <w:p>
      <w:r>
        <w:t>Para cumplir con la regulación de la Unión Europea sobre Productos Libres de Deforestación (EUDR), AgroConecta integra la verificación satelital de no-deforestación posterior a la fecha de corte oficial (31 de diciembre de 2020).</w:t>
      </w:r>
    </w:p>
    <w:p>
      <w:pPr>
        <w:pStyle w:val="ListBullet"/>
        <w:spacing w:after="60"/>
      </w:pPr>
      <w:r>
        <w:rPr>
          <w:b/>
          <w:color w:val="2D6A4F"/>
        </w:rPr>
        <w:t>Geolocalización Polygon GeoJSON:</w:t>
      </w:r>
      <w:r>
        <w:t xml:space="preserve"> Captura de coordenadas exactas para parcelas &gt; 4 hectáreas con precisión WGS84 (EPSG:4326).</w:t>
      </w:r>
    </w:p>
    <w:p>
      <w:pPr>
        <w:pStyle w:val="ListBullet"/>
        <w:spacing w:after="60"/>
      </w:pPr>
      <w:r>
        <w:rPr>
          <w:b/>
          <w:color w:val="2D6A4F"/>
        </w:rPr>
        <w:t>Análisis Histórico Radar/Óptico:</w:t>
      </w:r>
      <w:r>
        <w:t xml:space="preserve"> Evaluación cruzada del Sentinel-2 y Hansen Global Forest Change para certificar la cobertura forestal preexistente.</w:t>
      </w:r>
    </w:p>
    <w:p>
      <w:pPr>
        <w:pStyle w:val="ListBullet"/>
        <w:spacing w:after="60"/>
      </w:pPr>
      <w:r>
        <w:rPr>
          <w:b/>
          <w:color w:val="2D6A4F"/>
        </w:rPr>
        <w:t>Integración TRACES NT:</w:t>
      </w:r>
      <w:r>
        <w:t xml:space="preserve"> Estructuración del archivo de datos para transmisión directa al sistema TRACES NT de la UE.</w:t>
      </w:r>
    </w:p>
    <w:p>
      <w:pPr>
        <w:pStyle w:val="ListBullet"/>
        <w:spacing w:after="60"/>
      </w:pPr>
      <w:r>
        <w:rPr>
          <w:b/>
          <w:color w:val="2D6A4F"/>
        </w:rPr>
        <w:t>Emisión de Certificados PDF:</w:t>
      </w:r>
      <w:r>
        <w:t xml:space="preserve"> Generación de reportes inviolables descargables desde el frontend con firmas digitales y códigos QR de verificación.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