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jc w:val="center"/>
      </w:pPr>
      <w:r>
        <w:rPr>
          <w:rFonts w:ascii="Arial" w:cs="Arial" w:eastAsia="Arial" w:hAnsi="Arial"/>
          <w:b/>
          <w:bCs/>
          <w:color w:val="1A7A4A"/>
          <w:sz w:val="72"/>
          <w:szCs w:val="72"/>
        </w:rPr>
        <w:t xml:space="preserve">ChargeWay</w:t>
      </w:r>
    </w:p>
    <w:p>
      <w:pPr>
        <w:spacing w:after="80" w:before="80"/>
        <w:jc w:val="center"/>
      </w:pPr>
      <w:r>
        <w:rPr>
          <w:rFonts w:ascii="Arial" w:cs="Arial" w:eastAsia="Arial" w:hAnsi="Arial"/>
          <w:b w:val="false"/>
          <w:bCs w:val="false"/>
          <w:color w:val="00838F"/>
          <w:sz w:val="36"/>
          <w:szCs w:val="36"/>
        </w:rPr>
        <w:t xml:space="preserve">Modelo de Negocio Sostenible</w:t>
      </w:r>
    </w:p>
    <w:p>
      <w:pPr>
        <w:spacing w:after="120" w:before="0"/>
      </w:pPr>
      <w:r>
        <w:t xml:space="preserve"/>
      </w:r>
    </w:p>
    <w:p>
      <w:pPr>
        <w:pBdr>
          <w:top w:val="single" w:color="1A7A4A" w:sz="4"/>
          <w:bottom w:val="single" w:color="1A7A4A" w:sz="4"/>
        </w:pBdr>
        <w:spacing w:after="80" w:before="80"/>
        <w:jc w:val="center"/>
      </w:pPr>
      <w:r>
        <w:rPr>
          <w:rFonts w:ascii="Arial" w:cs="Arial" w:eastAsia="Arial" w:hAnsi="Arial"/>
          <w:i/>
          <w:iCs/>
          <w:color w:val="455A64"/>
          <w:sz w:val="24"/>
          <w:szCs w:val="24"/>
        </w:rPr>
        <w:t xml:space="preserve">Drive with Electric Tranquility</w:t>
      </w:r>
    </w:p>
    <w:p>
      <w:pPr>
        <w:spacing w:after="4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1A7A4A" w:sz="1"/>
              <w:left w:val="single" w:color="1A7A4A" w:sz="1"/>
              <w:bottom w:val="single" w:color="1A7A4A" w:sz="1"/>
              <w:right w:val="single" w:color="1A7A4A" w:sz="1"/>
            </w:tcBorders>
            <w:shd w:fill="E8F5EE" w:val="clear"/>
            <w:tcMar>
              <w:top w:type="dxa" w:w="160"/>
              <w:left w:type="dxa" w:w="200"/>
              <w:bottom w:type="dxa" w:w="160"/>
              <w:right w:type="dxa" w:w="200"/>
            </w:tcMar>
            <w:vAlign w:val="center"/>
          </w:tcPr>
          <w:p>
            <w:pPr>
              <w:jc w:val="center"/>
            </w:pPr>
            <w:r>
              <w:rPr>
                <w:rFonts w:ascii="Arial" w:cs="Arial" w:eastAsia="Arial" w:hAnsi="Arial"/>
                <w:color w:val="455A64"/>
                <w:sz w:val="18"/>
                <w:szCs w:val="18"/>
              </w:rPr>
              <w:t xml:space="preserve">Plataforma</w:t>
            </w:r>
          </w:p>
          <w:p>
            <w:pPr>
              <w:jc w:val="center"/>
            </w:pPr>
            <w:r>
              <w:rPr>
                <w:rFonts w:ascii="Arial" w:cs="Arial" w:eastAsia="Arial" w:hAnsi="Arial"/>
                <w:b/>
                <w:bCs/>
                <w:color w:val="1A7A4A"/>
                <w:sz w:val="22"/>
                <w:szCs w:val="22"/>
              </w:rPr>
              <w:t xml:space="preserve">Next.js + Supabase</w:t>
            </w:r>
          </w:p>
        </w:tc>
        <w:tc>
          <w:tcPr>
            <w:tcW w:type="dxa" w:w="4680"/>
            <w:tcBorders>
              <w:top w:val="single" w:color="00838F" w:sz="1"/>
              <w:left w:val="single" w:color="00838F" w:sz="1"/>
              <w:bottom w:val="single" w:color="00838F" w:sz="1"/>
              <w:right w:val="single" w:color="00838F" w:sz="1"/>
            </w:tcBorders>
            <w:shd w:fill="E0F4F6" w:val="clear"/>
            <w:tcMar>
              <w:top w:type="dxa" w:w="160"/>
              <w:left w:type="dxa" w:w="200"/>
              <w:bottom w:type="dxa" w:w="160"/>
              <w:right w:type="dxa" w:w="200"/>
            </w:tcMar>
            <w:vAlign w:val="center"/>
          </w:tcPr>
          <w:p>
            <w:pPr>
              <w:jc w:val="center"/>
            </w:pPr>
            <w:r>
              <w:rPr>
                <w:rFonts w:ascii="Arial" w:cs="Arial" w:eastAsia="Arial" w:hAnsi="Arial"/>
                <w:color w:val="455A64"/>
                <w:sz w:val="18"/>
                <w:szCs w:val="18"/>
              </w:rPr>
              <w:t xml:space="preserve">Mercado</w:t>
            </w:r>
          </w:p>
          <w:p>
            <w:pPr>
              <w:jc w:val="center"/>
            </w:pPr>
            <w:r>
              <w:rPr>
                <w:rFonts w:ascii="Arial" w:cs="Arial" w:eastAsia="Arial" w:hAnsi="Arial"/>
                <w:b/>
                <w:bCs/>
                <w:color w:val="00838F"/>
                <w:sz w:val="22"/>
                <w:szCs w:val="22"/>
              </w:rPr>
              <w:t xml:space="preserve">Ecuador - Vehículos Eléctricos</w:t>
            </w:r>
          </w:p>
        </w:tc>
      </w:tr>
    </w:tbl>
    <w:p>
      <w:pPr>
        <w:spacing w:after="400" w:before="0"/>
      </w:pPr>
      <w:r>
        <w:t xml:space="preserve"/>
      </w:r>
    </w:p>
    <w:p>
      <w:pPr>
        <w:spacing w:after="40" w:before="80"/>
        <w:jc w:val="right"/>
      </w:pPr>
      <w:r>
        <w:rPr>
          <w:rFonts w:ascii="Arial" w:cs="Arial" w:eastAsia="Arial" w:hAnsi="Arial"/>
          <w:color w:val="455A64"/>
          <w:sz w:val="22"/>
          <w:szCs w:val="22"/>
        </w:rPr>
        <w:t xml:space="preserve">Junio 2026</w:t>
      </w:r>
    </w:p>
    <w:p>
      <w:pPr>
        <w:jc w:val="right"/>
      </w:pPr>
      <w:r>
        <w:rPr>
          <w:rFonts w:ascii="Arial" w:cs="Arial" w:eastAsia="Arial" w:hAnsi="Arial"/>
          <w:i/>
          <w:iCs/>
          <w:color w:val="B0BEC5"/>
          <w:sz w:val="20"/>
          <w:szCs w:val="20"/>
        </w:rPr>
        <w:t xml:space="preserve">Documento Confidencial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A7A4A"/>
          <w:sz w:val="34"/>
          <w:szCs w:val="34"/>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7A4A"/>
          <w:sz w:val="34"/>
          <w:szCs w:val="34"/>
        </w:rPr>
        <w:t xml:space="preserve">1. Contexto y Propósito</w:t>
      </w:r>
    </w:p>
    <w:p>
      <w:pPr>
        <w:pBdr>
          <w:bottom w:val="single" w:color="1A7A4A" w:sz="4" w:space="1"/>
        </w:pBdr>
        <w:spacing w:after="160" w:before="80"/>
      </w:pPr>
      <w:r>
        <w:t xml:space="preserve"/>
      </w:r>
    </w:p>
    <w:p>
      <w:pPr>
        <w:spacing w:after="100" w:before="60"/>
      </w:pPr>
      <w:r>
        <w:rPr>
          <w:rFonts w:ascii="Arial" w:cs="Arial" w:eastAsia="Arial" w:hAnsi="Arial"/>
          <w:color w:val="1C2833"/>
          <w:sz w:val="22"/>
          <w:szCs w:val="22"/>
        </w:rPr>
        <w:t xml:space="preserve">ChargeWay es una plataforma web de planificación de rutas para vehículos eléctricos (EVs) en Ecuador. Su propuesta diferencial es un motor de energía físico que combina orografía del terreno, clima, características del vehículo y la infraestructura de carga nacional para calcular si el conductor llegará a su destino con seguridad.</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
              <w:left w:val="single" w:color="1A7A4A" w:sz="12"/>
              <w:bottom w:val="single" w:color="1A7A4A" w:sz="1"/>
              <w:right w:val="single" w:color="1A7A4A" w:sz="1"/>
            </w:tcBorders>
            <w:shd w:fill="E8F5EE" w:val="clear"/>
            <w:tcMar>
              <w:top w:type="dxa" w:w="160"/>
              <w:left w:type="dxa" w:w="200"/>
              <w:bottom w:type="dxa" w:w="160"/>
              <w:right w:type="dxa" w:w="200"/>
            </w:tcMar>
          </w:tcPr>
          <w:p>
            <w:r>
              <w:rPr>
                <w:rFonts w:ascii="Arial" w:cs="Arial" w:eastAsia="Arial" w:hAnsi="Arial"/>
                <w:i/>
                <w:iCs/>
                <w:color w:val="1C2833"/>
                <w:sz w:val="21"/>
                <w:szCs w:val="21"/>
              </w:rPr>
              <w:t xml:space="preserve">Premisa del modelo: el acceso es completamente gratuito para los conductores. El valor que genera la plataforma — datos de movilidad eléctrica en un país de alta complejidad geográfica — es la base del negocio.</w:t>
            </w:r>
          </w:p>
        </w:tc>
      </w:tr>
    </w:tbl>
    <w:p>
      <w:pPr>
        <w:spacing w:after="160" w:before="0"/>
      </w:pPr>
      <w:r>
        <w:t xml:space="preserve"/>
      </w:r>
    </w:p>
    <w:p>
      <w:pPr>
        <w:pStyle w:val="Heading2"/>
        <w:spacing w:after="120" w:before="280"/>
      </w:pPr>
      <w:r>
        <w:rPr>
          <w:rFonts w:ascii="Arial" w:cs="Arial" w:eastAsia="Arial" w:hAnsi="Arial"/>
          <w:b/>
          <w:bCs/>
          <w:color w:val="1C2833"/>
          <w:sz w:val="26"/>
          <w:szCs w:val="26"/>
        </w:rPr>
        <w:t xml:space="preserve">1.1 Estado Actual de la Plataforma</w:t>
      </w:r>
    </w:p>
    <w:p>
      <w:pPr>
        <w:spacing w:after="100" w:before="60"/>
      </w:pPr>
      <w:r>
        <w:rPr>
          <w:rFonts w:ascii="Arial" w:cs="Arial" w:eastAsia="Arial" w:hAnsi="Arial"/>
          <w:color w:val="1C2833"/>
          <w:sz w:val="22"/>
          <w:szCs w:val="22"/>
        </w:rPr>
        <w:t xml:space="preserve">La plataforma está operativa con las siguientes capacidades: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Componente</w:t>
            </w:r>
          </w:p>
        </w:tc>
        <w:tc>
          <w:tcPr>
            <w:tcW w:type="dxa" w:w="18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Estado</w:t>
            </w:r>
          </w:p>
        </w:tc>
        <w:tc>
          <w:tcPr>
            <w:tcW w:type="dxa" w:w="476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Detalle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Motor de energía</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Física real: aerodinámica, gradiente, regeneración, altitud (Quito ~2,800 m)</w:t>
            </w:r>
          </w:p>
        </w:tc>
      </w:tr>
      <w:tr>
        <w:tc>
          <w:tcPr>
            <w:tcW w:type="dxa" w:w="2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Mapa de cargadores</w:t>
            </w:r>
          </w:p>
        </w:tc>
        <w:tc>
          <w:tcPr>
            <w:tcW w:type="dxa" w:w="1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200+ puntos de carga en Ecuador con filtros de velocidad y tipo</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Catálogo de vehículos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40+ modelos EV (BYD, Kia, Hyundai, Tesla, Audi, Porsche, etc.)</w:t>
            </w:r>
          </w:p>
        </w:tc>
      </w:tr>
      <w:tr>
        <w:tc>
          <w:tcPr>
            <w:tcW w:type="dxa" w:w="2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Navegación GPS</w:t>
            </w:r>
          </w:p>
        </w:tc>
        <w:tc>
          <w:tcPr>
            <w:tcW w:type="dxa" w:w="1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Seguimiento en tiempo real + simulación de viaje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Perfil de elevación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Altimetría OpenTopoData sincronizada con el trazado de ruta Mapbox</w:t>
            </w:r>
          </w:p>
        </w:tc>
      </w:tr>
      <w:tr>
        <w:tc>
          <w:tcPr>
            <w:tcW w:type="dxa" w:w="2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Índice de Tranquilidad</w:t>
            </w:r>
          </w:p>
        </w:tc>
        <w:tc>
          <w:tcPr>
            <w:tcW w:type="dxa" w:w="1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Semáforo: Seguro / Precaución / Crítico basado en SoC de llegada</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Asesor de ruta (IA)</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Consejos por segmento: velocidad, regeneración, estilo de conducción</w:t>
            </w:r>
          </w:p>
        </w:tc>
      </w:tr>
      <w:tr>
        <w:tc>
          <w:tcPr>
            <w:tcW w:type="dxa" w:w="2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Autenticación</w:t>
            </w:r>
          </w:p>
        </w:tc>
        <w:tc>
          <w:tcPr>
            <w:tcW w:type="dxa" w:w="1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Login con Google (Supabase Auth)</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Historial de viajes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Producción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Guardado automático post-ruta en base de datos</w:t>
            </w:r>
          </w:p>
        </w:tc>
      </w:tr>
    </w:tbl>
    <w:p>
      <w:pPr>
        <w:spacing w:after="160" w:before="0"/>
      </w:pPr>
      <w:r>
        <w:t xml:space="preserve"/>
      </w:r>
    </w:p>
    <w:p>
      <w:pPr>
        <w:pStyle w:val="Heading1"/>
        <w:pageBreakBefore/>
      </w:pPr>
      <w:r>
        <w:rPr>
          <w:rFonts w:ascii="Arial" w:cs="Arial" w:eastAsia="Arial" w:hAnsi="Arial"/>
          <w:b/>
          <w:bCs/>
          <w:color w:val="1A7A4A"/>
          <w:sz w:val="34"/>
          <w:szCs w:val="34"/>
        </w:rPr>
        <w:t xml:space="preserve">2. Inventario y Análisis de Datos</w:t>
      </w:r>
    </w:p>
    <w:p>
      <w:pPr>
        <w:pBdr>
          <w:bottom w:val="single" w:color="1A7A4A" w:sz="4" w:space="1"/>
        </w:pBdr>
        <w:spacing w:after="160" w:before="80"/>
      </w:pPr>
      <w:r>
        <w:t xml:space="preserve"/>
      </w:r>
    </w:p>
    <w:p>
      <w:pPr>
        <w:spacing w:after="100" w:before="60"/>
      </w:pPr>
      <w:r>
        <w:rPr>
          <w:rFonts w:ascii="Arial" w:cs="Arial" w:eastAsia="Arial" w:hAnsi="Arial"/>
          <w:color w:val="1C2833"/>
          <w:sz w:val="22"/>
          <w:szCs w:val="22"/>
        </w:rPr>
        <w:t xml:space="preserve">Este capítulo mapea todos los datos que ChargeWay ya almacena y el valor informacional que representan. Esta base es el activo estratégico central del modelo de negocio.</w:t>
      </w:r>
    </w:p>
    <w:p>
      <w:pPr>
        <w:pStyle w:val="Heading2"/>
        <w:spacing w:after="120" w:before="280"/>
      </w:pPr>
      <w:r>
        <w:rPr>
          <w:rFonts w:ascii="Arial" w:cs="Arial" w:eastAsia="Arial" w:hAnsi="Arial"/>
          <w:b/>
          <w:bCs/>
          <w:color w:val="1C2833"/>
          <w:sz w:val="26"/>
          <w:szCs w:val="26"/>
        </w:rPr>
        <w:t xml:space="preserve">2.1 Datos Actuales en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Entidad / Tabla</w:t>
            </w:r>
          </w:p>
        </w:tc>
        <w:tc>
          <w:tcPr>
            <w:tcW w:type="dxa" w:w="38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Campos almacenados</w:t>
            </w:r>
          </w:p>
        </w:tc>
        <w:tc>
          <w:tcPr>
            <w:tcW w:type="dxa" w:w="336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Valor estratégico</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profiles</w:t>
            </w:r>
          </w:p>
        </w:tc>
        <w:tc>
          <w:tcPr>
            <w:tcW w:type="dxa" w:w="3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id, email, nombre, avatar, last_vehicle_id, last_soc</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Segmentación de propietarios EV por modelo de vehículo</w:t>
            </w:r>
          </w:p>
        </w:tc>
      </w:tr>
      <w:tr>
        <w:tc>
          <w:tcPr>
            <w:tcW w:type="dxa" w:w="22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trips</w:t>
            </w:r>
          </w:p>
        </w:tc>
        <w:tc>
          <w:tcPr>
            <w:tcW w:type="dxa" w:w="3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origen, destino, vehicle_model, start_soc, arrival_soc, distance_km, duration_min, consumption_kwh, route_geometry, waypoints</w:t>
            </w:r>
          </w:p>
        </w:tc>
        <w:tc>
          <w:tcPr>
            <w:tcW w:type="dxa" w:w="33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Patrones de movilidad eléctrica en Ecuador; consumo real por ruta y vehículo</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charging_points / chargers</w:t>
            </w:r>
          </w:p>
        </w:tc>
        <w:tc>
          <w:tcPr>
            <w:tcW w:type="dxa" w:w="3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nombre, provincia, canton, tipo, potencia, horario, costo, coordenadas PostGIS</w:t>
            </w:r>
          </w:p>
        </w:tc>
        <w:tc>
          <w:tcPr>
            <w:tcW w:type="dxa" w:w="33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Cobertura de infraestructura; brechas geográficas; operadores activos</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38F" w:sz="1"/>
              <w:left w:val="single" w:color="00838F" w:sz="12"/>
              <w:bottom w:val="single" w:color="00838F" w:sz="1"/>
              <w:right w:val="single" w:color="00838F" w:sz="1"/>
            </w:tcBorders>
            <w:shd w:fill="E0F4F6" w:val="clear"/>
            <w:tcMar>
              <w:top w:type="dxa" w:w="160"/>
              <w:left w:type="dxa" w:w="200"/>
              <w:bottom w:type="dxa" w:w="160"/>
              <w:right w:type="dxa" w:w="200"/>
            </w:tcMar>
          </w:tcPr>
          <w:p>
            <w:r>
              <w:rPr>
                <w:rFonts w:ascii="Arial" w:cs="Arial" w:eastAsia="Arial" w:hAnsi="Arial"/>
                <w:i/>
                <w:iCs/>
                <w:color w:val="1C2833"/>
                <w:sz w:val="21"/>
                <w:szCs w:val="21"/>
              </w:rPr>
              <w:t xml:space="preserve">Dato clave: la tabla trips captura el consumo real en kWh por ruta, en un país con altimetría extrema (0–4,700 m). Este dato no existe en ninguna base de datos pública de los fabricantes para el mercado ecuatoriano.</w:t>
            </w:r>
          </w:p>
        </w:tc>
      </w:tr>
    </w:tbl>
    <w:p>
      <w:pPr>
        <w:pStyle w:val="Heading2"/>
        <w:spacing w:after="120" w:before="280"/>
      </w:pPr>
      <w:r>
        <w:rPr>
          <w:rFonts w:ascii="Arial" w:cs="Arial" w:eastAsia="Arial" w:hAnsi="Arial"/>
          <w:b/>
          <w:bCs/>
          <w:color w:val="1C2833"/>
          <w:sz w:val="26"/>
          <w:szCs w:val="26"/>
        </w:rPr>
        <w:t xml:space="preserve">2.2 Datos Adicionales a Capturar</w:t>
      </w:r>
    </w:p>
    <w:p>
      <w:pPr>
        <w:spacing w:after="100" w:before="60"/>
      </w:pPr>
      <w:r>
        <w:rPr>
          <w:rFonts w:ascii="Arial" w:cs="Arial" w:eastAsia="Arial" w:hAnsi="Arial"/>
          <w:color w:val="1C2833"/>
          <w:sz w:val="22"/>
          <w:szCs w:val="22"/>
        </w:rPr>
        <w:t xml:space="preserve">El modelo de negocio se fortalece sustancialmente añadiendo las siguientes capas de datos, todas recolectables sin fricción para el usuario:</w:t>
      </w:r>
    </w:p>
    <w:p>
      <w:pPr>
        <w:spacing w:after="80" w:before="0"/>
      </w:pPr>
      <w:r>
        <w:t xml:space="preserve"/>
      </w:r>
    </w:p>
    <w:p>
      <w:pPr>
        <w:pStyle w:val="Heading3"/>
        <w:spacing w:after="80" w:before="200"/>
      </w:pPr>
      <w:r>
        <w:rPr>
          <w:rFonts w:ascii="Arial" w:cs="Arial" w:eastAsia="Arial" w:hAnsi="Arial"/>
          <w:b/>
          <w:bCs/>
          <w:color w:val="455A64"/>
          <w:sz w:val="22"/>
          <w:szCs w:val="22"/>
        </w:rPr>
        <w:t xml:space="preserve">2.2.1 Datos de Sesión y Comportamiento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Campo propuesto</w:t>
            </w:r>
          </w:p>
        </w:tc>
        <w:tc>
          <w:tcPr>
            <w:tcW w:type="dxa" w:w="30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Cómo capturarlo</w:t>
            </w:r>
          </w:p>
        </w:tc>
        <w:tc>
          <w:tcPr>
            <w:tcW w:type="dxa" w:w="376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Valor generado</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trip_completed (boolean)</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El usuario confirma llegada o GPS detecta destino alcanzado</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Tasa de rutas exitosas; calibración del motor de energía</w:t>
            </w:r>
          </w:p>
        </w:tc>
      </w:tr>
      <w:tr>
        <w:tc>
          <w:tcPr>
            <w:tcW w:type="dxa" w:w="2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real_consumption_kwh</w:t>
            </w:r>
          </w:p>
        </w:tc>
        <w:tc>
          <w:tcPr>
            <w:tcW w:type="dxa" w:w="30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Input opcional post-viaje del usuario</w:t>
            </w:r>
          </w:p>
        </w:tc>
        <w:tc>
          <w:tcPr>
            <w:tcW w:type="dxa" w:w="3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Comparativa real vs. estimado; mejora del modelo físico</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trip_purpose (commute/leisure/work)</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Pregunta rápida post-viaje (1 tap)</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Segmentación de uso; patrones diarios vs. fines de semana</w:t>
            </w:r>
          </w:p>
        </w:tc>
      </w:tr>
      <w:tr>
        <w:tc>
          <w:tcPr>
            <w:tcW w:type="dxa" w:w="2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time_of_day / day_of_week</w:t>
            </w:r>
          </w:p>
        </w:tc>
        <w:tc>
          <w:tcPr>
            <w:tcW w:type="dxa" w:w="30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Automático con created_at</w:t>
            </w:r>
          </w:p>
        </w:tc>
        <w:tc>
          <w:tcPr>
            <w:tcW w:type="dxa" w:w="3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Demanda horaria; patrones de hora punta EV</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search_failed_routes</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Cuando no hay cargadores suficientes y el usuario abandona</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Demanda insatisfecha; señal de dónde se necesitan nuevos cargadores</w:t>
            </w:r>
          </w:p>
        </w:tc>
      </w:tr>
      <w:tr>
        <w:tc>
          <w:tcPr>
            <w:tcW w:type="dxa" w:w="2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route_preference (fastest/efficient)</w:t>
            </w:r>
          </w:p>
        </w:tc>
        <w:tc>
          <w:tcPr>
            <w:tcW w:type="dxa" w:w="30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Selección explícita del usuario en UI</w:t>
            </w:r>
          </w:p>
        </w:tc>
        <w:tc>
          <w:tcPr>
            <w:tcW w:type="dxa" w:w="3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Perfil de conductor; base para recomendaciones personalizadas</w:t>
            </w:r>
          </w:p>
        </w:tc>
      </w:tr>
    </w:tbl>
    <w:p>
      <w:pPr>
        <w:spacing w:after="120" w:before="0"/>
      </w:pPr>
      <w:r>
        <w:t xml:space="preserve"/>
      </w:r>
    </w:p>
    <w:p>
      <w:pPr>
        <w:pStyle w:val="Heading3"/>
        <w:spacing w:after="80" w:before="200"/>
      </w:pPr>
      <w:r>
        <w:rPr>
          <w:rFonts w:ascii="Arial" w:cs="Arial" w:eastAsia="Arial" w:hAnsi="Arial"/>
          <w:b/>
          <w:bCs/>
          <w:color w:val="455A64"/>
          <w:sz w:val="22"/>
          <w:szCs w:val="22"/>
        </w:rPr>
        <w:t xml:space="preserve">2.2.2 Datos de Infraestructura de Carga (Crowdsourcing)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Campo propuesto</w:t>
            </w:r>
          </w:p>
        </w:tc>
        <w:tc>
          <w:tcPr>
            <w:tcW w:type="dxa" w:w="30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Cómo capturarlo</w:t>
            </w:r>
          </w:p>
        </w:tc>
        <w:tc>
          <w:tcPr>
            <w:tcW w:type="dxa" w:w="376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Valor generado</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charger_status_report (working/broken/occupied)</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Botón "Reportar estado" en el panel del cargador</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Disponibilidad en tiempo real; reputación del operador</w:t>
            </w:r>
          </w:p>
        </w:tc>
      </w:tr>
      <w:tr>
        <w:tc>
          <w:tcPr>
            <w:tcW w:type="dxa" w:w="2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charger_visit (check-in)</w:t>
            </w:r>
          </w:p>
        </w:tc>
        <w:tc>
          <w:tcPr>
            <w:tcW w:type="dxa" w:w="30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Botón "Llegué" al navegar hacia un cargador</w:t>
            </w:r>
          </w:p>
        </w:tc>
        <w:tc>
          <w:tcPr>
            <w:tcW w:type="dxa" w:w="3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Tráfico real por estación; estimación de cola/espera</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charger_rating (1-5)</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Calificación post-visita</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Score de calidad por estación; dato valioso para operadores</w:t>
            </w:r>
          </w:p>
        </w:tc>
      </w:tr>
      <w:tr>
        <w:tc>
          <w:tcPr>
            <w:tcW w:type="dxa" w:w="2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kwh_charged + charge_duration</w:t>
            </w:r>
          </w:p>
        </w:tc>
        <w:tc>
          <w:tcPr>
            <w:tcW w:type="dxa" w:w="30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Input opcional del usuario tras cargar</w:t>
            </w:r>
          </w:p>
        </w:tc>
        <w:tc>
          <w:tcPr>
            <w:tcW w:type="dxa" w:w="3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Eficiencia de la estación; predicción de tiempo de espera</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connector_worked (boolean)</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Pregunta rápida al salir del cargador</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Tasa de éxito por tipo de conector; base para recomendaciones</w:t>
            </w:r>
          </w:p>
        </w:tc>
      </w:tr>
    </w:tbl>
    <w:p>
      <w:pPr>
        <w:spacing w:after="120" w:before="0"/>
      </w:pPr>
      <w:r>
        <w:t xml:space="preserve"/>
      </w:r>
    </w:p>
    <w:p>
      <w:pPr>
        <w:pStyle w:val="Heading3"/>
        <w:spacing w:after="80" w:before="200"/>
      </w:pPr>
      <w:r>
        <w:rPr>
          <w:rFonts w:ascii="Arial" w:cs="Arial" w:eastAsia="Arial" w:hAnsi="Arial"/>
          <w:b/>
          <w:bCs/>
          <w:color w:val="455A64"/>
          <w:sz w:val="22"/>
          <w:szCs w:val="22"/>
        </w:rPr>
        <w:t xml:space="preserve">2.2.3 Datos del Vehículo y Batería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Campo propuesto</w:t>
            </w:r>
          </w:p>
        </w:tc>
        <w:tc>
          <w:tcPr>
            <w:tcW w:type="dxa" w:w="30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Cómo capturarlo</w:t>
            </w:r>
          </w:p>
        </w:tc>
        <w:tc>
          <w:tcPr>
            <w:tcW w:type="dxa" w:w="376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Valor generado</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vehicle_odometer_km</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Input manual opcional en perfil</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Degradación de batería por kilometraje; alertas de mantenimiento</w:t>
            </w:r>
          </w:p>
        </w:tc>
      </w:tr>
      <w:tr>
        <w:tc>
          <w:tcPr>
            <w:tcW w:type="dxa" w:w="2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vehicle_year</w:t>
            </w:r>
          </w:p>
        </w:tc>
        <w:tc>
          <w:tcPr>
            <w:tcW w:type="dxa" w:w="30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Campo en perfil</w:t>
            </w:r>
          </w:p>
        </w:tc>
        <w:tc>
          <w:tcPr>
            <w:tcW w:type="dxa" w:w="3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Correlación antigüedad-consumo real; tendencias de flota EV Ecuador</w:t>
            </w:r>
          </w:p>
        </w:tc>
      </w:tr>
      <w:tr>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battery_health_pct</w:t>
            </w:r>
          </w:p>
        </w:tc>
        <w:tc>
          <w:tcPr>
            <w:tcW w:type="dxa" w:w="3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Input ocasional del usuario (BMS del auto)</w:t>
            </w:r>
          </w:p>
        </w:tc>
        <w:tc>
          <w:tcPr>
            <w:tcW w:type="dxa" w:w="37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Calibración del modelo de rango real; alertas de degradación</w:t>
            </w:r>
          </w:p>
        </w:tc>
      </w:tr>
      <w:tr>
        <w:tc>
          <w:tcPr>
            <w:tcW w:type="dxa" w:w="2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charging_type_preferred</w:t>
            </w:r>
          </w:p>
        </w:tc>
        <w:tc>
          <w:tcPr>
            <w:tcW w:type="dxa" w:w="30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Inferido de uso (rápido vs. normal)</w:t>
            </w:r>
          </w:p>
        </w:tc>
        <w:tc>
          <w:tcPr>
            <w:tcW w:type="dxa" w:w="37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Segmentación de usuarios para operadores de carga</w:t>
            </w:r>
          </w:p>
        </w:tc>
      </w:tr>
    </w:tbl>
    <w:p>
      <w:pPr>
        <w:pStyle w:val="Heading1"/>
        <w:pageBreakBefore/>
      </w:pPr>
      <w:r>
        <w:rPr>
          <w:rFonts w:ascii="Arial" w:cs="Arial" w:eastAsia="Arial" w:hAnsi="Arial"/>
          <w:b/>
          <w:bCs/>
          <w:color w:val="1A7A4A"/>
          <w:sz w:val="34"/>
          <w:szCs w:val="34"/>
        </w:rPr>
        <w:t xml:space="preserve">3. Modelo de Negocio</w:t>
      </w:r>
    </w:p>
    <w:p>
      <w:pPr>
        <w:pBdr>
          <w:bottom w:val="single" w:color="1A7A4A" w:sz="4" w:space="1"/>
        </w:pBdr>
        <w:spacing w:after="160" w:before="80"/>
      </w:pPr>
      <w:r>
        <w:t xml:space="preserve"/>
      </w:r>
    </w:p>
    <w:p>
      <w:pPr>
        <w:spacing w:after="100" w:before="60"/>
      </w:pPr>
      <w:r>
        <w:rPr>
          <w:rFonts w:ascii="Arial" w:cs="Arial" w:eastAsia="Arial" w:hAnsi="Arial"/>
          <w:color w:val="1C2833"/>
          <w:sz w:val="22"/>
          <w:szCs w:val="22"/>
        </w:rPr>
        <w:t xml:space="preserve">ChargeWay opera bajo un modelo freemium B2C + datos B2B. Los conductores acceden gratis; los ingresos provienen de empresas que necesitan los datos y la audiencia que ChargeWay acumula.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C2833" w:sz="1"/>
              <w:left w:val="single" w:color="1C2833" w:sz="1"/>
              <w:bottom w:val="single" w:color="1C2833" w:sz="1"/>
              <w:right w:val="single" w:color="1C2833" w:sz="1"/>
            </w:tcBorders>
            <w:shd w:fill="1C2833" w:val="clear"/>
            <w:tcMar>
              <w:top w:type="dxa" w:w="100"/>
              <w:left w:type="dxa" w:w="160"/>
              <w:bottom w:type="dxa" w:w="100"/>
              <w:right w:type="dxa" w:w="160"/>
            </w:tcMar>
          </w:tcPr>
          <w:p>
            <w:r>
              <w:rPr>
                <w:rFonts w:ascii="Arial" w:cs="Arial" w:eastAsia="Arial" w:hAnsi="Arial"/>
                <w:b/>
                <w:bCs/>
                <w:color w:val="FFFFFF"/>
                <w:sz w:val="20"/>
                <w:szCs w:val="20"/>
              </w:rPr>
              <w:t xml:space="preserve">Pilar</w:t>
            </w:r>
          </w:p>
        </w:tc>
        <w:tc>
          <w:tcPr>
            <w:tcW w:type="dxa" w:w="3780"/>
            <w:tcBorders>
              <w:top w:val="single" w:color="1C2833" w:sz="1"/>
              <w:left w:val="single" w:color="1C2833" w:sz="1"/>
              <w:bottom w:val="single" w:color="1C2833" w:sz="1"/>
              <w:right w:val="single" w:color="1C2833" w:sz="1"/>
            </w:tcBorders>
            <w:shd w:fill="1C2833" w:val="clear"/>
            <w:tcMar>
              <w:top w:type="dxa" w:w="100"/>
              <w:left w:type="dxa" w:w="160"/>
              <w:bottom w:type="dxa" w:w="100"/>
              <w:right w:type="dxa" w:w="160"/>
            </w:tcMar>
          </w:tcPr>
          <w:p>
            <w:r>
              <w:rPr>
                <w:rFonts w:ascii="Arial" w:cs="Arial" w:eastAsia="Arial" w:hAnsi="Arial"/>
                <w:b/>
                <w:bCs/>
                <w:color w:val="FFFFFF"/>
                <w:sz w:val="20"/>
                <w:szCs w:val="20"/>
              </w:rPr>
              <w:t xml:space="preserve">Segmento objetivo</w:t>
            </w:r>
          </w:p>
        </w:tc>
        <w:tc>
          <w:tcPr>
            <w:tcW w:type="dxa" w:w="3780"/>
            <w:tcBorders>
              <w:top w:val="single" w:color="1C2833" w:sz="1"/>
              <w:left w:val="single" w:color="1C2833" w:sz="1"/>
              <w:bottom w:val="single" w:color="1C2833" w:sz="1"/>
              <w:right w:val="single" w:color="1C2833" w:sz="1"/>
            </w:tcBorders>
            <w:shd w:fill="1C2833" w:val="clear"/>
            <w:tcMar>
              <w:top w:type="dxa" w:w="100"/>
              <w:left w:type="dxa" w:w="160"/>
              <w:bottom w:type="dxa" w:w="100"/>
              <w:right w:type="dxa" w:w="160"/>
            </w:tcMar>
          </w:tcPr>
          <w:p>
            <w:r>
              <w:rPr>
                <w:rFonts w:ascii="Arial" w:cs="Arial" w:eastAsia="Arial" w:hAnsi="Arial"/>
                <w:b/>
                <w:bCs/>
                <w:color w:val="FFFFFF"/>
                <w:sz w:val="20"/>
                <w:szCs w:val="20"/>
              </w:rPr>
              <w:t xml:space="preserve">Mecanismo de ingresos</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Pilar 1</w:t>
            </w:r>
          </w:p>
        </w:tc>
        <w:tc>
          <w:tcPr>
            <w:tcW w:type="dxa" w:w="37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Usuarios conductores (B2C)</w:t>
            </w:r>
          </w:p>
        </w:tc>
        <w:tc>
          <w:tcPr>
            <w:tcW w:type="dxa" w:w="37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Acceso gratuito — construye masa crítica de datos</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bCs/>
                <w:color w:val="1C2833"/>
                <w:sz w:val="20"/>
                <w:szCs w:val="20"/>
              </w:rPr>
              <w:t xml:space="preserve">Pilar 2</w:t>
            </w:r>
          </w:p>
        </w:tc>
        <w:tc>
          <w:tcPr>
            <w:tcW w:type="dxa" w:w="378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val="false"/>
                <w:bCs w:val="false"/>
                <w:color w:val="1C2833"/>
                <w:sz w:val="20"/>
                <w:szCs w:val="20"/>
              </w:rPr>
              <w:t xml:space="preserve">Fabricantes y distribuidores EV (B2B)</w:t>
            </w:r>
          </w:p>
        </w:tc>
        <w:tc>
          <w:tcPr>
            <w:tcW w:type="dxa" w:w="378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val="false"/>
                <w:bCs w:val="false"/>
                <w:color w:val="1C2833"/>
                <w:sz w:val="20"/>
                <w:szCs w:val="20"/>
              </w:rPr>
              <w:t xml:space="preserve">Suscripción a datos de rendimiento real por modelo</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Pilar 3</w:t>
            </w:r>
          </w:p>
        </w:tc>
        <w:tc>
          <w:tcPr>
            <w:tcW w:type="dxa" w:w="37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Operadores de carga (B2B)</w:t>
            </w:r>
          </w:p>
        </w:tc>
        <w:tc>
          <w:tcPr>
            <w:tcW w:type="dxa" w:w="37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SaaS de gestión + posicionamiento patrocinado en mapa</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bCs/>
                <w:color w:val="1C2833"/>
                <w:sz w:val="20"/>
                <w:szCs w:val="20"/>
              </w:rPr>
              <w:t xml:space="preserve">Pilar 4</w:t>
            </w:r>
          </w:p>
        </w:tc>
        <w:tc>
          <w:tcPr>
            <w:tcW w:type="dxa" w:w="378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val="false"/>
                <w:bCs w:val="false"/>
                <w:color w:val="1C2833"/>
                <w:sz w:val="20"/>
                <w:szCs w:val="20"/>
              </w:rPr>
              <w:t xml:space="preserve">Flotas corporativas (B2B)</w:t>
            </w:r>
          </w:p>
        </w:tc>
        <w:tc>
          <w:tcPr>
            <w:tcW w:type="dxa" w:w="378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val="false"/>
                <w:bCs w:val="false"/>
                <w:color w:val="1C2833"/>
                <w:sz w:val="20"/>
                <w:szCs w:val="20"/>
              </w:rPr>
              <w:t xml:space="preserve">Licencia de plataforma para gestión multi-vehículo</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Pilar 5</w:t>
            </w:r>
          </w:p>
        </w:tc>
        <w:tc>
          <w:tcPr>
            <w:tcW w:type="dxa" w:w="37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Sector público e investigación (B2G)</w:t>
            </w:r>
          </w:p>
        </w:tc>
        <w:tc>
          <w:tcPr>
            <w:tcW w:type="dxa" w:w="37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Reportes de adopción EV y planificación de infraestructura</w:t>
            </w:r>
          </w:p>
        </w:tc>
      </w:tr>
      <w:tr>
        <w:tc>
          <w:tcPr>
            <w:tcW w:type="dxa" w:w="18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bCs/>
                <w:color w:val="1C2833"/>
                <w:sz w:val="20"/>
                <w:szCs w:val="20"/>
              </w:rPr>
              <w:t xml:space="preserve">Pilar 6</w:t>
            </w:r>
          </w:p>
        </w:tc>
        <w:tc>
          <w:tcPr>
            <w:tcW w:type="dxa" w:w="378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val="false"/>
                <w:bCs w:val="false"/>
                <w:color w:val="1C2833"/>
                <w:sz w:val="20"/>
                <w:szCs w:val="20"/>
              </w:rPr>
              <w:t xml:space="preserve">Partners contextuales (B2B)</w:t>
            </w:r>
          </w:p>
        </w:tc>
        <w:tc>
          <w:tcPr>
            <w:tcW w:type="dxa" w:w="378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b w:val="false"/>
                <w:bCs w:val="false"/>
                <w:color w:val="1C2833"/>
                <w:sz w:val="20"/>
                <w:szCs w:val="20"/>
              </w:rPr>
              <w:t xml:space="preserve">Revenue-share en derivaciones hacia hoteles, talleres, seguros</w:t>
            </w:r>
          </w:p>
        </w:tc>
      </w:tr>
    </w:tbl>
    <w:p>
      <w:pPr>
        <w:spacing w:after="240" w:before="0"/>
      </w:pPr>
      <w:r>
        <w:t xml:space="preserve"/>
      </w:r>
    </w:p>
    <w:p>
      <w:pPr>
        <w:pStyle w:val="Heading2"/>
        <w:spacing w:after="120" w:before="280"/>
      </w:pPr>
      <w:r>
        <w:rPr>
          <w:rFonts w:ascii="Arial" w:cs="Arial" w:eastAsia="Arial" w:hAnsi="Arial"/>
          <w:b/>
          <w:bCs/>
          <w:color w:val="1C2833"/>
          <w:sz w:val="26"/>
          <w:szCs w:val="26"/>
        </w:rPr>
        <w:t xml:space="preserve">3.1 Pilar 1 — Acceso Gratuito para Conductores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
              <w:left w:val="single" w:color="1A7A4A" w:sz="12"/>
              <w:bottom w:val="single" w:color="1A7A4A" w:sz="1"/>
              <w:right w:val="single" w:color="1A7A4A" w:sz="1"/>
            </w:tcBorders>
            <w:shd w:fill="E8F5EE" w:val="clear"/>
            <w:tcMar>
              <w:top w:type="dxa" w:w="160"/>
              <w:left w:type="dxa" w:w="200"/>
              <w:bottom w:type="dxa" w:w="160"/>
              <w:right w:type="dxa" w:w="200"/>
            </w:tcMar>
          </w:tcPr>
          <w:p>
            <w:r>
              <w:rPr>
                <w:rFonts w:ascii="Arial" w:cs="Arial" w:eastAsia="Arial" w:hAnsi="Arial"/>
                <w:i/>
                <w:iCs/>
                <w:color w:val="1C2833"/>
                <w:sz w:val="21"/>
                <w:szCs w:val="21"/>
              </w:rPr>
              <w:t xml:space="preserve">El conductor no paga nada. Acceso completo a planificación de rutas, mapa de cargadores, GPS en tiempo real e Índice de Tranquilidad. Esta decisión es estratégica: a mayor base de usuarios, mayor riqueza de datos y mayor poder de negociación con los clientes B2B.</w:t>
            </w:r>
          </w:p>
        </w:tc>
      </w:tr>
    </w:tbl>
    <w:p>
      <w:pPr>
        <w:spacing w:after="80" w:before="0"/>
      </w:pPr>
      <w:r>
        <w:t xml:space="preserve"/>
      </w:r>
    </w:p>
    <w:p>
      <w:pPr>
        <w:spacing w:after="100" w:before="60"/>
      </w:pPr>
      <w:r>
        <w:rPr>
          <w:rFonts w:ascii="Arial" w:cs="Arial" w:eastAsia="Arial" w:hAnsi="Arial"/>
          <w:color w:val="1C2833"/>
          <w:sz w:val="22"/>
          <w:szCs w:val="22"/>
        </w:rPr>
        <w:t xml:space="preserve">La cuenta gratuita incluye:</w:t>
      </w:r>
    </w:p>
    <w:p>
      <w:pPr>
        <w:pStyle w:val="ListParagraph"/>
        <w:numPr>
          <w:ilvl w:val="0"/>
          <w:numId w:val="2"/>
        </w:numPr>
        <w:spacing w:after="60" w:before="40"/>
      </w:pPr>
      <w:r>
        <w:rPr>
          <w:rFonts w:ascii="Arial" w:cs="Arial" w:eastAsia="Arial" w:hAnsi="Arial"/>
          <w:color w:val="1C2833"/>
          <w:sz w:val="22"/>
          <w:szCs w:val="22"/>
        </w:rPr>
        <w:t xml:space="preserve">Planificación ilimitada de rutas con motor de energía físico</w:t>
      </w:r>
    </w:p>
    <w:p>
      <w:pPr>
        <w:pStyle w:val="ListParagraph"/>
        <w:numPr>
          <w:ilvl w:val="0"/>
          <w:numId w:val="2"/>
        </w:numPr>
        <w:spacing w:after="60" w:before="40"/>
      </w:pPr>
      <w:r>
        <w:rPr>
          <w:rFonts w:ascii="Arial" w:cs="Arial" w:eastAsia="Arial" w:hAnsi="Arial"/>
          <w:color w:val="1C2833"/>
          <w:sz w:val="22"/>
          <w:szCs w:val="22"/>
        </w:rPr>
        <w:t xml:space="preserve">Mapa de 200+ puntos de carga con información en tiempo real</w:t>
      </w:r>
    </w:p>
    <w:p>
      <w:pPr>
        <w:pStyle w:val="ListParagraph"/>
        <w:numPr>
          <w:ilvl w:val="0"/>
          <w:numId w:val="2"/>
        </w:numPr>
        <w:spacing w:after="60" w:before="40"/>
      </w:pPr>
      <w:r>
        <w:rPr>
          <w:rFonts w:ascii="Arial" w:cs="Arial" w:eastAsia="Arial" w:hAnsi="Arial"/>
          <w:color w:val="1C2833"/>
          <w:sz w:val="22"/>
          <w:szCs w:val="22"/>
        </w:rPr>
        <w:t xml:space="preserve">Navegación GPS y simulación de viaje</w:t>
      </w:r>
    </w:p>
    <w:p>
      <w:pPr>
        <w:pStyle w:val="ListParagraph"/>
        <w:numPr>
          <w:ilvl w:val="0"/>
          <w:numId w:val="2"/>
        </w:numPr>
        <w:spacing w:after="60" w:before="40"/>
      </w:pPr>
      <w:r>
        <w:rPr>
          <w:rFonts w:ascii="Arial" w:cs="Arial" w:eastAsia="Arial" w:hAnsi="Arial"/>
          <w:color w:val="1C2833"/>
          <w:sz w:val="22"/>
          <w:szCs w:val="22"/>
        </w:rPr>
        <w:t xml:space="preserve">Perfil de elevación y consejos de conducción por segmento</w:t>
      </w:r>
    </w:p>
    <w:p>
      <w:pPr>
        <w:pStyle w:val="ListParagraph"/>
        <w:numPr>
          <w:ilvl w:val="0"/>
          <w:numId w:val="2"/>
        </w:numPr>
        <w:spacing w:after="60" w:before="40"/>
      </w:pPr>
      <w:r>
        <w:rPr>
          <w:rFonts w:ascii="Arial" w:cs="Arial" w:eastAsia="Arial" w:hAnsi="Arial"/>
          <w:color w:val="1C2833"/>
          <w:sz w:val="22"/>
          <w:szCs w:val="22"/>
        </w:rPr>
        <w:t xml:space="preserve">Guardado automático del historial de viajes</w:t>
      </w:r>
    </w:p>
    <w:p>
      <w:pPr>
        <w:pStyle w:val="ListParagraph"/>
        <w:numPr>
          <w:ilvl w:val="0"/>
          <w:numId w:val="2"/>
        </w:numPr>
        <w:spacing w:after="60" w:before="40"/>
      </w:pPr>
      <w:r>
        <w:rPr>
          <w:rFonts w:ascii="Arial" w:cs="Arial" w:eastAsia="Arial" w:hAnsi="Arial"/>
          <w:color w:val="1C2833"/>
          <w:sz w:val="22"/>
          <w:szCs w:val="22"/>
        </w:rPr>
        <w:t xml:space="preserve">Selección entre 40+ modelos EV con specs técnicas</w:t>
      </w:r>
    </w:p>
    <w:p>
      <w:pPr>
        <w:spacing w:after="160" w:before="0"/>
      </w:pPr>
      <w:r>
        <w:t xml:space="preserve"/>
      </w:r>
    </w:p>
    <w:p>
      <w:pPr>
        <w:pStyle w:val="Heading2"/>
        <w:spacing w:after="120" w:before="280"/>
      </w:pPr>
      <w:r>
        <w:rPr>
          <w:rFonts w:ascii="Arial" w:cs="Arial" w:eastAsia="Arial" w:hAnsi="Arial"/>
          <w:b/>
          <w:bCs/>
          <w:color w:val="1C2833"/>
          <w:sz w:val="26"/>
          <w:szCs w:val="26"/>
        </w:rPr>
        <w:t xml:space="preserve">3.2 Pilar 2 — Inteligencia de Datos para Fabricantes EV (B2B)</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565C0" w:sz="1"/>
              <w:left w:val="single" w:color="1565C0" w:sz="1"/>
              <w:bottom w:val="single" w:color="1565C0" w:sz="1"/>
              <w:right w:val="single" w:color="1565C0" w:sz="1"/>
            </w:tcBorders>
            <w:shd w:fill="1565C0" w:val="clear"/>
            <w:tcMar>
              <w:top w:type="dxa" w:w="140"/>
              <w:left w:type="dxa" w:w="200"/>
              <w:bottom w:type="dxa" w:w="140"/>
              <w:right w:type="dxa" w:w="200"/>
            </w:tcMar>
          </w:tcPr>
          <w:p>
            <w:r>
              <w:rPr>
                <w:rFonts w:ascii="Arial" w:cs="Arial" w:eastAsia="Arial" w:hAnsi="Arial"/>
                <w:b/>
                <w:bCs/>
                <w:color w:val="FFFFFF"/>
                <w:sz w:val="24"/>
                <w:szCs w:val="24"/>
              </w:rPr>
              <w:t xml:space="preserve">🚗  Fabricantes y Distribuidores de EVs</w:t>
            </w:r>
          </w:p>
        </w:tc>
      </w:tr>
      <w:tr>
        <w:tc>
          <w:tcPr>
            <w:tcW w:type="dxa" w:w="9360"/>
            <w:tcBorders>
              <w:top w:val="none" w:color="FFFFFF" w:sz="0"/>
              <w:left w:val="single" w:color="1565C0" w:sz="1"/>
              <w:bottom w:val="single" w:color="1565C0" w:sz="1"/>
              <w:right w:val="single" w:color="1565C0" w:sz="1"/>
            </w:tcBorders>
            <w:shd w:fill="E3F0FF" w:val="clear"/>
            <w:tcMar>
              <w:top w:type="dxa" w:w="80"/>
              <w:left w:type="dxa" w:w="200"/>
              <w:bottom w:type="dxa" w:w="80"/>
              <w:right w:type="dxa" w:w="200"/>
            </w:tcMar>
          </w:tcPr>
          <w:p>
            <w:r>
              <w:rPr>
                <w:rFonts w:ascii="Arial" w:cs="Arial" w:eastAsia="Arial" w:hAnsi="Arial"/>
                <w:color w:val="1C2833"/>
                <w:sz w:val="21"/>
                <w:szCs w:val="21"/>
              </w:rPr>
              <w:t xml:space="preserve">  •  Consumo real kWh/100km por modelo en condiciones de Ecuador (altitud, temperatura, tráfico andino)</w:t>
            </w:r>
          </w:p>
        </w:tc>
      </w:tr>
      <w:tr>
        <w:tc>
          <w:tcPr>
            <w:tcW w:type="dxa" w:w="9360"/>
            <w:tcBorders>
              <w:top w:val="none" w:color="FFFFFF" w:sz="0"/>
              <w:left w:val="single" w:color="1565C0" w:sz="1"/>
              <w:bottom w:val="single" w:color="1565C0" w:sz="1"/>
              <w:right w:val="single" w:color="1565C0" w:sz="1"/>
            </w:tcBorders>
            <w:shd w:fill="E3F0FF" w:val="clear"/>
            <w:tcMar>
              <w:top w:type="dxa" w:w="80"/>
              <w:left w:type="dxa" w:w="200"/>
              <w:bottom w:type="dxa" w:w="80"/>
              <w:right w:type="dxa" w:w="200"/>
            </w:tcMar>
          </w:tcPr>
          <w:p>
            <w:r>
              <w:rPr>
                <w:rFonts w:ascii="Arial" w:cs="Arial" w:eastAsia="Arial" w:hAnsi="Arial"/>
                <w:color w:val="1C2833"/>
                <w:sz w:val="21"/>
                <w:szCs w:val="21"/>
              </w:rPr>
              <w:t xml:space="preserve">  •  Comparativa rendimiento real vs. WLTP declarado por rango altitudinal</w:t>
            </w:r>
          </w:p>
        </w:tc>
      </w:tr>
      <w:tr>
        <w:tc>
          <w:tcPr>
            <w:tcW w:type="dxa" w:w="9360"/>
            <w:tcBorders>
              <w:top w:val="none" w:color="FFFFFF" w:sz="0"/>
              <w:left w:val="single" w:color="1565C0" w:sz="1"/>
              <w:bottom w:val="single" w:color="1565C0" w:sz="1"/>
              <w:right w:val="single" w:color="1565C0" w:sz="1"/>
            </w:tcBorders>
            <w:shd w:fill="E3F0FF" w:val="clear"/>
            <w:tcMar>
              <w:top w:type="dxa" w:w="80"/>
              <w:left w:type="dxa" w:w="200"/>
              <w:bottom w:type="dxa" w:w="80"/>
              <w:right w:type="dxa" w:w="200"/>
            </w:tcMar>
          </w:tcPr>
          <w:p>
            <w:r>
              <w:rPr>
                <w:rFonts w:ascii="Arial" w:cs="Arial" w:eastAsia="Arial" w:hAnsi="Arial"/>
                <w:color w:val="1C2833"/>
                <w:sz w:val="21"/>
                <w:szCs w:val="21"/>
              </w:rPr>
              <w:t xml:space="preserve">  •  Degradación implícita de batería correlacionada con odómetro y antigüedad</w:t>
            </w:r>
          </w:p>
        </w:tc>
      </w:tr>
      <w:tr>
        <w:tc>
          <w:tcPr>
            <w:tcW w:type="dxa" w:w="9360"/>
            <w:tcBorders>
              <w:top w:val="none" w:color="FFFFFF" w:sz="0"/>
              <w:left w:val="single" w:color="1565C0" w:sz="1"/>
              <w:bottom w:val="single" w:color="1565C0" w:sz="1"/>
              <w:right w:val="single" w:color="1565C0" w:sz="1"/>
            </w:tcBorders>
            <w:shd w:fill="E3F0FF" w:val="clear"/>
            <w:tcMar>
              <w:top w:type="dxa" w:w="80"/>
              <w:left w:type="dxa" w:w="200"/>
              <w:bottom w:type="dxa" w:w="80"/>
              <w:right w:type="dxa" w:w="200"/>
            </w:tcMar>
          </w:tcPr>
          <w:p>
            <w:r>
              <w:rPr>
                <w:rFonts w:ascii="Arial" w:cs="Arial" w:eastAsia="Arial" w:hAnsi="Arial"/>
                <w:color w:val="1C2833"/>
                <w:sz w:val="21"/>
                <w:szCs w:val="21"/>
              </w:rPr>
              <w:t xml:space="preserve">  •  Rutas más frecuentes por modelo (BYD Seagull ≠ BYD Seal en uso real)</w:t>
            </w:r>
          </w:p>
        </w:tc>
      </w:tr>
      <w:tr>
        <w:tc>
          <w:tcPr>
            <w:tcW w:type="dxa" w:w="9360"/>
            <w:tcBorders>
              <w:top w:val="none" w:color="FFFFFF" w:sz="0"/>
              <w:left w:val="single" w:color="1565C0" w:sz="1"/>
              <w:bottom w:val="single" w:color="1565C0" w:sz="1"/>
              <w:right w:val="single" w:color="1565C0" w:sz="1"/>
            </w:tcBorders>
            <w:shd w:fill="E3F0FF" w:val="clear"/>
            <w:tcMar>
              <w:top w:type="dxa" w:w="80"/>
              <w:left w:type="dxa" w:w="200"/>
              <w:bottom w:type="dxa" w:w="80"/>
              <w:right w:type="dxa" w:w="200"/>
            </w:tcMar>
          </w:tcPr>
          <w:p>
            <w:r>
              <w:rPr>
                <w:rFonts w:ascii="Arial" w:cs="Arial" w:eastAsia="Arial" w:hAnsi="Arial"/>
                <w:color w:val="1C2833"/>
                <w:sz w:val="21"/>
                <w:szCs w:val="21"/>
              </w:rPr>
              <w:t xml:space="preserve">  •  Patrones de SoC al iniciar viaje: ¿los usuarios del Yuan Plus parten con 65%?</w:t>
            </w:r>
          </w:p>
        </w:tc>
      </w:tr>
      <w:tr>
        <w:tc>
          <w:tcPr>
            <w:tcW w:type="dxa" w:w="9360"/>
            <w:tcBorders>
              <w:top w:val="none" w:color="FFFFFF" w:sz="0"/>
              <w:left w:val="single" w:color="1565C0" w:sz="1"/>
              <w:bottom w:val="single" w:color="1565C0" w:sz="1"/>
              <w:right w:val="single" w:color="1565C0" w:sz="1"/>
            </w:tcBorders>
            <w:shd w:fill="E3F0FF" w:val="clear"/>
            <w:tcMar>
              <w:top w:type="dxa" w:w="80"/>
              <w:left w:type="dxa" w:w="200"/>
              <w:bottom w:type="dxa" w:w="80"/>
              <w:right w:type="dxa" w:w="200"/>
            </w:tcMar>
          </w:tcPr>
          <w:p>
            <w:r>
              <w:rPr>
                <w:rFonts w:ascii="Arial" w:cs="Arial" w:eastAsia="Arial" w:hAnsi="Arial"/>
                <w:color w:val="1C2833"/>
                <w:sz w:val="21"/>
                <w:szCs w:val="21"/>
              </w:rPr>
              <w:t xml:space="preserve">  •  Análisis de "range anxiety": qué modelos generan más búsquedas con SoC crítico</w:t>
            </w:r>
          </w:p>
        </w:tc>
      </w:tr>
      <w:tr>
        <w:tc>
          <w:tcPr>
            <w:tcW w:type="dxa" w:w="9360"/>
            <w:tcBorders>
              <w:top w:val="none" w:color="FFFFFF" w:sz="0"/>
              <w:left w:val="single" w:color="1565C0" w:sz="1"/>
              <w:bottom w:val="single" w:color="1565C0" w:sz="1"/>
              <w:right w:val="single" w:color="1565C0" w:sz="1"/>
            </w:tcBorders>
            <w:shd w:fill="E3F0FF" w:val="clear"/>
            <w:tcMar>
              <w:top w:type="dxa" w:w="80"/>
              <w:left w:type="dxa" w:w="200"/>
              <w:bottom w:type="dxa" w:w="80"/>
              <w:right w:type="dxa" w:w="200"/>
            </w:tcMar>
          </w:tcPr>
          <w:p>
            <w:r>
              <w:rPr>
                <w:rFonts w:ascii="Arial" w:cs="Arial" w:eastAsia="Arial" w:hAnsi="Arial"/>
                <w:color w:val="1C2833"/>
                <w:sz w:val="21"/>
                <w:szCs w:val="21"/>
              </w:rPr>
              <w:t xml:space="preserve">  •  Modelos competidores que buscan usuarios antes de registrarse (search patterns)</w:t>
            </w:r>
          </w:p>
        </w:tc>
      </w:tr>
    </w:tbl>
    <w:p>
      <w:pPr>
        <w:spacing w:after="80" w:before="0"/>
      </w:pPr>
      <w:r>
        <w:t xml:space="preserve"/>
      </w:r>
    </w:p>
    <w:p>
      <w:pPr>
        <w:spacing w:after="100" w:before="60"/>
      </w:pPr>
      <w:r>
        <w:rPr>
          <w:rFonts w:ascii="Arial" w:cs="Arial" w:eastAsia="Arial" w:hAnsi="Arial"/>
          <w:color w:val="1C2833"/>
          <w:sz w:val="22"/>
          <w:szCs w:val="22"/>
        </w:rPr>
        <w:t xml:space="preserve">Formato de entrega: dashboards trimestrales anonimizados + API de datos en tiempo real (para fabricantes con integración avanzada).</w:t>
      </w:r>
    </w:p>
    <w:p>
      <w:pPr>
        <w:spacing w:after="100" w:before="60"/>
      </w:pPr>
      <w:r>
        <w:rPr>
          <w:rFonts w:ascii="Arial" w:cs="Arial" w:eastAsia="Arial" w:hAnsi="Arial"/>
          <w:color w:val="1C2833"/>
          <w:sz w:val="22"/>
          <w:szCs w:val="22"/>
        </w:rPr>
        <w:t xml:space="preserve">Precio referencial: USD 800–3,000/mes según volumen de datos y modelos cubiertos. Acceso gratuito para el fabricante si aporta datos de flota certificada.</w:t>
      </w:r>
    </w:p>
    <w:p>
      <w:pPr>
        <w:spacing w:after="200" w:before="0"/>
      </w:pPr>
      <w:r>
        <w:t xml:space="preserve"/>
      </w:r>
    </w:p>
    <w:p>
      <w:pPr>
        <w:pStyle w:val="Heading2"/>
        <w:spacing w:after="120" w:before="280"/>
      </w:pPr>
      <w:r>
        <w:rPr>
          <w:rFonts w:ascii="Arial" w:cs="Arial" w:eastAsia="Arial" w:hAnsi="Arial"/>
          <w:b/>
          <w:bCs/>
          <w:color w:val="1C2833"/>
          <w:sz w:val="26"/>
          <w:szCs w:val="26"/>
        </w:rPr>
        <w:t xml:space="preserve">3.3 Pilar 3 — SaaS para Operadores de Carga (B2B)</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0838F" w:sz="1"/>
              <w:left w:val="single" w:color="00838F" w:sz="1"/>
              <w:bottom w:val="single" w:color="00838F" w:sz="1"/>
              <w:right w:val="single" w:color="00838F" w:sz="1"/>
            </w:tcBorders>
            <w:shd w:fill="00838F" w:val="clear"/>
            <w:tcMar>
              <w:top w:type="dxa" w:w="140"/>
              <w:left w:type="dxa" w:w="200"/>
              <w:bottom w:type="dxa" w:w="140"/>
              <w:right w:type="dxa" w:w="200"/>
            </w:tcMar>
          </w:tcPr>
          <w:p>
            <w:r>
              <w:rPr>
                <w:rFonts w:ascii="Arial" w:cs="Arial" w:eastAsia="Arial" w:hAnsi="Arial"/>
                <w:b/>
                <w:bCs/>
                <w:color w:val="FFFFFF"/>
                <w:sz w:val="24"/>
                <w:szCs w:val="24"/>
              </w:rPr>
              <w:t xml:space="preserve">⚡  Operadores de Estaciones de Carga</w:t>
            </w:r>
          </w:p>
        </w:tc>
      </w:tr>
      <w:tr>
        <w:tc>
          <w:tcPr>
            <w:tcW w:type="dxa" w:w="9360"/>
            <w:tcBorders>
              <w:top w:val="none" w:color="FFFFFF" w:sz="0"/>
              <w:left w:val="single" w:color="00838F" w:sz="1"/>
              <w:bottom w:val="single" w:color="00838F" w:sz="1"/>
              <w:right w:val="single" w:color="00838F" w:sz="1"/>
            </w:tcBorders>
            <w:shd w:fill="E0F4F6" w:val="clear"/>
            <w:tcMar>
              <w:top w:type="dxa" w:w="80"/>
              <w:left w:type="dxa" w:w="200"/>
              <w:bottom w:type="dxa" w:w="80"/>
              <w:right w:type="dxa" w:w="200"/>
            </w:tcMar>
          </w:tcPr>
          <w:p>
            <w:r>
              <w:rPr>
                <w:rFonts w:ascii="Arial" w:cs="Arial" w:eastAsia="Arial" w:hAnsi="Arial"/>
                <w:color w:val="1C2833"/>
                <w:sz w:val="21"/>
                <w:szCs w:val="21"/>
              </w:rPr>
              <w:t xml:space="preserve">  •  Dashboard de gestión: actualización de horarios, precios y disponibilidad de conectores</w:t>
            </w:r>
          </w:p>
        </w:tc>
      </w:tr>
      <w:tr>
        <w:tc>
          <w:tcPr>
            <w:tcW w:type="dxa" w:w="9360"/>
            <w:tcBorders>
              <w:top w:val="none" w:color="FFFFFF" w:sz="0"/>
              <w:left w:val="single" w:color="00838F" w:sz="1"/>
              <w:bottom w:val="single" w:color="00838F" w:sz="1"/>
              <w:right w:val="single" w:color="00838F" w:sz="1"/>
            </w:tcBorders>
            <w:shd w:fill="E0F4F6" w:val="clear"/>
            <w:tcMar>
              <w:top w:type="dxa" w:w="80"/>
              <w:left w:type="dxa" w:w="200"/>
              <w:bottom w:type="dxa" w:w="80"/>
              <w:right w:type="dxa" w:w="200"/>
            </w:tcMar>
          </w:tcPr>
          <w:p>
            <w:r>
              <w:rPr>
                <w:rFonts w:ascii="Arial" w:cs="Arial" w:eastAsia="Arial" w:hAnsi="Arial"/>
                <w:color w:val="1C2833"/>
                <w:sz w:val="21"/>
                <w:szCs w:val="21"/>
              </w:rPr>
              <w:t xml:space="preserve">  •  Analytics de tráfico: cuántos usuarios planificaron rutas que pasan por su estación</w:t>
            </w:r>
          </w:p>
        </w:tc>
      </w:tr>
      <w:tr>
        <w:tc>
          <w:tcPr>
            <w:tcW w:type="dxa" w:w="9360"/>
            <w:tcBorders>
              <w:top w:val="none" w:color="FFFFFF" w:sz="0"/>
              <w:left w:val="single" w:color="00838F" w:sz="1"/>
              <w:bottom w:val="single" w:color="00838F" w:sz="1"/>
              <w:right w:val="single" w:color="00838F" w:sz="1"/>
            </w:tcBorders>
            <w:shd w:fill="E0F4F6" w:val="clear"/>
            <w:tcMar>
              <w:top w:type="dxa" w:w="80"/>
              <w:left w:type="dxa" w:w="200"/>
              <w:bottom w:type="dxa" w:w="80"/>
              <w:right w:type="dxa" w:w="200"/>
            </w:tcMar>
          </w:tcPr>
          <w:p>
            <w:r>
              <w:rPr>
                <w:rFonts w:ascii="Arial" w:cs="Arial" w:eastAsia="Arial" w:hAnsi="Arial"/>
                <w:color w:val="1C2833"/>
                <w:sz w:val="21"/>
                <w:szCs w:val="21"/>
              </w:rPr>
              <w:t xml:space="preserve">  •  Check-ins y calificaciones: métricas de satisfacción de usuarios reales</w:t>
            </w:r>
          </w:p>
        </w:tc>
      </w:tr>
      <w:tr>
        <w:tc>
          <w:tcPr>
            <w:tcW w:type="dxa" w:w="9360"/>
            <w:tcBorders>
              <w:top w:val="none" w:color="FFFFFF" w:sz="0"/>
              <w:left w:val="single" w:color="00838F" w:sz="1"/>
              <w:bottom w:val="single" w:color="00838F" w:sz="1"/>
              <w:right w:val="single" w:color="00838F" w:sz="1"/>
            </w:tcBorders>
            <w:shd w:fill="E0F4F6" w:val="clear"/>
            <w:tcMar>
              <w:top w:type="dxa" w:w="80"/>
              <w:left w:type="dxa" w:w="200"/>
              <w:bottom w:type="dxa" w:w="80"/>
              <w:right w:type="dxa" w:w="200"/>
            </w:tcMar>
          </w:tcPr>
          <w:p>
            <w:r>
              <w:rPr>
                <w:rFonts w:ascii="Arial" w:cs="Arial" w:eastAsia="Arial" w:hAnsi="Arial"/>
                <w:color w:val="1C2833"/>
                <w:sz w:val="21"/>
                <w:szCs w:val="21"/>
              </w:rPr>
              <w:t xml:space="preserve">  •  Alertas de reporte de fallas: notificación cuando usuarios marcan una estación como averiada</w:t>
            </w:r>
          </w:p>
        </w:tc>
      </w:tr>
      <w:tr>
        <w:tc>
          <w:tcPr>
            <w:tcW w:type="dxa" w:w="9360"/>
            <w:tcBorders>
              <w:top w:val="none" w:color="FFFFFF" w:sz="0"/>
              <w:left w:val="single" w:color="00838F" w:sz="1"/>
              <w:bottom w:val="single" w:color="00838F" w:sz="1"/>
              <w:right w:val="single" w:color="00838F" w:sz="1"/>
            </w:tcBorders>
            <w:shd w:fill="E0F4F6" w:val="clear"/>
            <w:tcMar>
              <w:top w:type="dxa" w:w="80"/>
              <w:left w:type="dxa" w:w="200"/>
              <w:bottom w:type="dxa" w:w="80"/>
              <w:right w:type="dxa" w:w="200"/>
            </w:tcMar>
          </w:tcPr>
          <w:p>
            <w:r>
              <w:rPr>
                <w:rFonts w:ascii="Arial" w:cs="Arial" w:eastAsia="Arial" w:hAnsi="Arial"/>
                <w:color w:val="1C2833"/>
                <w:sz w:val="21"/>
                <w:szCs w:val="21"/>
              </w:rPr>
              <w:t xml:space="preserve">  •  Posicionamiento patrocinado: destacar la estación en el mapa cuando hay cargadores cercanos similares</w:t>
            </w:r>
          </w:p>
        </w:tc>
      </w:tr>
      <w:tr>
        <w:tc>
          <w:tcPr>
            <w:tcW w:type="dxa" w:w="9360"/>
            <w:tcBorders>
              <w:top w:val="none" w:color="FFFFFF" w:sz="0"/>
              <w:left w:val="single" w:color="00838F" w:sz="1"/>
              <w:bottom w:val="single" w:color="00838F" w:sz="1"/>
              <w:right w:val="single" w:color="00838F" w:sz="1"/>
            </w:tcBorders>
            <w:shd w:fill="E0F4F6" w:val="clear"/>
            <w:tcMar>
              <w:top w:type="dxa" w:w="80"/>
              <w:left w:type="dxa" w:w="200"/>
              <w:bottom w:type="dxa" w:w="80"/>
              <w:right w:type="dxa" w:w="200"/>
            </w:tcMar>
          </w:tcPr>
          <w:p>
            <w:r>
              <w:rPr>
                <w:rFonts w:ascii="Arial" w:cs="Arial" w:eastAsia="Arial" w:hAnsi="Arial"/>
                <w:color w:val="1C2833"/>
                <w:sz w:val="21"/>
                <w:szCs w:val="21"/>
              </w:rPr>
              <w:t xml:space="preserve">  •  Exportación de datos de demanda para planificación de expansión</w:t>
            </w:r>
          </w:p>
        </w:tc>
      </w:tr>
    </w:tbl>
    <w:p>
      <w:pPr>
        <w:spacing w:after="80" w:before="0"/>
      </w:pPr>
      <w:r>
        <w:t xml:space="preserve"/>
      </w:r>
    </w:p>
    <w:p>
      <w:pPr>
        <w:spacing w:after="100" w:before="60"/>
      </w:pPr>
      <w:r>
        <w:rPr>
          <w:rFonts w:ascii="Arial" w:cs="Arial" w:eastAsia="Arial" w:hAnsi="Arial"/>
          <w:color w:val="1C2833"/>
          <w:sz w:val="22"/>
          <w:szCs w:val="22"/>
        </w:rPr>
        <w:t xml:space="preserve">Precio referencial:</w:t>
      </w:r>
    </w:p>
    <w:p>
      <w:pPr>
        <w:pStyle w:val="ListParagraph"/>
        <w:numPr>
          <w:ilvl w:val="0"/>
          <w:numId w:val="2"/>
        </w:numPr>
        <w:spacing w:after="60" w:before="40"/>
      </w:pPr>
      <w:r>
        <w:rPr>
          <w:rFonts w:ascii="Arial" w:cs="Arial" w:eastAsia="Arial" w:hAnsi="Arial"/>
          <w:color w:val="1C2833"/>
          <w:sz w:val="22"/>
          <w:szCs w:val="22"/>
        </w:rPr>
        <w:t xml:space="preserve">Plan Básico (1–3 estaciones): USD 50/mes — gestión de perfil + reportes mensuales</w:t>
      </w:r>
    </w:p>
    <w:p>
      <w:pPr>
        <w:pStyle w:val="ListParagraph"/>
        <w:numPr>
          <w:ilvl w:val="0"/>
          <w:numId w:val="2"/>
        </w:numPr>
        <w:spacing w:after="60" w:before="40"/>
      </w:pPr>
      <w:r>
        <w:rPr>
          <w:rFonts w:ascii="Arial" w:cs="Arial" w:eastAsia="Arial" w:hAnsi="Arial"/>
          <w:color w:val="1C2833"/>
          <w:sz w:val="22"/>
          <w:szCs w:val="22"/>
        </w:rPr>
        <w:t xml:space="preserve">Plan Profesional (4–20 estaciones): USD 200/mes — analytics + alertas en tiempo real</w:t>
      </w:r>
    </w:p>
    <w:p>
      <w:pPr>
        <w:pStyle w:val="ListParagraph"/>
        <w:numPr>
          <w:ilvl w:val="0"/>
          <w:numId w:val="2"/>
        </w:numPr>
        <w:spacing w:after="60" w:before="40"/>
      </w:pPr>
      <w:r>
        <w:rPr>
          <w:rFonts w:ascii="Arial" w:cs="Arial" w:eastAsia="Arial" w:hAnsi="Arial"/>
          <w:color w:val="1C2833"/>
          <w:sz w:val="22"/>
          <w:szCs w:val="22"/>
        </w:rPr>
        <w:t xml:space="preserve">Plan Enterprise (cadenas, concesionarios): USD 600+/mes — API + posicionamiento patrocinado</w:t>
      </w:r>
    </w:p>
    <w:p>
      <w:pPr>
        <w:spacing w:after="200" w:before="0"/>
      </w:pPr>
      <w:r>
        <w:t xml:space="preserve"/>
      </w:r>
    </w:p>
    <w:p>
      <w:pPr>
        <w:pStyle w:val="Heading2"/>
        <w:spacing w:after="120" w:before="280"/>
      </w:pPr>
      <w:r>
        <w:rPr>
          <w:rFonts w:ascii="Arial" w:cs="Arial" w:eastAsia="Arial" w:hAnsi="Arial"/>
          <w:b/>
          <w:bCs/>
          <w:color w:val="1C2833"/>
          <w:sz w:val="26"/>
          <w:szCs w:val="26"/>
        </w:rPr>
        <w:t xml:space="preserve">3.4 Pilar 4 — Gestión de Flotas Corporativas (B2B)</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6A1B9A" w:sz="1"/>
              <w:left w:val="single" w:color="6A1B9A" w:sz="1"/>
              <w:bottom w:val="single" w:color="6A1B9A" w:sz="1"/>
              <w:right w:val="single" w:color="6A1B9A" w:sz="1"/>
            </w:tcBorders>
            <w:shd w:fill="6A1B9A" w:val="clear"/>
            <w:tcMar>
              <w:top w:type="dxa" w:w="140"/>
              <w:left w:type="dxa" w:w="200"/>
              <w:bottom w:type="dxa" w:w="140"/>
              <w:right w:type="dxa" w:w="200"/>
            </w:tcMar>
          </w:tcPr>
          <w:p>
            <w:r>
              <w:rPr>
                <w:rFonts w:ascii="Arial" w:cs="Arial" w:eastAsia="Arial" w:hAnsi="Arial"/>
                <w:b/>
                <w:bCs/>
                <w:color w:val="FFFFFF"/>
                <w:sz w:val="24"/>
                <w:szCs w:val="24"/>
              </w:rPr>
              <w:t xml:space="preserve">🚐  Flotas Corporativas y Empresas de Delivery</w:t>
            </w:r>
          </w:p>
        </w:tc>
      </w:tr>
      <w:tr>
        <w:tc>
          <w:tcPr>
            <w:tcW w:type="dxa" w:w="9360"/>
            <w:tcBorders>
              <w:top w:val="none" w:color="FFFFFF" w:sz="0"/>
              <w:left w:val="single" w:color="6A1B9A" w:sz="1"/>
              <w:bottom w:val="single" w:color="6A1B9A" w:sz="1"/>
              <w:right w:val="single" w:color="6A1B9A" w:sz="1"/>
            </w:tcBorders>
            <w:shd w:fill="F3E5F5" w:val="clear"/>
            <w:tcMar>
              <w:top w:type="dxa" w:w="80"/>
              <w:left w:type="dxa" w:w="200"/>
              <w:bottom w:type="dxa" w:w="80"/>
              <w:right w:type="dxa" w:w="200"/>
            </w:tcMar>
          </w:tcPr>
          <w:p>
            <w:r>
              <w:rPr>
                <w:rFonts w:ascii="Arial" w:cs="Arial" w:eastAsia="Arial" w:hAnsi="Arial"/>
                <w:color w:val="1C2833"/>
                <w:sz w:val="21"/>
                <w:szCs w:val="21"/>
              </w:rPr>
              <w:t xml:space="preserve">  •  Dashboard multi-vehículo: planificación de rutas para N EVs simultáneamente</w:t>
            </w:r>
          </w:p>
        </w:tc>
      </w:tr>
      <w:tr>
        <w:tc>
          <w:tcPr>
            <w:tcW w:type="dxa" w:w="9360"/>
            <w:tcBorders>
              <w:top w:val="none" w:color="FFFFFF" w:sz="0"/>
              <w:left w:val="single" w:color="6A1B9A" w:sz="1"/>
              <w:bottom w:val="single" w:color="6A1B9A" w:sz="1"/>
              <w:right w:val="single" w:color="6A1B9A" w:sz="1"/>
            </w:tcBorders>
            <w:shd w:fill="F3E5F5" w:val="clear"/>
            <w:tcMar>
              <w:top w:type="dxa" w:w="80"/>
              <w:left w:type="dxa" w:w="200"/>
              <w:bottom w:type="dxa" w:w="80"/>
              <w:right w:type="dxa" w:w="200"/>
            </w:tcMar>
          </w:tcPr>
          <w:p>
            <w:r>
              <w:rPr>
                <w:rFonts w:ascii="Arial" w:cs="Arial" w:eastAsia="Arial" w:hAnsi="Arial"/>
                <w:color w:val="1C2833"/>
                <w:sz w:val="21"/>
                <w:szCs w:val="21"/>
              </w:rPr>
              <w:t xml:space="preserve">  •  Asignación automática de rutas según SoC actual de cada vehículo</w:t>
            </w:r>
          </w:p>
        </w:tc>
      </w:tr>
      <w:tr>
        <w:tc>
          <w:tcPr>
            <w:tcW w:type="dxa" w:w="9360"/>
            <w:tcBorders>
              <w:top w:val="none" w:color="FFFFFF" w:sz="0"/>
              <w:left w:val="single" w:color="6A1B9A" w:sz="1"/>
              <w:bottom w:val="single" w:color="6A1B9A" w:sz="1"/>
              <w:right w:val="single" w:color="6A1B9A" w:sz="1"/>
            </w:tcBorders>
            <w:shd w:fill="F3E5F5" w:val="clear"/>
            <w:tcMar>
              <w:top w:type="dxa" w:w="80"/>
              <w:left w:type="dxa" w:w="200"/>
              <w:bottom w:type="dxa" w:w="80"/>
              <w:right w:type="dxa" w:w="200"/>
            </w:tcMar>
          </w:tcPr>
          <w:p>
            <w:r>
              <w:rPr>
                <w:rFonts w:ascii="Arial" w:cs="Arial" w:eastAsia="Arial" w:hAnsi="Arial"/>
                <w:color w:val="1C2833"/>
                <w:sz w:val="21"/>
                <w:szCs w:val="21"/>
              </w:rPr>
              <w:t xml:space="preserve">  •  Historial centralizado de consumo y costos de carga de toda la flota</w:t>
            </w:r>
          </w:p>
        </w:tc>
      </w:tr>
      <w:tr>
        <w:tc>
          <w:tcPr>
            <w:tcW w:type="dxa" w:w="9360"/>
            <w:tcBorders>
              <w:top w:val="none" w:color="FFFFFF" w:sz="0"/>
              <w:left w:val="single" w:color="6A1B9A" w:sz="1"/>
              <w:bottom w:val="single" w:color="6A1B9A" w:sz="1"/>
              <w:right w:val="single" w:color="6A1B9A" w:sz="1"/>
            </w:tcBorders>
            <w:shd w:fill="F3E5F5" w:val="clear"/>
            <w:tcMar>
              <w:top w:type="dxa" w:w="80"/>
              <w:left w:type="dxa" w:w="200"/>
              <w:bottom w:type="dxa" w:w="80"/>
              <w:right w:type="dxa" w:w="200"/>
            </w:tcMar>
          </w:tcPr>
          <w:p>
            <w:r>
              <w:rPr>
                <w:rFonts w:ascii="Arial" w:cs="Arial" w:eastAsia="Arial" w:hAnsi="Arial"/>
                <w:color w:val="1C2833"/>
                <w:sz w:val="21"/>
                <w:szCs w:val="21"/>
              </w:rPr>
              <w:t xml:space="preserve">  •  Alertas de autonomía insuficiente antes de despachar un vehículo</w:t>
            </w:r>
          </w:p>
        </w:tc>
      </w:tr>
      <w:tr>
        <w:tc>
          <w:tcPr>
            <w:tcW w:type="dxa" w:w="9360"/>
            <w:tcBorders>
              <w:top w:val="none" w:color="FFFFFF" w:sz="0"/>
              <w:left w:val="single" w:color="6A1B9A" w:sz="1"/>
              <w:bottom w:val="single" w:color="6A1B9A" w:sz="1"/>
              <w:right w:val="single" w:color="6A1B9A" w:sz="1"/>
            </w:tcBorders>
            <w:shd w:fill="F3E5F5" w:val="clear"/>
            <w:tcMar>
              <w:top w:type="dxa" w:w="80"/>
              <w:left w:type="dxa" w:w="200"/>
              <w:bottom w:type="dxa" w:w="80"/>
              <w:right w:type="dxa" w:w="200"/>
            </w:tcMar>
          </w:tcPr>
          <w:p>
            <w:r>
              <w:rPr>
                <w:rFonts w:ascii="Arial" w:cs="Arial" w:eastAsia="Arial" w:hAnsi="Arial"/>
                <w:color w:val="1C2833"/>
                <w:sz w:val="21"/>
                <w:szCs w:val="21"/>
              </w:rPr>
              <w:t xml:space="preserve">  •  Reportes de eficiencia energética para reportes de sostenibilidad corporativa (ESG)</w:t>
            </w:r>
          </w:p>
        </w:tc>
      </w:tr>
      <w:tr>
        <w:tc>
          <w:tcPr>
            <w:tcW w:type="dxa" w:w="9360"/>
            <w:tcBorders>
              <w:top w:val="none" w:color="FFFFFF" w:sz="0"/>
              <w:left w:val="single" w:color="6A1B9A" w:sz="1"/>
              <w:bottom w:val="single" w:color="6A1B9A" w:sz="1"/>
              <w:right w:val="single" w:color="6A1B9A" w:sz="1"/>
            </w:tcBorders>
            <w:shd w:fill="F3E5F5" w:val="clear"/>
            <w:tcMar>
              <w:top w:type="dxa" w:w="80"/>
              <w:left w:type="dxa" w:w="200"/>
              <w:bottom w:type="dxa" w:w="80"/>
              <w:right w:type="dxa" w:w="200"/>
            </w:tcMar>
          </w:tcPr>
          <w:p>
            <w:r>
              <w:rPr>
                <w:rFonts w:ascii="Arial" w:cs="Arial" w:eastAsia="Arial" w:hAnsi="Arial"/>
                <w:color w:val="1C2833"/>
                <w:sz w:val="21"/>
                <w:szCs w:val="21"/>
              </w:rPr>
              <w:t xml:space="preserve">  •  Integración API con sistemas de gestión de flota existentes (telemáticas)</w:t>
            </w:r>
          </w:p>
        </w:tc>
      </w:tr>
    </w:tbl>
    <w:p>
      <w:pPr>
        <w:spacing w:after="80" w:before="0"/>
      </w:pPr>
      <w:r>
        <w:t xml:space="preserve"/>
      </w:r>
    </w:p>
    <w:p>
      <w:pPr>
        <w:spacing w:after="100" w:before="60"/>
      </w:pPr>
      <w:r>
        <w:rPr>
          <w:rFonts w:ascii="Arial" w:cs="Arial" w:eastAsia="Arial" w:hAnsi="Arial"/>
          <w:color w:val="1C2833"/>
          <w:sz w:val="22"/>
          <w:szCs w:val="22"/>
        </w:rPr>
        <w:t xml:space="preserve">Precio referencial: USD 15–25/vehículo/mes con mínimo de 5 vehículos. Alta retención esperada por dependencia operativa.</w:t>
      </w:r>
    </w:p>
    <w:p>
      <w:pPr>
        <w:spacing w:after="200" w:before="0"/>
      </w:pPr>
      <w:r>
        <w:t xml:space="preserve"/>
      </w:r>
    </w:p>
    <w:p>
      <w:pPr>
        <w:pStyle w:val="Heading2"/>
        <w:spacing w:after="120" w:before="280"/>
      </w:pPr>
      <w:r>
        <w:rPr>
          <w:rFonts w:ascii="Arial" w:cs="Arial" w:eastAsia="Arial" w:hAnsi="Arial"/>
          <w:b/>
          <w:bCs/>
          <w:color w:val="1C2833"/>
          <w:sz w:val="26"/>
          <w:szCs w:val="26"/>
        </w:rPr>
        <w:t xml:space="preserve">3.5 Pilar 5 — Datos para Sector Público e Investigación (B2G/Academia)</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E65100" w:val="clear"/>
            <w:tcMar>
              <w:top w:type="dxa" w:w="140"/>
              <w:left w:type="dxa" w:w="200"/>
              <w:bottom w:type="dxa" w:w="140"/>
              <w:right w:type="dxa" w:w="200"/>
            </w:tcMar>
          </w:tcPr>
          <w:p>
            <w:r>
              <w:rPr>
                <w:rFonts w:ascii="Arial" w:cs="Arial" w:eastAsia="Arial" w:hAnsi="Arial"/>
                <w:b/>
                <w:bCs/>
                <w:color w:val="FFFFFF"/>
                <w:sz w:val="24"/>
                <w:szCs w:val="24"/>
              </w:rPr>
              <w:t xml:space="preserve">🏛️  Gobierno, Municipios, Universidades y ONGs</w:t>
            </w:r>
          </w:p>
        </w:tc>
      </w:tr>
      <w:tr>
        <w:tc>
          <w:tcPr>
            <w:tcW w:type="dxa" w:w="9360"/>
            <w:tcBorders>
              <w:top w:val="none" w:color="FFFFFF" w:sz="0"/>
              <w:left w:val="single" w:color="E65100" w:sz="1"/>
              <w:bottom w:val="single" w:color="E65100" w:sz="1"/>
              <w:right w:val="single" w:color="E65100" w:sz="1"/>
            </w:tcBorders>
            <w:shd w:fill="FFF3E0" w:val="clear"/>
            <w:tcMar>
              <w:top w:type="dxa" w:w="80"/>
              <w:left w:type="dxa" w:w="200"/>
              <w:bottom w:type="dxa" w:w="80"/>
              <w:right w:type="dxa" w:w="200"/>
            </w:tcMar>
          </w:tcPr>
          <w:p>
            <w:r>
              <w:rPr>
                <w:rFonts w:ascii="Arial" w:cs="Arial" w:eastAsia="Arial" w:hAnsi="Arial"/>
                <w:color w:val="1C2833"/>
                <w:sz w:val="21"/>
                <w:szCs w:val="21"/>
              </w:rPr>
              <w:t xml:space="preserve">  •  Reportes de adopción EV por provincia y cantón (heatmaps de uso)</w:t>
            </w:r>
          </w:p>
        </w:tc>
      </w:tr>
      <w:tr>
        <w:tc>
          <w:tcPr>
            <w:tcW w:type="dxa" w:w="9360"/>
            <w:tcBorders>
              <w:top w:val="none" w:color="FFFFFF" w:sz="0"/>
              <w:left w:val="single" w:color="E65100" w:sz="1"/>
              <w:bottom w:val="single" w:color="E65100" w:sz="1"/>
              <w:right w:val="single" w:color="E65100" w:sz="1"/>
            </w:tcBorders>
            <w:shd w:fill="FFF3E0" w:val="clear"/>
            <w:tcMar>
              <w:top w:type="dxa" w:w="80"/>
              <w:left w:type="dxa" w:w="200"/>
              <w:bottom w:type="dxa" w:w="80"/>
              <w:right w:type="dxa" w:w="200"/>
            </w:tcMar>
          </w:tcPr>
          <w:p>
            <w:r>
              <w:rPr>
                <w:rFonts w:ascii="Arial" w:cs="Arial" w:eastAsia="Arial" w:hAnsi="Arial"/>
                <w:color w:val="1C2833"/>
                <w:sz w:val="21"/>
                <w:szCs w:val="21"/>
              </w:rPr>
              <w:t xml:space="preserve">  •  Análisis de brechas de infraestructura: zonas sin cobertura de carga con alta demanda de rutas</w:t>
            </w:r>
          </w:p>
        </w:tc>
      </w:tr>
      <w:tr>
        <w:tc>
          <w:tcPr>
            <w:tcW w:type="dxa" w:w="9360"/>
            <w:tcBorders>
              <w:top w:val="none" w:color="FFFFFF" w:sz="0"/>
              <w:left w:val="single" w:color="E65100" w:sz="1"/>
              <w:bottom w:val="single" w:color="E65100" w:sz="1"/>
              <w:right w:val="single" w:color="E65100" w:sz="1"/>
            </w:tcBorders>
            <w:shd w:fill="FFF3E0" w:val="clear"/>
            <w:tcMar>
              <w:top w:type="dxa" w:w="80"/>
              <w:left w:type="dxa" w:w="200"/>
              <w:bottom w:type="dxa" w:w="80"/>
              <w:right w:type="dxa" w:w="200"/>
            </w:tcMar>
          </w:tcPr>
          <w:p>
            <w:r>
              <w:rPr>
                <w:rFonts w:ascii="Arial" w:cs="Arial" w:eastAsia="Arial" w:hAnsi="Arial"/>
                <w:color w:val="1C2833"/>
                <w:sz w:val="21"/>
                <w:szCs w:val="21"/>
              </w:rPr>
              <w:t xml:space="preserve">  •  Estudio de emisiones evitadas: kWh consumidos por EV vs. equivalente en combustible fósil</w:t>
            </w:r>
          </w:p>
        </w:tc>
      </w:tr>
      <w:tr>
        <w:tc>
          <w:tcPr>
            <w:tcW w:type="dxa" w:w="9360"/>
            <w:tcBorders>
              <w:top w:val="none" w:color="FFFFFF" w:sz="0"/>
              <w:left w:val="single" w:color="E65100" w:sz="1"/>
              <w:bottom w:val="single" w:color="E65100" w:sz="1"/>
              <w:right w:val="single" w:color="E65100" w:sz="1"/>
            </w:tcBorders>
            <w:shd w:fill="FFF3E0" w:val="clear"/>
            <w:tcMar>
              <w:top w:type="dxa" w:w="80"/>
              <w:left w:type="dxa" w:w="200"/>
              <w:bottom w:type="dxa" w:w="80"/>
              <w:right w:type="dxa" w:w="200"/>
            </w:tcMar>
          </w:tcPr>
          <w:p>
            <w:r>
              <w:rPr>
                <w:rFonts w:ascii="Arial" w:cs="Arial" w:eastAsia="Arial" w:hAnsi="Arial"/>
                <w:color w:val="1C2833"/>
                <w:sz w:val="21"/>
                <w:szCs w:val="21"/>
              </w:rPr>
              <w:t xml:space="preserve">  •  Datos para planificación de red eléctrica: picos de demanda de carga por zona y hora</w:t>
            </w:r>
          </w:p>
        </w:tc>
      </w:tr>
      <w:tr>
        <w:tc>
          <w:tcPr>
            <w:tcW w:type="dxa" w:w="9360"/>
            <w:tcBorders>
              <w:top w:val="none" w:color="FFFFFF" w:sz="0"/>
              <w:left w:val="single" w:color="E65100" w:sz="1"/>
              <w:bottom w:val="single" w:color="E65100" w:sz="1"/>
              <w:right w:val="single" w:color="E65100" w:sz="1"/>
            </w:tcBorders>
            <w:shd w:fill="FFF3E0" w:val="clear"/>
            <w:tcMar>
              <w:top w:type="dxa" w:w="80"/>
              <w:left w:type="dxa" w:w="200"/>
              <w:bottom w:type="dxa" w:w="80"/>
              <w:right w:type="dxa" w:w="200"/>
            </w:tcMar>
          </w:tcPr>
          <w:p>
            <w:r>
              <w:rPr>
                <w:rFonts w:ascii="Arial" w:cs="Arial" w:eastAsia="Arial" w:hAnsi="Arial"/>
                <w:color w:val="1C2833"/>
                <w:sz w:val="21"/>
                <w:szCs w:val="21"/>
              </w:rPr>
              <w:t xml:space="preserve">  •  Impacto del perfil altitudinal ecuatoriano en la autonomía real EV (dato único en la región)</w:t>
            </w:r>
          </w:p>
        </w:tc>
      </w:tr>
      <w:tr>
        <w:tc>
          <w:tcPr>
            <w:tcW w:type="dxa" w:w="9360"/>
            <w:tcBorders>
              <w:top w:val="none" w:color="FFFFFF" w:sz="0"/>
              <w:left w:val="single" w:color="E65100" w:sz="1"/>
              <w:bottom w:val="single" w:color="E65100" w:sz="1"/>
              <w:right w:val="single" w:color="E65100" w:sz="1"/>
            </w:tcBorders>
            <w:shd w:fill="FFF3E0" w:val="clear"/>
            <w:tcMar>
              <w:top w:type="dxa" w:w="80"/>
              <w:left w:type="dxa" w:w="200"/>
              <w:bottom w:type="dxa" w:w="80"/>
              <w:right w:type="dxa" w:w="200"/>
            </w:tcMar>
          </w:tcPr>
          <w:p>
            <w:r>
              <w:rPr>
                <w:rFonts w:ascii="Arial" w:cs="Arial" w:eastAsia="Arial" w:hAnsi="Arial"/>
                <w:color w:val="1C2833"/>
                <w:sz w:val="21"/>
                <w:szCs w:val="21"/>
              </w:rPr>
              <w:t xml:space="preserve">  •  Modelos estadísticos para incentivos fiscales a compra de EVs (correlación precio-adopción)</w:t>
            </w:r>
          </w:p>
        </w:tc>
      </w:tr>
    </w:tbl>
    <w:p>
      <w:pPr>
        <w:spacing w:after="80" w:before="0"/>
      </w:pPr>
      <w:r>
        <w:t xml:space="preserve"/>
      </w:r>
    </w:p>
    <w:p>
      <w:pPr>
        <w:spacing w:after="100" w:before="60"/>
      </w:pPr>
      <w:r>
        <w:rPr>
          <w:rFonts w:ascii="Arial" w:cs="Arial" w:eastAsia="Arial" w:hAnsi="Arial"/>
          <w:color w:val="1C2833"/>
          <w:sz w:val="22"/>
          <w:szCs w:val="22"/>
        </w:rPr>
        <w:t xml:space="preserve">Formato de entrega: informes anuales personalizados o acceso API bajo convenio. Precio: USD 500–5,000 por informe o convenio de investigación. En casos estratégicos, puede ofrecerse sin costo a cambio de visibilidad institucional (MIDUVI, ARCONEL, universidades).</w:t>
      </w:r>
    </w:p>
    <w:p>
      <w:pPr>
        <w:spacing w:after="200" w:before="0"/>
      </w:pPr>
      <w:r>
        <w:t xml:space="preserve"/>
      </w:r>
    </w:p>
    <w:p>
      <w:pPr>
        <w:pStyle w:val="Heading2"/>
        <w:spacing w:after="120" w:before="280"/>
      </w:pPr>
      <w:r>
        <w:rPr>
          <w:rFonts w:ascii="Arial" w:cs="Arial" w:eastAsia="Arial" w:hAnsi="Arial"/>
          <w:b/>
          <w:bCs/>
          <w:color w:val="1C2833"/>
          <w:sz w:val="26"/>
          <w:szCs w:val="26"/>
        </w:rPr>
        <w:t xml:space="preserve">3.6 Pilar 6 — Partners Contextuales y Afiliados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455A64" w:sz="1"/>
              <w:left w:val="single" w:color="455A64" w:sz="1"/>
              <w:bottom w:val="single" w:color="455A64" w:sz="1"/>
              <w:right w:val="single" w:color="455A64" w:sz="1"/>
            </w:tcBorders>
            <w:shd w:fill="455A64" w:val="clear"/>
            <w:tcMar>
              <w:top w:type="dxa" w:w="140"/>
              <w:left w:type="dxa" w:w="200"/>
              <w:bottom w:type="dxa" w:w="140"/>
              <w:right w:type="dxa" w:w="200"/>
            </w:tcMar>
          </w:tcPr>
          <w:p>
            <w:r>
              <w:rPr>
                <w:rFonts w:ascii="Arial" w:cs="Arial" w:eastAsia="Arial" w:hAnsi="Arial"/>
                <w:b/>
                <w:bCs/>
                <w:color w:val="FFFFFF"/>
                <w:sz w:val="24"/>
                <w:szCs w:val="24"/>
              </w:rPr>
              <w:t xml:space="preserve">🤝  Partners Contextuales — Turismo, Servicios y Seguros</w:t>
            </w:r>
          </w:p>
        </w:tc>
      </w:tr>
      <w:tr>
        <w:tc>
          <w:tcPr>
            <w:tcW w:type="dxa" w:w="9360"/>
            <w:tcBorders>
              <w:top w:val="none" w:color="FFFFFF" w:sz="0"/>
              <w:left w:val="single" w:color="455A64" w:sz="1"/>
              <w:bottom w:val="single" w:color="455A64" w:sz="1"/>
              <w:right w:val="single" w:color="455A64" w:sz="1"/>
            </w:tcBorders>
            <w:shd w:fill="ECEFF1" w:val="clear"/>
            <w:tcMar>
              <w:top w:type="dxa" w:w="80"/>
              <w:left w:type="dxa" w:w="200"/>
              <w:bottom w:type="dxa" w:w="80"/>
              <w:right w:type="dxa" w:w="200"/>
            </w:tcMar>
          </w:tcPr>
          <w:p>
            <w:r>
              <w:rPr>
                <w:rFonts w:ascii="Arial" w:cs="Arial" w:eastAsia="Arial" w:hAnsi="Arial"/>
                <w:color w:val="1C2833"/>
                <w:sz w:val="21"/>
                <w:szCs w:val="21"/>
              </w:rPr>
              <w:t xml:space="preserve">  •  Hoteles y restaurantes cerca de cargadores: card patrocinada en el panel de información del cargador</w:t>
            </w:r>
          </w:p>
        </w:tc>
      </w:tr>
      <w:tr>
        <w:tc>
          <w:tcPr>
            <w:tcW w:type="dxa" w:w="9360"/>
            <w:tcBorders>
              <w:top w:val="none" w:color="FFFFFF" w:sz="0"/>
              <w:left w:val="single" w:color="455A64" w:sz="1"/>
              <w:bottom w:val="single" w:color="455A64" w:sz="1"/>
              <w:right w:val="single" w:color="455A64" w:sz="1"/>
            </w:tcBorders>
            <w:shd w:fill="ECEFF1" w:val="clear"/>
            <w:tcMar>
              <w:top w:type="dxa" w:w="80"/>
              <w:left w:type="dxa" w:w="200"/>
              <w:bottom w:type="dxa" w:w="80"/>
              <w:right w:type="dxa" w:w="200"/>
            </w:tcMar>
          </w:tcPr>
          <w:p>
            <w:r>
              <w:rPr>
                <w:rFonts w:ascii="Arial" w:cs="Arial" w:eastAsia="Arial" w:hAnsi="Arial"/>
                <w:color w:val="1C2833"/>
                <w:sz w:val="21"/>
                <w:szCs w:val="21"/>
              </w:rPr>
              <w:t xml:space="preserve">  •  Talleres de servicio EV: recomendación cuando la ruta detecta alto consumo o alerta de batería</w:t>
            </w:r>
          </w:p>
        </w:tc>
      </w:tr>
      <w:tr>
        <w:tc>
          <w:tcPr>
            <w:tcW w:type="dxa" w:w="9360"/>
            <w:tcBorders>
              <w:top w:val="none" w:color="FFFFFF" w:sz="0"/>
              <w:left w:val="single" w:color="455A64" w:sz="1"/>
              <w:bottom w:val="single" w:color="455A64" w:sz="1"/>
              <w:right w:val="single" w:color="455A64" w:sz="1"/>
            </w:tcBorders>
            <w:shd w:fill="ECEFF1" w:val="clear"/>
            <w:tcMar>
              <w:top w:type="dxa" w:w="80"/>
              <w:left w:type="dxa" w:w="200"/>
              <w:bottom w:type="dxa" w:w="80"/>
              <w:right w:type="dxa" w:w="200"/>
            </w:tcMar>
          </w:tcPr>
          <w:p>
            <w:r>
              <w:rPr>
                <w:rFonts w:ascii="Arial" w:cs="Arial" w:eastAsia="Arial" w:hAnsi="Arial"/>
                <w:color w:val="1C2833"/>
                <w:sz w:val="21"/>
                <w:szCs w:val="21"/>
              </w:rPr>
              <w:t xml:space="preserve">  •  Seguros de vehículos eléctricos: datos de perfil de riesgo por tipo de ruta y conducción</w:t>
            </w:r>
          </w:p>
        </w:tc>
      </w:tr>
      <w:tr>
        <w:tc>
          <w:tcPr>
            <w:tcW w:type="dxa" w:w="9360"/>
            <w:tcBorders>
              <w:top w:val="none" w:color="FFFFFF" w:sz="0"/>
              <w:left w:val="single" w:color="455A64" w:sz="1"/>
              <w:bottom w:val="single" w:color="455A64" w:sz="1"/>
              <w:right w:val="single" w:color="455A64" w:sz="1"/>
            </w:tcBorders>
            <w:shd w:fill="ECEFF1" w:val="clear"/>
            <w:tcMar>
              <w:top w:type="dxa" w:w="80"/>
              <w:left w:type="dxa" w:w="200"/>
              <w:bottom w:type="dxa" w:w="80"/>
              <w:right w:type="dxa" w:w="200"/>
            </w:tcMar>
          </w:tcPr>
          <w:p>
            <w:r>
              <w:rPr>
                <w:rFonts w:ascii="Arial" w:cs="Arial" w:eastAsia="Arial" w:hAnsi="Arial"/>
                <w:color w:val="1C2833"/>
                <w:sz w:val="21"/>
                <w:szCs w:val="21"/>
              </w:rPr>
              <w:t xml:space="preserve">  •  Tarjetas de recarga (ej. Zeta, EVBox): integración de saldo y pago dentro de la app</w:t>
            </w:r>
          </w:p>
        </w:tc>
      </w:tr>
      <w:tr>
        <w:tc>
          <w:tcPr>
            <w:tcW w:type="dxa" w:w="9360"/>
            <w:tcBorders>
              <w:top w:val="none" w:color="FFFFFF" w:sz="0"/>
              <w:left w:val="single" w:color="455A64" w:sz="1"/>
              <w:bottom w:val="single" w:color="455A64" w:sz="1"/>
              <w:right w:val="single" w:color="455A64" w:sz="1"/>
            </w:tcBorders>
            <w:shd w:fill="ECEFF1" w:val="clear"/>
            <w:tcMar>
              <w:top w:type="dxa" w:w="80"/>
              <w:left w:type="dxa" w:w="200"/>
              <w:bottom w:type="dxa" w:w="80"/>
              <w:right w:type="dxa" w:w="200"/>
            </w:tcMar>
          </w:tcPr>
          <w:p>
            <w:r>
              <w:rPr>
                <w:rFonts w:ascii="Arial" w:cs="Arial" w:eastAsia="Arial" w:hAnsi="Arial"/>
                <w:color w:val="1C2833"/>
                <w:sz w:val="21"/>
                <w:szCs w:val="21"/>
              </w:rPr>
              <w:t xml:space="preserve">  •  Concesionarios EV: publicidad contextual al usuario que planifica rutas con un vehículo antiguo de alto consumo</w:t>
            </w:r>
          </w:p>
        </w:tc>
      </w:tr>
    </w:tbl>
    <w:p>
      <w:pPr>
        <w:spacing w:after="80" w:before="0"/>
      </w:pPr>
      <w:r>
        <w:t xml:space="preserve"/>
      </w:r>
    </w:p>
    <w:p>
      <w:pPr>
        <w:spacing w:after="100" w:before="60"/>
      </w:pPr>
      <w:r>
        <w:rPr>
          <w:rFonts w:ascii="Arial" w:cs="Arial" w:eastAsia="Arial" w:hAnsi="Arial"/>
          <w:color w:val="1C2833"/>
          <w:sz w:val="22"/>
          <w:szCs w:val="22"/>
        </w:rPr>
        <w:t xml:space="preserve">Modelo de ingresos: revenue-share del 10–20% sobre conversiones trackeadas desde ChargeWay (click-to-call o reserva directa), o tarifa fija mensual por presencia en el mapa.</w:t>
      </w:r>
    </w:p>
    <w:p>
      <w:pPr>
        <w:pStyle w:val="Heading1"/>
        <w:pageBreakBefore/>
      </w:pPr>
      <w:r>
        <w:rPr>
          <w:rFonts w:ascii="Arial" w:cs="Arial" w:eastAsia="Arial" w:hAnsi="Arial"/>
          <w:b/>
          <w:bCs/>
          <w:color w:val="1A7A4A"/>
          <w:sz w:val="34"/>
          <w:szCs w:val="34"/>
        </w:rPr>
        <w:t xml:space="preserve">4. Escalabilidad y Crecimiento</w:t>
      </w:r>
    </w:p>
    <w:p>
      <w:pPr>
        <w:pBdr>
          <w:bottom w:val="single" w:color="1A7A4A" w:sz="4" w:space="1"/>
        </w:pBdr>
        <w:spacing w:after="160" w:before="80"/>
      </w:pPr>
      <w:r>
        <w:t xml:space="preserve"/>
      </w:r>
    </w:p>
    <w:p>
      <w:pPr>
        <w:pStyle w:val="Heading2"/>
        <w:spacing w:after="120" w:before="280"/>
      </w:pPr>
      <w:r>
        <w:rPr>
          <w:rFonts w:ascii="Arial" w:cs="Arial" w:eastAsia="Arial" w:hAnsi="Arial"/>
          <w:b/>
          <w:bCs/>
          <w:color w:val="1C2833"/>
          <w:sz w:val="26"/>
          <w:szCs w:val="26"/>
        </w:rPr>
        <w:t xml:space="preserve">4.1 Flywheel de Crecimiento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
              <w:left w:val="single" w:color="1A7A4A" w:sz="12"/>
              <w:bottom w:val="single" w:color="1A7A4A" w:sz="1"/>
              <w:right w:val="single" w:color="1A7A4A" w:sz="1"/>
            </w:tcBorders>
            <w:shd w:fill="E8F5EE" w:val="clear"/>
            <w:tcMar>
              <w:top w:type="dxa" w:w="160"/>
              <w:left w:type="dxa" w:w="200"/>
              <w:bottom w:type="dxa" w:w="160"/>
              <w:right w:type="dxa" w:w="200"/>
            </w:tcMar>
          </w:tcPr>
          <w:p>
            <w:r>
              <w:rPr>
                <w:rFonts w:ascii="Arial" w:cs="Arial" w:eastAsia="Arial" w:hAnsi="Arial"/>
                <w:i/>
                <w:iCs/>
                <w:color w:val="1C2833"/>
                <w:sz w:val="21"/>
                <w:szCs w:val="21"/>
              </w:rPr>
              <w:t xml:space="preserve">Más usuarios → más datos de rutas reales → modelo de energía más preciso → plataforma más confiable → más usuarios. Este ciclo virtuoso convierte la base de usuarios gratuitos en el motor del negocio B2B.</w:t>
            </w:r>
          </w:p>
        </w:tc>
      </w:tr>
    </w:tbl>
    <w:p>
      <w:pPr>
        <w:spacing w:after="120" w:before="0"/>
      </w:pPr>
      <w:r>
        <w:t xml:space="preserve"/>
      </w:r>
    </w:p>
    <w:p>
      <w:pPr>
        <w:pStyle w:val="Heading2"/>
        <w:spacing w:after="120" w:before="280"/>
      </w:pPr>
      <w:r>
        <w:rPr>
          <w:rFonts w:ascii="Arial" w:cs="Arial" w:eastAsia="Arial" w:hAnsi="Arial"/>
          <w:b/>
          <w:bCs/>
          <w:color w:val="1C2833"/>
          <w:sz w:val="26"/>
          <w:szCs w:val="26"/>
        </w:rPr>
        <w:t xml:space="preserve">4.2 Roadmap de Expansión Geográfica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Fase</w:t>
            </w:r>
          </w:p>
        </w:tc>
        <w:tc>
          <w:tcPr>
            <w:tcW w:type="dxa" w:w="360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Mercado</w:t>
            </w:r>
          </w:p>
        </w:tc>
        <w:tc>
          <w:tcPr>
            <w:tcW w:type="dxa" w:w="3960"/>
            <w:tcBorders>
              <w:top w:val="single" w:color="00838F" w:sz="1"/>
              <w:left w:val="single" w:color="00838F" w:sz="1"/>
              <w:bottom w:val="single" w:color="00838F" w:sz="1"/>
              <w:right w:val="single" w:color="00838F" w:sz="1"/>
            </w:tcBorders>
            <w:shd w:fill="00838F" w:val="clear"/>
            <w:tcMar>
              <w:top w:type="dxa" w:w="100"/>
              <w:left w:type="dxa" w:w="120"/>
              <w:bottom w:type="dxa" w:w="100"/>
              <w:right w:type="dxa" w:w="120"/>
            </w:tcMar>
          </w:tcPr>
          <w:p>
            <w:r>
              <w:rPr>
                <w:rFonts w:ascii="Arial" w:cs="Arial" w:eastAsia="Arial" w:hAnsi="Arial"/>
                <w:b/>
                <w:bCs/>
                <w:color w:val="FFFFFF"/>
                <w:sz w:val="21"/>
                <w:szCs w:val="21"/>
              </w:rPr>
              <w:t xml:space="preserve">Palanca</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Fase 1 (Actual)</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Ecuador completo</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Motor físico calibrado para altitud andina; base de cargadores nacional</w:t>
            </w:r>
          </w:p>
        </w:tc>
      </w:tr>
      <w:tr>
        <w:tc>
          <w:tcPr>
            <w:tcW w:type="dxa" w:w="1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Fase 2 (2027)</w:t>
            </w:r>
          </w:p>
        </w:tc>
        <w:tc>
          <w:tcPr>
            <w:tcW w:type="dxa" w:w="3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Perú y Colombia</w:t>
            </w:r>
          </w:p>
        </w:tc>
        <w:tc>
          <w:tcPr>
            <w:tcW w:type="dxa" w:w="39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Replicar modelo con datos de cargadores locales; misma altimetría andina</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Fase 3 (2028)</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LATAM andina</w:t>
            </w:r>
          </w:p>
        </w:tc>
        <w:tc>
          <w:tcPr>
            <w:tcW w:type="dxa" w:w="3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C2833"/>
                <w:sz w:val="21"/>
                <w:szCs w:val="21"/>
              </w:rPr>
              <w:t xml:space="preserve">Bolivia, Chile — condiciones geográficas similares; fabricantes ya presentes</w:t>
            </w:r>
          </w:p>
        </w:tc>
      </w:tr>
      <w:tr>
        <w:tc>
          <w:tcPr>
            <w:tcW w:type="dxa" w:w="18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Fase 4 (Long term)</w:t>
            </w:r>
          </w:p>
        </w:tc>
        <w:tc>
          <w:tcPr>
            <w:tcW w:type="dxa" w:w="360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LATAM completa</w:t>
            </w:r>
          </w:p>
        </w:tc>
        <w:tc>
          <w:tcPr>
            <w:tcW w:type="dxa" w:w="3960"/>
            <w:tcBorders>
              <w:top w:val="single" w:color="B0BEC5" w:sz="1"/>
              <w:left w:val="single" w:color="B0BEC5" w:sz="1"/>
              <w:bottom w:val="single" w:color="B0BEC5" w:sz="1"/>
              <w:right w:val="single" w:color="B0BEC5" w:sz="1"/>
            </w:tcBorders>
            <w:shd w:fill="E0F4F6" w:val="clear"/>
            <w:tcMar>
              <w:top w:type="dxa" w:w="80"/>
              <w:left w:type="dxa" w:w="120"/>
              <w:bottom w:type="dxa" w:w="80"/>
              <w:right w:type="dxa" w:w="120"/>
            </w:tcMar>
          </w:tcPr>
          <w:p>
            <w:r>
              <w:rPr>
                <w:rFonts w:ascii="Arial" w:cs="Arial" w:eastAsia="Arial" w:hAnsi="Arial"/>
                <w:color w:val="1C2833"/>
                <w:sz w:val="21"/>
                <w:szCs w:val="21"/>
              </w:rPr>
              <w:t xml:space="preserve">Brasil, México, Argentina — requiere adaptación a nuevas redes de carga</w:t>
            </w:r>
          </w:p>
        </w:tc>
      </w:tr>
    </w:tbl>
    <w:p>
      <w:pPr>
        <w:spacing w:after="160" w:before="0"/>
      </w:pPr>
      <w:r>
        <w:t xml:space="preserve"/>
      </w:r>
    </w:p>
    <w:p>
      <w:pPr>
        <w:pStyle w:val="Heading2"/>
        <w:spacing w:after="120" w:before="280"/>
      </w:pPr>
      <w:r>
        <w:rPr>
          <w:rFonts w:ascii="Arial" w:cs="Arial" w:eastAsia="Arial" w:hAnsi="Arial"/>
          <w:b/>
          <w:bCs/>
          <w:color w:val="1C2833"/>
          <w:sz w:val="26"/>
          <w:szCs w:val="26"/>
        </w:rPr>
        <w:t xml:space="preserve">4.3 Premium para Usuarios Avanzados (Futuro)</w:t>
      </w:r>
    </w:p>
    <w:p>
      <w:pPr>
        <w:spacing w:after="100" w:before="60"/>
      </w:pPr>
      <w:r>
        <w:rPr>
          <w:rFonts w:ascii="Arial" w:cs="Arial" w:eastAsia="Arial" w:hAnsi="Arial"/>
          <w:color w:val="1C2833"/>
          <w:sz w:val="22"/>
          <w:szCs w:val="22"/>
        </w:rPr>
        <w:t xml:space="preserve">Cuando la base de usuarios sea suficientemente grande, se puede introducir un nivel premium opcional (sin quitar nada a la experiencia gratuita):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Función Premium</w:t>
            </w:r>
          </w:p>
        </w:tc>
        <w:tc>
          <w:tcPr>
            <w:tcW w:type="dxa" w:w="536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Propuesta de valor</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Dashboard de ahorro mensual</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Comparativa de gasto en electricidad vs. gasolina equivalente</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Modo offline (PWA)</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Ruta y mapa descargados para zonas sin cobertura 4G en montaña</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Perfil de batería y degradación</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Tracking de capacidad real vs. capacidad original del vehículo</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Planificación anticipada multi-día</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Road trips con múltiples cargadores y tiempos de espera estimados</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Alertas de nuevos cargadores</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Notificación push cuando se instala una nueva estación en sus rutas frecuentes</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Exportar historial de viajes</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PDF/CSV para reembolsos de empresa o declaración de impuestos</w:t>
            </w:r>
          </w:p>
        </w:tc>
      </w:tr>
    </w:tbl>
    <w:p>
      <w:pPr>
        <w:spacing w:after="80" w:before="0"/>
      </w:pPr>
      <w:r>
        <w:t xml:space="preserve"/>
      </w:r>
    </w:p>
    <w:p>
      <w:pPr>
        <w:spacing w:after="100" w:before="60"/>
      </w:pPr>
      <w:r>
        <w:rPr>
          <w:rFonts w:ascii="Arial" w:cs="Arial" w:eastAsia="Arial" w:hAnsi="Arial"/>
          <w:color w:val="1C2833"/>
          <w:sz w:val="22"/>
          <w:szCs w:val="22"/>
        </w:rPr>
        <w:t xml:space="preserve">Precio estimado: USD 3.99–6.99/mes o USD 35–59/año. Estas funciones no son necesarias para el uso básico, evitando alienar a la base gratuita.</w:t>
      </w:r>
    </w:p>
    <w:p>
      <w:pPr>
        <w:pStyle w:val="Heading1"/>
        <w:pageBreakBefore/>
      </w:pPr>
      <w:r>
        <w:rPr>
          <w:rFonts w:ascii="Arial" w:cs="Arial" w:eastAsia="Arial" w:hAnsi="Arial"/>
          <w:b/>
          <w:bCs/>
          <w:color w:val="1A7A4A"/>
          <w:sz w:val="34"/>
          <w:szCs w:val="34"/>
        </w:rPr>
        <w:t xml:space="preserve">5. Retroalimentación de Datos al Producto</w:t>
      </w:r>
    </w:p>
    <w:p>
      <w:pPr>
        <w:pBdr>
          <w:bottom w:val="single" w:color="1A7A4A" w:sz="4" w:space="1"/>
        </w:pBdr>
        <w:spacing w:after="160" w:before="80"/>
      </w:pPr>
      <w:r>
        <w:t xml:space="preserve"/>
      </w:r>
    </w:p>
    <w:p>
      <w:pPr>
        <w:spacing w:after="100" w:before="60"/>
      </w:pPr>
      <w:r>
        <w:rPr>
          <w:rFonts w:ascii="Arial" w:cs="Arial" w:eastAsia="Arial" w:hAnsi="Arial"/>
          <w:color w:val="1C2833"/>
          <w:sz w:val="22"/>
          <w:szCs w:val="22"/>
        </w:rPr>
        <w:t xml:space="preserve">Los datos recopilados no solo generan ingresos externos: también mejoran el producto directamente, creando una ventaja competitiva difícil de replicar.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Dato recopilado</w:t>
            </w:r>
          </w:p>
        </w:tc>
        <w:tc>
          <w:tcPr>
            <w:tcW w:type="dxa" w:w="536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Mejora directa al producto</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Consumo real vs. estimado por ruta</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Recalibración automática del motor de energía (energy-core.ts) con datos reales de Ecuador</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Estado de cargadores (crowdsourcing)</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Filtro de cargadores disponibles en tiempo real al planificar rutas; Índice de Tranquilidad más preciso</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Rutas más frecuentes</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Pre-cálculo de rutas populares para respuesta instantánea; caché de elevación predictivo</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SoC de salida más frecuente por usuario</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Sugerencia automática de SoC en la interfaz ("usualmente partes con 70%")</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Check-ins en cargadores</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Estimación de tiempo de espera por estación basada en frecuencia de visitas</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Modelos de vehículo y antigüedad</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Ajuste de degradación de batería en el cálculo; rango estimado más realista para autos usados</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Rutas fallidas (sin cargadores suficientes)</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Dashboard interno de demanda insatisfecha para priorizar qué cargadores agregar a la BD</w:t>
            </w:r>
          </w:p>
        </w:tc>
      </w:tr>
    </w:tbl>
    <w:p>
      <w:pPr>
        <w:pStyle w:val="Heading1"/>
        <w:pageBreakBefore/>
      </w:pPr>
      <w:r>
        <w:rPr>
          <w:rFonts w:ascii="Arial" w:cs="Arial" w:eastAsia="Arial" w:hAnsi="Arial"/>
          <w:b/>
          <w:bCs/>
          <w:color w:val="1A7A4A"/>
          <w:sz w:val="34"/>
          <w:szCs w:val="34"/>
        </w:rPr>
        <w:t xml:space="preserve">6. Métricas Clave de Sostenibilidad</w:t>
      </w:r>
    </w:p>
    <w:p>
      <w:pPr>
        <w:pBdr>
          <w:bottom w:val="single" w:color="1A7A4A" w:sz="4" w:space="1"/>
        </w:pBdr>
        <w:spacing w:after="160" w:before="80"/>
      </w:pPr>
      <w:r>
        <w:t xml:space="preserve"/>
      </w:r>
    </w:p>
    <w:p>
      <w:pPr>
        <w:spacing w:after="100" w:before="60"/>
      </w:pPr>
      <w:r>
        <w:rPr>
          <w:rFonts w:ascii="Arial" w:cs="Arial" w:eastAsia="Arial" w:hAnsi="Arial"/>
          <w:color w:val="1C2833"/>
          <w:sz w:val="22"/>
          <w:szCs w:val="22"/>
        </w:rPr>
        <w:t xml:space="preserve">Las métricas de negocio deben monitorearse en dos dimensiones: crecimiento de la base de usuarios (que impulsa el valor de los datos) y conversión B2B.</w:t>
      </w:r>
    </w:p>
    <w:p>
      <w:pPr>
        <w:spacing w:after="80" w:before="0"/>
      </w:pPr>
      <w:r>
        <w:t xml:space="preserve"/>
      </w:r>
    </w:p>
    <w:p>
      <w:pPr>
        <w:pStyle w:val="Heading2"/>
        <w:spacing w:after="120" w:before="280"/>
      </w:pPr>
      <w:r>
        <w:rPr>
          <w:rFonts w:ascii="Arial" w:cs="Arial" w:eastAsia="Arial" w:hAnsi="Arial"/>
          <w:b/>
          <w:bCs/>
          <w:color w:val="1C2833"/>
          <w:sz w:val="26"/>
          <w:szCs w:val="26"/>
        </w:rPr>
        <w:t xml:space="preserve">6.1 Métricas de Producto (Producto →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KPI</w:t>
            </w:r>
          </w:p>
        </w:tc>
        <w:tc>
          <w:tcPr>
            <w:tcW w:type="dxa" w:w="536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Objetivo / Umbral</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Usuarios activos mensuales (MAU)</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&gt;5,000 MAU para negociar con fabricantes</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Viajes planificados / mes</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&gt;15,000 para datos estadísticamente significativos por modelo</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Tasa de registro (anónimo → cuenta)</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&gt;30% conversión — cuenta = datos con vehicle_id vinculado</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Tasa de trip guardado</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&gt;60% viajes guardados en BD post-planificación</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Reportes de cargadores / semana</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&gt;50 reportes/semana = red activa de crowdsourcing</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Modelos EV representados en datos</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&gt;15 modelos con &gt;100 viajes = paquetes de datos por modelo</w:t>
            </w:r>
          </w:p>
        </w:tc>
      </w:tr>
    </w:tbl>
    <w:p>
      <w:pPr>
        <w:spacing w:after="120" w:before="0"/>
      </w:pPr>
      <w:r>
        <w:t xml:space="preserve"/>
      </w:r>
    </w:p>
    <w:p>
      <w:pPr>
        <w:pStyle w:val="Heading2"/>
        <w:spacing w:after="120" w:before="280"/>
      </w:pPr>
      <w:r>
        <w:rPr>
          <w:rFonts w:ascii="Arial" w:cs="Arial" w:eastAsia="Arial" w:hAnsi="Arial"/>
          <w:b/>
          <w:bCs/>
          <w:color w:val="1C2833"/>
          <w:sz w:val="26"/>
          <w:szCs w:val="26"/>
        </w:rPr>
        <w:t xml:space="preserve">6.2 Métricas de Negocio (B2B →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KPI</w:t>
            </w:r>
          </w:p>
        </w:tc>
        <w:tc>
          <w:tcPr>
            <w:tcW w:type="dxa" w:w="5360"/>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Objetivo</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Clientes B2B activos</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3 fabricantes + 5 operadores de carga en Año 1</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MRR (Monthly Recurring Revenue)</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USD 5,000 MRR en Año 1; USD 20,000 en Año 2</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Churn B2B</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&lt;10% anual — datos son críticos para sus operaciones</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NPS de operadores (plataforma SaaS)</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&gt;40 — satisfacción con dashboard de gestión</w:t>
            </w:r>
          </w:p>
        </w:tc>
      </w:tr>
      <w:tr>
        <w:tc>
          <w:tcPr>
            <w:tcW w:type="dxa" w:w="40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Contratos de flota corporativa</w:t>
            </w:r>
          </w:p>
        </w:tc>
        <w:tc>
          <w:tcPr>
            <w:tcW w:type="dxa" w:w="536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color w:val="1C2833"/>
                <w:sz w:val="21"/>
                <w:szCs w:val="21"/>
              </w:rPr>
              <w:t xml:space="preserve">2 contratos de flota (&gt;10 vehículos) en primer año</w:t>
            </w:r>
          </w:p>
        </w:tc>
      </w:tr>
      <w:tr>
        <w:tc>
          <w:tcPr>
            <w:tcW w:type="dxa" w:w="400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Costo de adquisición B2B (CAC)</w:t>
            </w:r>
          </w:p>
        </w:tc>
        <w:tc>
          <w:tcPr>
            <w:tcW w:type="dxa" w:w="5360"/>
            <w:tcBorders>
              <w:top w:val="single" w:color="B0BEC5" w:sz="1"/>
              <w:left w:val="single" w:color="B0BEC5" w:sz="1"/>
              <w:bottom w:val="single" w:color="B0BEC5" w:sz="1"/>
              <w:right w:val="single" w:color="B0BEC5" w:sz="1"/>
            </w:tcBorders>
            <w:shd w:fill="ECEFF1" w:val="clear"/>
            <w:tcMar>
              <w:top w:type="dxa" w:w="80"/>
              <w:left w:type="dxa" w:w="160"/>
              <w:bottom w:type="dxa" w:w="80"/>
              <w:right w:type="dxa" w:w="160"/>
            </w:tcMar>
          </w:tcPr>
          <w:p>
            <w:r>
              <w:rPr>
                <w:rFonts w:ascii="Arial" w:cs="Arial" w:eastAsia="Arial" w:hAnsi="Arial"/>
                <w:color w:val="1C2833"/>
                <w:sz w:val="21"/>
                <w:szCs w:val="21"/>
              </w:rPr>
              <w:t xml:space="preserve">&lt;USD 500 por cliente (venta consultiva directa)</w:t>
            </w:r>
          </w:p>
        </w:tc>
      </w:tr>
    </w:tbl>
    <w:p>
      <w:pPr>
        <w:pStyle w:val="Heading1"/>
        <w:pageBreakBefore/>
      </w:pPr>
      <w:r>
        <w:rPr>
          <w:rFonts w:ascii="Arial" w:cs="Arial" w:eastAsia="Arial" w:hAnsi="Arial"/>
          <w:b/>
          <w:bCs/>
          <w:color w:val="1A7A4A"/>
          <w:sz w:val="34"/>
          <w:szCs w:val="34"/>
        </w:rPr>
        <w:t xml:space="preserve">7. Síntesis del Modelo de Negocio</w:t>
      </w:r>
    </w:p>
    <w:p>
      <w:pPr>
        <w:pBdr>
          <w:bottom w:val="single" w:color="1A7A4A" w:sz="4" w:space="1"/>
        </w:pBdr>
        <w:spacing w:after="160" w:before="80"/>
      </w:pPr>
      <w:r>
        <w:t xml:space="preserve"/>
      </w:r>
    </w:p>
    <w:p>
      <w:pPr>
        <w:spacing w:after="100" w:before="60"/>
      </w:pPr>
      <w:r>
        <w:rPr>
          <w:rFonts w:ascii="Arial" w:cs="Arial" w:eastAsia="Arial" w:hAnsi="Arial"/>
          <w:color w:val="1C2833"/>
          <w:sz w:val="22"/>
          <w:szCs w:val="22"/>
        </w:rPr>
        <w:t xml:space="preserve">ChargeWay está posicionado como la única fuente de datos de movilidad eléctrica calibrada para las condiciones geográficas extremas de Ecuador. Este es un activo que ningún competidor puede replicar sin años de operación.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A7A4A" w:sz="1"/>
              <w:left w:val="single" w:color="1A7A4A" w:sz="1"/>
              <w:bottom w:val="single" w:color="1A7A4A" w:sz="1"/>
              <w:right w:val="single" w:color="1A7A4A" w:sz="1"/>
            </w:tcBorders>
            <w:shd w:fill="1A7A4A" w:val="clear"/>
            <w:tcMar>
              <w:top w:type="dxa" w:w="120"/>
              <w:left w:type="dxa" w:w="160"/>
              <w:bottom w:type="dxa" w:w="120"/>
              <w:right w:type="dxa" w:w="160"/>
            </w:tcMar>
          </w:tcPr>
          <w:p>
            <w:r>
              <w:rPr>
                <w:rFonts w:ascii="Arial" w:cs="Arial" w:eastAsia="Arial" w:hAnsi="Arial"/>
                <w:b/>
                <w:bCs/>
                <w:color w:val="FFFFFF"/>
                <w:sz w:val="20"/>
                <w:szCs w:val="20"/>
              </w:rPr>
              <w:t xml:space="preserve">Pilar</w:t>
            </w:r>
          </w:p>
        </w:tc>
        <w:tc>
          <w:tcPr>
            <w:tcW w:type="dxa" w:w="3580"/>
            <w:tcBorders>
              <w:top w:val="single" w:color="1A7A4A" w:sz="1"/>
              <w:left w:val="single" w:color="1A7A4A" w:sz="1"/>
              <w:bottom w:val="single" w:color="1A7A4A" w:sz="1"/>
              <w:right w:val="single" w:color="1A7A4A" w:sz="1"/>
            </w:tcBorders>
            <w:shd w:fill="1A7A4A" w:val="clear"/>
            <w:tcMar>
              <w:top w:type="dxa" w:w="120"/>
              <w:left w:type="dxa" w:w="160"/>
              <w:bottom w:type="dxa" w:w="120"/>
              <w:right w:type="dxa" w:w="160"/>
            </w:tcMar>
          </w:tcPr>
          <w:p>
            <w:r>
              <w:rPr>
                <w:rFonts w:ascii="Arial" w:cs="Arial" w:eastAsia="Arial" w:hAnsi="Arial"/>
                <w:b/>
                <w:bCs/>
                <w:color w:val="FFFFFF"/>
                <w:sz w:val="20"/>
                <w:szCs w:val="20"/>
              </w:rPr>
              <w:t xml:space="preserve">Horizonte</w:t>
            </w:r>
          </w:p>
        </w:tc>
        <w:tc>
          <w:tcPr>
            <w:tcW w:type="dxa" w:w="3580"/>
            <w:tcBorders>
              <w:top w:val="single" w:color="1A7A4A" w:sz="1"/>
              <w:left w:val="single" w:color="1A7A4A" w:sz="1"/>
              <w:bottom w:val="single" w:color="1A7A4A" w:sz="1"/>
              <w:right w:val="single" w:color="1A7A4A" w:sz="1"/>
            </w:tcBorders>
            <w:shd w:fill="1A7A4A" w:val="clear"/>
            <w:tcMar>
              <w:top w:type="dxa" w:w="120"/>
              <w:left w:type="dxa" w:w="160"/>
              <w:bottom w:type="dxa" w:w="120"/>
              <w:right w:type="dxa" w:w="160"/>
            </w:tcMar>
          </w:tcPr>
          <w:p>
            <w:r>
              <w:rPr>
                <w:rFonts w:ascii="Arial" w:cs="Arial" w:eastAsia="Arial" w:hAnsi="Arial"/>
                <w:b/>
                <w:bCs/>
                <w:color w:val="FFFFFF"/>
                <w:sz w:val="20"/>
                <w:szCs w:val="20"/>
              </w:rPr>
              <w:t xml:space="preserve">Ingreso estimado año 1</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Acceso gratuito (B2C)</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Permanente</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USD 0 directo — construye el activo de datos</w:t>
            </w:r>
          </w:p>
        </w:tc>
      </w:tr>
      <w:tr>
        <w:tc>
          <w:tcPr>
            <w:tcW w:type="dxa" w:w="220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bCs/>
                <w:color w:val="1C2833"/>
                <w:sz w:val="20"/>
                <w:szCs w:val="20"/>
              </w:rPr>
              <w:t xml:space="preserve">Datos a fabricantes EV</w:t>
            </w:r>
          </w:p>
        </w:tc>
        <w:tc>
          <w:tcPr>
            <w:tcW w:type="dxa" w:w="358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val="false"/>
                <w:bCs w:val="false"/>
                <w:color w:val="1C2833"/>
                <w:sz w:val="20"/>
                <w:szCs w:val="20"/>
              </w:rPr>
              <w:t xml:space="preserve">Inmediato</w:t>
            </w:r>
          </w:p>
        </w:tc>
        <w:tc>
          <w:tcPr>
            <w:tcW w:type="dxa" w:w="358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val="false"/>
                <w:bCs w:val="false"/>
                <w:color w:val="1C2833"/>
                <w:sz w:val="20"/>
                <w:szCs w:val="20"/>
              </w:rPr>
              <w:t xml:space="preserve">USD 15,000–36,000 / año (2–3 clientes)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SaaS operadores de carga</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Inmediato</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USD 3,000–12,000 / año (10–20 estaciones)</w:t>
            </w:r>
          </w:p>
        </w:tc>
      </w:tr>
      <w:tr>
        <w:tc>
          <w:tcPr>
            <w:tcW w:type="dxa" w:w="220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bCs/>
                <w:color w:val="1C2833"/>
                <w:sz w:val="20"/>
                <w:szCs w:val="20"/>
              </w:rPr>
              <w:t xml:space="preserve">Flotas corporativas</w:t>
            </w:r>
          </w:p>
        </w:tc>
        <w:tc>
          <w:tcPr>
            <w:tcW w:type="dxa" w:w="358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val="false"/>
                <w:bCs w:val="false"/>
                <w:color w:val="1C2833"/>
                <w:sz w:val="20"/>
                <w:szCs w:val="20"/>
              </w:rPr>
              <w:t xml:space="preserve">Año 1–2</w:t>
            </w:r>
          </w:p>
        </w:tc>
        <w:tc>
          <w:tcPr>
            <w:tcW w:type="dxa" w:w="358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val="false"/>
                <w:bCs w:val="false"/>
                <w:color w:val="1C2833"/>
                <w:sz w:val="20"/>
                <w:szCs w:val="20"/>
              </w:rPr>
              <w:t xml:space="preserve">USD 5,400–18,000 / año (2–3 flotas)</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Sector público / academia</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Año 1–2</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USD 1,000–10,000 por contrato puntual</w:t>
            </w:r>
          </w:p>
        </w:tc>
      </w:tr>
      <w:tr>
        <w:tc>
          <w:tcPr>
            <w:tcW w:type="dxa" w:w="220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bCs/>
                <w:color w:val="1C2833"/>
                <w:sz w:val="20"/>
                <w:szCs w:val="20"/>
              </w:rPr>
              <w:t xml:space="preserve">Partners y afiliados</w:t>
            </w:r>
          </w:p>
        </w:tc>
        <w:tc>
          <w:tcPr>
            <w:tcW w:type="dxa" w:w="358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val="false"/>
                <w:bCs w:val="false"/>
                <w:color w:val="1C2833"/>
                <w:sz w:val="20"/>
                <w:szCs w:val="20"/>
              </w:rPr>
              <w:t xml:space="preserve">Año 2</w:t>
            </w:r>
          </w:p>
        </w:tc>
        <w:tc>
          <w:tcPr>
            <w:tcW w:type="dxa" w:w="3580"/>
            <w:tcBorders>
              <w:top w:val="single" w:color="B0BEC5" w:sz="1"/>
              <w:left w:val="single" w:color="B0BEC5" w:sz="1"/>
              <w:bottom w:val="single" w:color="B0BEC5" w:sz="1"/>
              <w:right w:val="single" w:color="B0BEC5" w:sz="1"/>
            </w:tcBorders>
            <w:shd w:fill="E8F5EE" w:val="clear"/>
            <w:tcMar>
              <w:top w:type="dxa" w:w="80"/>
              <w:left w:type="dxa" w:w="160"/>
              <w:bottom w:type="dxa" w:w="80"/>
              <w:right w:type="dxa" w:w="160"/>
            </w:tcMar>
          </w:tcPr>
          <w:p>
            <w:r>
              <w:rPr>
                <w:rFonts w:ascii="Arial" w:cs="Arial" w:eastAsia="Arial" w:hAnsi="Arial"/>
                <w:b w:val="false"/>
                <w:bCs w:val="false"/>
                <w:color w:val="1C2833"/>
                <w:sz w:val="20"/>
                <w:szCs w:val="20"/>
              </w:rPr>
              <w:t xml:space="preserve">USD 2,000–8,000 / año inicial</w:t>
            </w:r>
          </w:p>
        </w:tc>
      </w:tr>
      <w:tr>
        <w:tc>
          <w:tcPr>
            <w:tcW w:type="dxa" w:w="220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bCs/>
                <w:color w:val="1C2833"/>
                <w:sz w:val="20"/>
                <w:szCs w:val="20"/>
              </w:rPr>
              <w:t xml:space="preserve">Premium usuarios (futuro)</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Año 2–3</w:t>
            </w:r>
          </w:p>
        </w:tc>
        <w:tc>
          <w:tcPr>
            <w:tcW w:type="dxa" w:w="3580"/>
            <w:tcBorders>
              <w:top w:val="single" w:color="B0BEC5" w:sz="1"/>
              <w:left w:val="single" w:color="B0BEC5" w:sz="1"/>
              <w:bottom w:val="single" w:color="B0BEC5" w:sz="1"/>
              <w:right w:val="single" w:color="B0BEC5" w:sz="1"/>
            </w:tcBorders>
            <w:shd w:fill="FFFFFF" w:val="clear"/>
            <w:tcMar>
              <w:top w:type="dxa" w:w="80"/>
              <w:left w:type="dxa" w:w="160"/>
              <w:bottom w:type="dxa" w:w="80"/>
              <w:right w:type="dxa" w:w="160"/>
            </w:tcMar>
          </w:tcPr>
          <w:p>
            <w:r>
              <w:rPr>
                <w:rFonts w:ascii="Arial" w:cs="Arial" w:eastAsia="Arial" w:hAnsi="Arial"/>
                <w:b w:val="false"/>
                <w:bCs w:val="false"/>
                <w:color w:val="1C2833"/>
                <w:sz w:val="20"/>
                <w:szCs w:val="20"/>
              </w:rPr>
              <w:t xml:space="preserve">USD 5,000–20,000 / año según base</w:t>
            </w:r>
          </w:p>
        </w:tc>
      </w:tr>
    </w:tbl>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7A4A" w:sz="1"/>
              <w:left w:val="single" w:color="1A7A4A" w:sz="12"/>
              <w:bottom w:val="single" w:color="1A7A4A" w:sz="1"/>
              <w:right w:val="single" w:color="1A7A4A" w:sz="1"/>
            </w:tcBorders>
            <w:shd w:fill="E8F5EE" w:val="clear"/>
            <w:tcMar>
              <w:top w:type="dxa" w:w="160"/>
              <w:left w:type="dxa" w:w="200"/>
              <w:bottom w:type="dxa" w:w="160"/>
              <w:right w:type="dxa" w:w="200"/>
            </w:tcMar>
          </w:tcPr>
          <w:p>
            <w:r>
              <w:rPr>
                <w:rFonts w:ascii="Arial" w:cs="Arial" w:eastAsia="Arial" w:hAnsi="Arial"/>
                <w:i/>
                <w:iCs/>
                <w:color w:val="1C2833"/>
                <w:sz w:val="21"/>
                <w:szCs w:val="21"/>
              </w:rPr>
              <w:t xml:space="preserve">Potencial total Año 1: USD 26,000–84,000 / año (USD 2,200–7,000 MRR), escalando a USD 100,000+ en Año 2 con expansión de clientes B2B y lanzamiento de flotas corporativas. La base de usuarios gratuitos es el moat competitivo: sin datos reales de Ecuador, ningún competidor puede ofrecer el mismo valor de inteligencia.</w:t>
            </w:r>
          </w:p>
        </w:tc>
      </w:tr>
    </w:tbl>
    <w:p>
      <w:pPr>
        <w:spacing w:after="120" w:before="0"/>
      </w:pPr>
      <w:r>
        <w:t xml:space="preserve"/>
      </w:r>
    </w:p>
    <w:p>
      <w:pPr>
        <w:spacing w:after="100" w:before="60"/>
      </w:pPr>
      <w:r>
        <w:rPr>
          <w:rFonts w:ascii="Arial" w:cs="Arial" w:eastAsia="Arial" w:hAnsi="Arial"/>
          <w:b/>
          <w:bCs/>
          <w:color w:val="1C2833"/>
          <w:sz w:val="22"/>
          <w:szCs w:val="22"/>
        </w:rPr>
        <w:t xml:space="preserve">Principios que sostienen el modelo:</w:t>
      </w:r>
    </w:p>
    <w:p>
      <w:pPr>
        <w:pStyle w:val="ListParagraph"/>
        <w:numPr>
          <w:ilvl w:val="0"/>
          <w:numId w:val="2"/>
        </w:numPr>
        <w:spacing w:after="60" w:before="40"/>
      </w:pPr>
      <w:r>
        <w:rPr>
          <w:rFonts w:ascii="Arial" w:cs="Arial" w:eastAsia="Arial" w:hAnsi="Arial"/>
          <w:color w:val="1C2833"/>
          <w:sz w:val="22"/>
          <w:szCs w:val="22"/>
        </w:rPr>
        <w:t xml:space="preserve">Los conductores nunca pagan — la plataforma crece por utilidad, no por obligación</w:t>
      </w:r>
    </w:p>
    <w:p>
      <w:pPr>
        <w:pStyle w:val="ListParagraph"/>
        <w:numPr>
          <w:ilvl w:val="0"/>
          <w:numId w:val="2"/>
        </w:numPr>
        <w:spacing w:after="60" w:before="40"/>
      </w:pPr>
      <w:r>
        <w:rPr>
          <w:rFonts w:ascii="Arial" w:cs="Arial" w:eastAsia="Arial" w:hAnsi="Arial"/>
          <w:color w:val="1C2833"/>
          <w:sz w:val="22"/>
          <w:szCs w:val="22"/>
        </w:rPr>
        <w:t xml:space="preserve">Los datos son el producto — cada viaje guardado aumenta el valor de la plataforma</w:t>
      </w:r>
    </w:p>
    <w:p>
      <w:pPr>
        <w:pStyle w:val="ListParagraph"/>
        <w:numPr>
          <w:ilvl w:val="0"/>
          <w:numId w:val="2"/>
        </w:numPr>
        <w:spacing w:after="60" w:before="40"/>
      </w:pPr>
      <w:r>
        <w:rPr>
          <w:rFonts w:ascii="Arial" w:cs="Arial" w:eastAsia="Arial" w:hAnsi="Arial"/>
          <w:color w:val="1C2833"/>
          <w:sz w:val="22"/>
          <w:szCs w:val="22"/>
        </w:rPr>
        <w:t xml:space="preserve">El motor de energía físico es la diferenciación técnica — no es replicable con datos sintéticos</w:t>
      </w:r>
    </w:p>
    <w:p>
      <w:pPr>
        <w:pStyle w:val="ListParagraph"/>
        <w:numPr>
          <w:ilvl w:val="0"/>
          <w:numId w:val="2"/>
        </w:numPr>
        <w:spacing w:after="60" w:before="40"/>
      </w:pPr>
      <w:r>
        <w:rPr>
          <w:rFonts w:ascii="Arial" w:cs="Arial" w:eastAsia="Arial" w:hAnsi="Arial"/>
          <w:color w:val="1C2833"/>
          <w:sz w:val="22"/>
          <w:szCs w:val="22"/>
        </w:rPr>
        <w:t xml:space="preserve">Ecuador primero — el conocimiento profundo del mercado local es la barrera de entrada</w:t>
      </w:r>
    </w:p>
    <w:p>
      <w:pPr>
        <w:pStyle w:val="ListParagraph"/>
        <w:numPr>
          <w:ilvl w:val="0"/>
          <w:numId w:val="2"/>
        </w:numPr>
        <w:spacing w:after="60" w:before="40"/>
      </w:pPr>
      <w:r>
        <w:rPr>
          <w:rFonts w:ascii="Arial" w:cs="Arial" w:eastAsia="Arial" w:hAnsi="Arial"/>
          <w:color w:val="1C2833"/>
          <w:sz w:val="22"/>
          <w:szCs w:val="22"/>
        </w:rPr>
        <w:t xml:space="preserve">B2B primero — los ingresos B2B financian el mantenimiento y crecimiento de la plataforma gratuita</w:t>
      </w:r>
    </w:p>
    <w:p>
      <w:pPr>
        <w:spacing w:after="200" w:before="0"/>
      </w:pPr>
      <w:r>
        <w:t xml:space="preserve"/>
      </w:r>
    </w:p>
    <w:p>
      <w:pPr>
        <w:pBdr>
          <w:top w:val="single" w:color="1A7A4A" w:sz="4"/>
        </w:pBdr>
        <w:spacing w:after="80" w:before="160"/>
        <w:jc w:val="center"/>
      </w:pPr>
      <w:r>
        <w:rPr>
          <w:rFonts w:ascii="Arial" w:cs="Arial" w:eastAsia="Arial" w:hAnsi="Arial"/>
          <w:i/>
          <w:iCs/>
          <w:color w:val="455A64"/>
          <w:sz w:val="20"/>
          <w:szCs w:val="20"/>
        </w:rPr>
        <w:t xml:space="preserve">ChargeWay  —  Drive with Electric Tranquility</w:t>
      </w:r>
    </w:p>
    <w:p>
      <w:pPr>
        <w:jc w:val="center"/>
      </w:pPr>
      <w:r>
        <w:rPr>
          <w:rFonts w:ascii="Arial" w:cs="Arial" w:eastAsia="Arial" w:hAnsi="Arial"/>
          <w:color w:val="B0BEC5"/>
          <w:sz w:val="18"/>
          <w:szCs w:val="18"/>
        </w:rPr>
        <w:t xml:space="preserve">Documento preparado con análisis de código fuente y base de datos  |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space="1"/>
      </w:pBdr>
      <w:spacing w:after="0" w:before="80"/>
    </w:pPr>
    <w:r>
      <w:rPr>
        <w:rFonts w:ascii="Arial" w:cs="Arial" w:eastAsia="Arial" w:hAnsi="Arial"/>
        <w:color w:val="B0BEC5"/>
        <w:sz w:val="18"/>
        <w:szCs w:val="18"/>
      </w:rPr>
      <w:t xml:space="preserve">Confidencial  —  Página </w:t>
    </w:r>
    <w:r>
      <w:rPr>
        <w:rFonts w:ascii="Arial" w:cs="Arial" w:eastAsia="Arial" w:hAnsi="Arial"/>
        <w:color w:val="455A64"/>
        <w:sz w:val="18"/>
        <w:szCs w:val="18"/>
      </w:rPr>
      <w:fldChar w:fldCharType="begin"/>
      <w:instrText xml:space="preserve">PAGE</w:instrText>
      <w:fldChar w:fldCharType="separate"/>
      <w:fldChar w:fldCharType="end"/>
    </w:r>
    <w:r>
      <w:rPr>
        <w:rFonts w:ascii="Arial" w:cs="Arial" w:eastAsia="Arial" w:hAnsi="Arial"/>
        <w:color w:val="B0BEC5"/>
        <w:sz w:val="18"/>
        <w:szCs w:val="18"/>
      </w:rPr>
      <w:t xml:space="preserve"> de </w:t>
    </w:r>
    <w:r>
      <w:rPr>
        <w:rFonts w:ascii="Arial" w:cs="Arial" w:eastAsia="Arial" w:hAnsi="Arial"/>
        <w:color w:val="455A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spacing w:after="120" w:before="0"/>
    </w:pPr>
    <w:r>
      <w:rPr>
        <w:rFonts w:ascii="Arial" w:cs="Arial" w:eastAsia="Arial" w:hAnsi="Arial"/>
        <w:color w:val="455A64"/>
        <w:sz w:val="18"/>
        <w:szCs w:val="18"/>
      </w:rPr>
      <w:t xml:space="preserve">ChargeWay  |  Modelo de Negocio Sostenible</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7A4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C283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55A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2026-06-23T13:51:34.937Z</dcterms:created>
  <dcterms:modified xsi:type="dcterms:W3CDTF">2026-06-23T13:51:34.937Z</dcterms:modified>
</cp:coreProperties>
</file>

<file path=docProps/custom.xml><?xml version="1.0" encoding="utf-8"?>
<Properties xmlns="http://schemas.openxmlformats.org/officeDocument/2006/custom-properties" xmlns:vt="http://schemas.openxmlformats.org/officeDocument/2006/docPropsVTypes"/>
</file>