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60"/>
        <w:gridCol w:w="1230"/>
        <w:gridCol w:w="1155"/>
        <w:tblGridChange w:id="0">
          <w:tblGrid>
            <w:gridCol w:w="930"/>
            <w:gridCol w:w="2040"/>
            <w:gridCol w:w="3435"/>
            <w:gridCol w:w="1260"/>
            <w:gridCol w:w="1230"/>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rtl w:val="0"/>
              </w:rPr>
              <w:t xml:space="preserve">With an asset such as cash funds there is always the likelihood of a security event given the assets desirability. Of the potential threats listed they include both internal and external threat factors. Almost all potential threats listed could occur as a result of human error.</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