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before="0" w:line="276" w:lineRule="auto"/>
        <w:ind w:left="0" w:firstLine="0"/>
        <w:rPr>
          <w:i w:val="1"/>
        </w:rPr>
      </w:pPr>
      <w:r w:rsidDel="00000000" w:rsidR="00000000" w:rsidRPr="00000000">
        <w:rPr>
          <w:rtl w:val="0"/>
        </w:rPr>
      </w:r>
    </w:p>
    <w:p w:rsidR="00000000" w:rsidDel="00000000" w:rsidP="00000000" w:rsidRDefault="00000000" w:rsidRPr="00000000" w14:paraId="0000000A">
      <w:pPr>
        <w:spacing w:before="0" w:line="276" w:lineRule="auto"/>
        <w:rPr/>
      </w:pPr>
      <w:r w:rsidDel="00000000" w:rsidR="00000000" w:rsidRPr="00000000">
        <w:rPr>
          <w:rtl w:val="0"/>
        </w:rPr>
        <w:t xml:space="preserve">The server is routinely used by company employees to query relevant information to find new clients for the business. If the server were to become compromised or taken offline the business could suffer stalled productivity resulting in a loss of revenue as well as a loss of brand recognition and trust which could impact future business opportunities. Additionally, given the business’ remote working environment and employees accessing the server from around the world the business could be subject to litigation or reprimand if found in violation of international data protection laws, such as the GDPR.</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3405"/>
        <w:gridCol w:w="1395"/>
        <w:gridCol w:w="1320"/>
        <w:gridCol w:w="1110"/>
        <w:tblGridChange w:id="0">
          <w:tblGrid>
            <w:gridCol w:w="2070"/>
            <w:gridCol w:w="340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E.g. 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Hacker/Hacktivist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Obtain sensitive information unrelated to job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bl>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3">
      <w:pPr>
        <w:rPr/>
      </w:pPr>
      <w:r w:rsidDel="00000000" w:rsidR="00000000" w:rsidRPr="00000000">
        <w:rPr>
          <w:rtl w:val="0"/>
        </w:rPr>
        <w:t xml:space="preserve">Utilizing the NIST SP 800-30 Rev. 1 as a reference guide and narrowing the assessment to remain within the scope of access control systems the risks outlined in the risk assessment are most likely to be human by nature. Data within the database is accessible to anyone with knowledge of its existence. The threat of hackers/hacktivists is likely and could hold serious consequences to the business such as failure to comply with data privacy laws, ransomware attacks, exposure of sensitive information and the loss of brand trust. Additionally, unrestricted access to employees could result in sensitive data being exposed, misused (intentionally or unintentionally) and could violate data privacy regulations.</w:t>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