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PROSELIGN</w:t>
      </w:r>
    </w:p>
    <w:p>
      <w:pPr>
        <w:pStyle w:val="Subtitle"/>
      </w:pPr>
      <w:r>
        <w:t>Local-first, author-conditioned prose transformation</w:t>
      </w:r>
    </w:p>
    <w:p>
      <w:pPr>
        <w:pStyle w:val="SmallNote"/>
      </w:pPr>
      <w:r>
        <w:t>Project design and implementation recommendations  |  Version 0.1  |  29 October 2026</w:t>
      </w:r>
    </w:p>
    <w:p>
      <w:pPr>
        <w:pStyle w:val="SmallNote"/>
      </w:pPr>
      <w:r>
        <w:t>Project: https://proselign.org    Repository: https://github.com/bceverly/proselign    License: BSD 3-Clause</w:t>
      </w:r>
    </w:p>
    <w:p>
      <w:pPr>
        <w:pStyle w:val="Heading1"/>
      </w:pPr>
      <w:r>
        <w:t>Executive summary</w:t>
      </w:r>
    </w:p>
    <w:p>
      <w:r>
        <w:t>Proselign is a local-first, Unix-native tool that learns an individual writer’s characteristic prose style from a document corpus and applies that style to new text while preserving the source text’s factual content, intent, and structure. Its signature interface is a standard input/output pipeline:</w:t>
      </w:r>
    </w:p>
    <w:p>
      <w:pPr>
        <w:pStyle w:val="CodeSample"/>
      </w:pPr>
      <w:r>
        <w:t>cat foo.txt | proselign --voice Bryan &gt; bar.txt</w:t>
      </w:r>
    </w:p>
    <w:p>
      <w:r>
        <w:t>The recommended initial product is not a separately trained LLM for every author. It is a small, portable, versioned “voice” composed of a structured writing-style profile, representative reference excerpts, and searchable embeddings. An interchangeable locally served instruction model rewrites text under explicit fidelity constraints. Optional per-author LoRA adapters may come later if empirical evaluation shows that retrieval and profiles are insufficient.</w:t>
      </w:r>
    </w:p>
    <w:p>
      <w:pPr>
        <w:pStyle w:val="Heading1"/>
      </w:pPr>
      <w:r>
        <w:t>1. Product principles</w:t>
      </w:r>
    </w:p>
    <w:p>
      <w:pPr>
        <w:pStyle w:val="ListBullet"/>
      </w:pPr>
      <w:r>
        <w:t>Unix-first: stdin to stdout, diagnostics to stderr, predictable exit status, composability with shell tools.</w:t>
      </w:r>
    </w:p>
    <w:p>
      <w:pPr>
        <w:pStyle w:val="ListBullet"/>
      </w:pPr>
      <w:r>
        <w:t>Local-first: ingestion, embedding, inference and storage operate without network access once dependencies/model weights are installed.</w:t>
      </w:r>
    </w:p>
    <w:p>
      <w:pPr>
        <w:pStyle w:val="ListBullet"/>
      </w:pPr>
      <w:r>
        <w:t>Meaning first: preserve facts, dates, names, citations, numbers, quoted material and author intent.</w:t>
      </w:r>
    </w:p>
    <w:p>
      <w:pPr>
        <w:pStyle w:val="ListBullet"/>
      </w:pPr>
      <w:r>
        <w:t>Voice as portable data: versioned profiles independent of a particular model vendor or runtime.</w:t>
      </w:r>
    </w:p>
    <w:p>
      <w:pPr>
        <w:pStyle w:val="ListBullet"/>
      </w:pPr>
      <w:r>
        <w:t>Transparent and testable: expose configuration, provenance, verification results and reproducible benchmarks.</w:t>
      </w:r>
    </w:p>
    <w:p>
      <w:pPr>
        <w:pStyle w:val="ListBullet"/>
      </w:pPr>
      <w:r>
        <w:t>Privacy and consent: users control what is ingested, stored, exported, and shared; avoid secretly imitating third parties.</w:t>
      </w:r>
    </w:p>
    <w:p>
      <w:pPr>
        <w:pStyle w:val="ListBullet"/>
      </w:pPr>
      <w:r>
        <w:t>Permissive open source: BSD 3-Clause for project code, with clear disclosures of separate third-party model and library licenses.</w:t>
      </w:r>
    </w:p>
    <w:p>
      <w:pPr>
        <w:pStyle w:val="Heading1"/>
      </w:pPr>
      <w:r>
        <w:t>2. Intended users and use cases</w:t>
      </w:r>
    </w:p>
    <w:p>
      <w:r>
        <w:t>Primary users: engineers, researchers, attorneys, consultants, and teams merging drafts from multiple contributors into one consistent authorial style. Typical inputs include plain text, Markdown, technical notes, emails and reports. Initial release must explicitly target written prose, not synthetic speech or speaker audio. Preserve Markdown and technical constructs rather than “beautifying” them without permission.</w:t>
      </w:r>
    </w:p>
    <w:p>
      <w:pPr>
        <w:pStyle w:val="Heading1"/>
      </w:pPr>
      <w:r>
        <w:t>3. User experience and CLI contract</w:t>
      </w:r>
    </w:p>
    <w:p>
      <w:pPr>
        <w:pStyle w:val="CodeSample"/>
      </w:pPr>
      <w:r>
        <w:t># Learn a voice from a collection of documents</w:t>
      </w:r>
    </w:p>
    <w:p>
      <w:pPr>
        <w:pStyle w:val="CodeSample"/>
      </w:pPr>
      <w:r>
        <w:t>proselign train --voice Bryan ~/Documents/Writing/</w:t>
      </w:r>
    </w:p>
    <w:p>
      <w:pPr>
        <w:pStyle w:val="CodeSample"/>
      </w:pPr>
      <w:r>
        <w:t># Add examples incrementally</w:t>
      </w:r>
    </w:p>
    <w:p>
      <w:pPr>
        <w:pStyle w:val="CodeSample"/>
      </w:pPr>
      <w:r>
        <w:t>proselign train --voice Bryan --append ~/Documents/New/</w:t>
      </w:r>
    </w:p>
    <w:p>
      <w:pPr>
        <w:pStyle w:val="CodeSample"/>
      </w:pPr>
      <w:r>
        <w:t># Rewrite text; stdout contains the transformed text ONLY</w:t>
      </w:r>
    </w:p>
    <w:p>
      <w:pPr>
        <w:pStyle w:val="CodeSample"/>
      </w:pPr>
      <w:r>
        <w:t>cat foo.txt | proselign --voice Bryan &gt; bar.txt</w:t>
      </w:r>
    </w:p>
    <w:p>
      <w:pPr>
        <w:pStyle w:val="CodeSample"/>
      </w:pPr>
      <w:r>
        <w:t># Equivalent shell redirection</w:t>
      </w:r>
    </w:p>
    <w:p>
      <w:pPr>
        <w:pStyle w:val="CodeSample"/>
      </w:pPr>
      <w:r>
        <w:t>proselign --voice Bryan &lt; foo.txt &gt; bar.txt</w:t>
      </w:r>
    </w:p>
    <w:p>
      <w:pPr>
        <w:pStyle w:val="CodeSample"/>
      </w:pPr>
      <w:r>
        <w:t># Manage voices</w:t>
      </w:r>
    </w:p>
    <w:p>
      <w:pPr>
        <w:pStyle w:val="CodeSample"/>
      </w:pPr>
      <w:r>
        <w:t>proselign voices</w:t>
      </w:r>
    </w:p>
    <w:p>
      <w:pPr>
        <w:pStyle w:val="CodeSample"/>
      </w:pPr>
      <w:r>
        <w:t>proselign inspect Bryan</w:t>
      </w:r>
    </w:p>
    <w:p>
      <w:pPr>
        <w:pStyle w:val="CodeSample"/>
      </w:pPr>
      <w:r>
        <w:t>proselign export Bryan --output Bryan.proselign</w:t>
      </w:r>
    </w:p>
    <w:p>
      <w:pPr>
        <w:pStyle w:val="CodeSample"/>
      </w:pPr>
      <w:r>
        <w:t>proselign import Bryan.proselign</w:t>
      </w:r>
    </w:p>
    <w:p>
      <w:r>
        <w:t>Proposed additional flags: --strength 0.0..1.0; --format text|markdown; --preserve-structure; --strict; --model; --offline; --seed; --max-chunk-tokens; --config; --json-diagnostics (stderr). Reserve “train” for the user-friendly ingestion command, while documenting the distinction between profile construction and neural fine-tuning. Consider a separate “finetune” command later.</w:t>
      </w:r>
    </w:p>
    <w:p>
      <w:pPr>
        <w:pStyle w:val="Heading1"/>
      </w:pPr>
      <w:r>
        <w:t>4. Architecture at a glance</w:t>
      </w:r>
    </w:p>
    <w:p>
      <w:pPr>
        <w:pStyle w:val="CodeSample"/>
      </w:pPr>
      <w:r>
        <w:t>TRAIN: documents -&gt; extraction -&gt; normalization/deduplication -&gt; style analysis</w:t>
      </w:r>
    </w:p>
    <w:p>
      <w:pPr>
        <w:pStyle w:val="CodeSample"/>
      </w:pPr>
      <w:r>
        <w:t xml:space="preserve">       -&gt; structured profile + curated samples + embeddings -&gt; voice package</w:t>
      </w:r>
    </w:p>
    <w:p>
      <w:pPr>
        <w:pStyle w:val="CodeSample"/>
      </w:pPr>
      <w:r>
        <w:t>RUN:   stdin -&gt; parser/chunker -&gt; select voice -&gt; retrieve genre-matched examples</w:t>
      </w:r>
    </w:p>
    <w:p>
      <w:pPr>
        <w:pStyle w:val="CodeSample"/>
      </w:pPr>
      <w:r>
        <w:t xml:space="preserve">       -&gt; local LLM -&gt; validation (optional repair) -&gt; stdout</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vAlign w:val="center"/>
          </w:tcPr>
          <w:p>
            <w:r>
              <w:t>Subsystem</w:t>
            </w:r>
          </w:p>
        </w:tc>
        <w:tc>
          <w:tcPr>
            <w:tcW w:type="dxa" w:w="3235"/>
            <w:vAlign w:val="center"/>
          </w:tcPr>
          <w:p>
            <w:r>
              <w:t>Recommended implementation</w:t>
            </w:r>
          </w:p>
        </w:tc>
        <w:tc>
          <w:tcPr>
            <w:tcW w:type="dxa" w:w="3235"/>
            <w:vAlign w:val="center"/>
          </w:tcPr>
          <w:p>
            <w:r>
              <w:t>Rationale</w:t>
            </w:r>
          </w:p>
        </w:tc>
      </w:tr>
      <w:tr>
        <w:tc>
          <w:tcPr>
            <w:tcW w:type="dxa" w:w="3235"/>
            <w:vAlign w:val="center"/>
          </w:tcPr>
          <w:p>
            <w:r>
              <w:t>CLI / orchestration</w:t>
            </w:r>
          </w:p>
        </w:tc>
        <w:tc>
          <w:tcPr>
            <w:tcW w:type="dxa" w:w="3235"/>
            <w:vAlign w:val="center"/>
          </w:tcPr>
          <w:p>
            <w:r>
              <w:t>Python 3.12+; Typer or argparse</w:t>
            </w:r>
          </w:p>
        </w:tc>
        <w:tc>
          <w:tcPr>
            <w:tcW w:type="dxa" w:w="3235"/>
            <w:vAlign w:val="center"/>
          </w:tcPr>
          <w:p>
            <w:r>
              <w:t>Mature ML/document ecosystem; quick iteration</w:t>
            </w:r>
          </w:p>
        </w:tc>
      </w:tr>
      <w:tr>
        <w:tc>
          <w:tcPr>
            <w:tcW w:type="dxa" w:w="3235"/>
            <w:vAlign w:val="center"/>
          </w:tcPr>
          <w:p>
            <w:r>
              <w:t>Inference abstraction</w:t>
            </w:r>
          </w:p>
        </w:tc>
        <w:tc>
          <w:tcPr>
            <w:tcW w:type="dxa" w:w="3235"/>
            <w:vAlign w:val="center"/>
          </w:tcPr>
          <w:p>
            <w:r>
              <w:t>OpenAI-compatible local endpoint, llama.cpp, vLLM</w:t>
            </w:r>
          </w:p>
        </w:tc>
        <w:tc>
          <w:tcPr>
            <w:tcW w:type="dxa" w:w="3235"/>
            <w:vAlign w:val="center"/>
          </w:tcPr>
          <w:p>
            <w:r>
              <w:t>Engine-independent design and GGUF support</w:t>
            </w:r>
          </w:p>
        </w:tc>
      </w:tr>
      <w:tr>
        <w:tc>
          <w:tcPr>
            <w:tcW w:type="dxa" w:w="3235"/>
            <w:vAlign w:val="center"/>
          </w:tcPr>
          <w:p>
            <w:r>
              <w:t>Author analysis</w:t>
            </w:r>
          </w:p>
        </w:tc>
        <w:tc>
          <w:tcPr>
            <w:tcW w:type="dxa" w:w="3235"/>
            <w:vAlign w:val="center"/>
          </w:tcPr>
          <w:p>
            <w:r>
              <w:t>Instruction-tuned local LLM + statistical features</w:t>
            </w:r>
          </w:p>
        </w:tc>
        <w:tc>
          <w:tcPr>
            <w:tcW w:type="dxa" w:w="3235"/>
            <w:vAlign w:val="center"/>
          </w:tcPr>
          <w:p>
            <w:r>
              <w:t>Separates objective measurements from interpretive judgments</w:t>
            </w:r>
          </w:p>
        </w:tc>
      </w:tr>
      <w:tr>
        <w:tc>
          <w:tcPr>
            <w:tcW w:type="dxa" w:w="3235"/>
            <w:vAlign w:val="center"/>
          </w:tcPr>
          <w:p>
            <w:r>
              <w:t>Embeddings</w:t>
            </w:r>
          </w:p>
        </w:tc>
        <w:tc>
          <w:tcPr>
            <w:tcW w:type="dxa" w:w="3235"/>
            <w:vAlign w:val="center"/>
          </w:tcPr>
          <w:p>
            <w:r>
              <w:t>Small local text-embedding model</w:t>
            </w:r>
          </w:p>
        </w:tc>
        <w:tc>
          <w:tcPr>
            <w:tcW w:type="dxa" w:w="3235"/>
            <w:vAlign w:val="center"/>
          </w:tcPr>
          <w:p>
            <w:r>
              <w:t>Retrieve stylistically suitable examples</w:t>
            </w:r>
          </w:p>
        </w:tc>
      </w:tr>
      <w:tr>
        <w:tc>
          <w:tcPr>
            <w:tcW w:type="dxa" w:w="3235"/>
            <w:vAlign w:val="center"/>
          </w:tcPr>
          <w:p>
            <w:r>
              <w:t>Storage</w:t>
            </w:r>
          </w:p>
        </w:tc>
        <w:tc>
          <w:tcPr>
            <w:tcW w:type="dxa" w:w="3235"/>
            <w:vAlign w:val="center"/>
          </w:tcPr>
          <w:p>
            <w:r>
              <w:t>SQLite + sqlite-vec (or equivalent)</w:t>
            </w:r>
          </w:p>
        </w:tc>
        <w:tc>
          <w:tcPr>
            <w:tcW w:type="dxa" w:w="3235"/>
            <w:vAlign w:val="center"/>
          </w:tcPr>
          <w:p>
            <w:r>
              <w:t>One local database with no external service</w:t>
            </w:r>
          </w:p>
        </w:tc>
      </w:tr>
      <w:tr>
        <w:tc>
          <w:tcPr>
            <w:tcW w:type="dxa" w:w="3235"/>
            <w:vAlign w:val="center"/>
          </w:tcPr>
          <w:p>
            <w:r>
              <w:t>Document parsing</w:t>
            </w:r>
          </w:p>
        </w:tc>
        <w:tc>
          <w:tcPr>
            <w:tcW w:type="dxa" w:w="3235"/>
            <w:vAlign w:val="center"/>
          </w:tcPr>
          <w:p>
            <w:r>
              <w:t>TXT/MD first, PDF/DOCX optional extras</w:t>
            </w:r>
          </w:p>
        </w:tc>
        <w:tc>
          <w:tcPr>
            <w:tcW w:type="dxa" w:w="3235"/>
            <w:vAlign w:val="center"/>
          </w:tcPr>
          <w:p>
            <w:r>
              <w:t>Avoid mixing format extraction concerns with core rewrite</w:t>
            </w:r>
          </w:p>
        </w:tc>
      </w:tr>
      <w:tr>
        <w:tc>
          <w:tcPr>
            <w:tcW w:type="dxa" w:w="3235"/>
            <w:vAlign w:val="center"/>
          </w:tcPr>
          <w:p>
            <w:r>
              <w:t>Fine-tuning (future)</w:t>
            </w:r>
          </w:p>
        </w:tc>
        <w:tc>
          <w:tcPr>
            <w:tcW w:type="dxa" w:w="3235"/>
            <w:vAlign w:val="center"/>
          </w:tcPr>
          <w:p>
            <w:r>
              <w:t>PEFT/LoRA optional</w:t>
            </w:r>
          </w:p>
        </w:tc>
        <w:tc>
          <w:tcPr>
            <w:tcW w:type="dxa" w:w="3235"/>
            <w:vAlign w:val="center"/>
          </w:tcPr>
          <w:p>
            <w:r>
              <w:t>Higher cost; only after benchmark benefit</w:t>
            </w:r>
          </w:p>
        </w:tc>
      </w:tr>
    </w:tbl>
    <w:p/>
    <w:p>
      <w:pPr>
        <w:pStyle w:val="Heading1"/>
      </w:pPr>
      <w:r>
        <w:t>5. Voice learning and corpus processing</w:t>
      </w:r>
    </w:p>
    <w:p>
      <w:r>
        <w:t>Pipeline stages: (1) inventory files and record type, hash and source; (2) extract text; (3) remove boilerplate, duplicates, quoted third-party material and obvious templates; (4) segment by section and genre; (5) compute stylometric measurements; (6) ask an LLM for an evidence-backed profile; (7) choose diverse, representative, permissioned examples; (8) generate embeddings; (9) version and save all derived artifacts.</w:t>
      </w:r>
    </w:p>
    <w:p>
      <w:r>
        <w:t>Capture measurable features such as sentence and paragraph length distributions, first-/second-person usage, contraction frequency, punctuation patterns, section organization, readability, passive constructions and preferred terminology. Keep quantitative features separate from heuristic LLM interpretations. Support different subprofiles by genre (technical memorandum, email, article, casual note) so casual email examples do not dominate a legal or engineering rewrite.</w:t>
      </w:r>
    </w:p>
    <w:p>
      <w:r>
        <w:t>Avoid treating arbitrary corpus text as trusted instructions. During ingestion, input documents are data, not system directives. Record provenance and allow an operator to exclude documents or passages from example retrieval.</w:t>
      </w:r>
    </w:p>
    <w:p>
      <w:pPr>
        <w:pStyle w:val="Heading1"/>
      </w:pPr>
      <w:r>
        <w:t>6. Persistent voice format</w:t>
      </w:r>
    </w:p>
    <w:p>
      <w:r>
        <w:t>A voice is a versioned archive, e.g., Bryan.proselign, containing a JSON manifest and style profile plus a local SQLite example/embedding database when authorized. By default, export may exclude raw source text and include only the derived profile; embedding-only exports should disclose that embeddings can still leak information. Make examples opt-in for portable sharing.</w:t>
      </w:r>
    </w:p>
    <w:p>
      <w:pPr>
        <w:pStyle w:val="CodeSample"/>
      </w:pPr>
      <w:r>
        <w:t>{</w:t>
      </w:r>
    </w:p>
    <w:p>
      <w:pPr>
        <w:pStyle w:val="CodeSample"/>
      </w:pPr>
      <w:r>
        <w:t xml:space="preserve">  "schema_version": 1,</w:t>
      </w:r>
    </w:p>
    <w:p>
      <w:pPr>
        <w:pStyle w:val="CodeSample"/>
      </w:pPr>
      <w:r>
        <w:t xml:space="preserve">  "voice_id": "bryan",</w:t>
      </w:r>
    </w:p>
    <w:p>
      <w:pPr>
        <w:pStyle w:val="CodeSample"/>
      </w:pPr>
      <w:r>
        <w:t xml:space="preserve">  "display_name": "Bryan",</w:t>
      </w:r>
    </w:p>
    <w:p>
      <w:pPr>
        <w:pStyle w:val="CodeSample"/>
      </w:pPr>
      <w:r>
        <w:t xml:space="preserve">  "created_at": "2026-10-29T00:00:00Z",</w:t>
      </w:r>
    </w:p>
    <w:p>
      <w:pPr>
        <w:pStyle w:val="CodeSample"/>
      </w:pPr>
      <w:r>
        <w:t xml:space="preserve">  "analysis_model": "configured-local-model",</w:t>
      </w:r>
    </w:p>
    <w:p>
      <w:pPr>
        <w:pStyle w:val="CodeSample"/>
      </w:pPr>
      <w:r>
        <w:t xml:space="preserve">  "style": {</w:t>
      </w:r>
    </w:p>
    <w:p>
      <w:pPr>
        <w:pStyle w:val="CodeSample"/>
      </w:pPr>
      <w:r>
        <w:t xml:space="preserve">    "tone": ["direct", "technical", "conversational"],</w:t>
      </w:r>
    </w:p>
    <w:p>
      <w:pPr>
        <w:pStyle w:val="CodeSample"/>
      </w:pPr>
      <w:r>
        <w:t xml:space="preserve">    "formality": 0.65,</w:t>
      </w:r>
    </w:p>
    <w:p>
      <w:pPr>
        <w:pStyle w:val="CodeSample"/>
      </w:pPr>
      <w:r>
        <w:t xml:space="preserve">    "paragraphing": "compact",</w:t>
      </w:r>
    </w:p>
    <w:p>
      <w:pPr>
        <w:pStyle w:val="CodeSample"/>
      </w:pPr>
      <w:r>
        <w:t xml:space="preserve">    "preferred_patterns": ["concrete examples", "precise nouns"],</w:t>
      </w:r>
    </w:p>
    <w:p>
      <w:pPr>
        <w:pStyle w:val="CodeSample"/>
      </w:pPr>
      <w:r>
        <w:t xml:space="preserve">    "avoid_patterns": ["marketing hyperbole", "unnecessary preamble"]</w:t>
      </w:r>
    </w:p>
    <w:p>
      <w:pPr>
        <w:pStyle w:val="CodeSample"/>
      </w:pPr>
      <w:r>
        <w:t xml:space="preserve">  },</w:t>
      </w:r>
    </w:p>
    <w:p>
      <w:pPr>
        <w:pStyle w:val="CodeSample"/>
      </w:pPr>
      <w:r>
        <w:t xml:space="preserve">  "genre_profiles": {},</w:t>
      </w:r>
    </w:p>
    <w:p>
      <w:pPr>
        <w:pStyle w:val="CodeSample"/>
      </w:pPr>
      <w:r>
        <w:t xml:space="preserve">  "corpus_summary": {"documents": 0, "tokens_estimated": 0},</w:t>
      </w:r>
    </w:p>
    <w:p>
      <w:pPr>
        <w:pStyle w:val="CodeSample"/>
      </w:pPr>
      <w:r>
        <w:t xml:space="preserve">  "example_store": "examples.sqlite",</w:t>
      </w:r>
    </w:p>
    <w:p>
      <w:pPr>
        <w:pStyle w:val="CodeSample"/>
      </w:pPr>
      <w:r>
        <w:t xml:space="preserve">  "license_and_consent": {"raw_examples_exportable": false}</w:t>
      </w:r>
    </w:p>
    <w:p>
      <w:pPr>
        <w:pStyle w:val="CodeSample"/>
      </w:pPr>
      <w:r>
        <w:t>}</w:t>
      </w:r>
    </w:p>
    <w:p>
      <w:r>
        <w:t>Values shown above illustrate the schema, not a measured profile of any person. Additional fields should include source hashes, profile versions, embedding model identity and dimensionality, compatible inference settings, export policy, and migration history. Store profiles in a configurable XDG-compliant location (e.g., $XDG_DATA_HOME/proselign/).</w:t>
      </w:r>
    </w:p>
    <w:p>
      <w:pPr>
        <w:pStyle w:val="Heading1"/>
      </w:pPr>
      <w:r>
        <w:t>7. Retrieval strategy</w:t>
      </w:r>
    </w:p>
    <w:p>
      <w:r>
        <w:t>Use a hybrid ranker. Start with document-type and genre filtering, then vector similarity, then explicit style similarity and example diversity. Retrieve 3–8 short examples within the context budget, clearly delimited as untrusted reference text. Prefer examples demonstrating how the author expresses the relevant kind of argument, not examples selected solely for topical similarity. Never reuse quotations or confidential text from examples in the output unless the same material exists in the user input and is required.</w:t>
      </w:r>
    </w:p>
    <w:p>
      <w:pPr>
        <w:pStyle w:val="Heading1"/>
      </w:pPr>
      <w:r>
        <w:t>8. Models and runtime</w:t>
      </w:r>
    </w:p>
    <w:p>
      <w:r>
        <w:t>Initial benchmark candidates: Qwen-family instruction models in a lightweight (~9B) and quality-focused (~27B) configuration, and a Gemma-family alternative. Exact checkpoint names, licenses, compatibility and current releases should be checked when implementation begins; do not conflate open-weight availability with a uniform open-source license. The BSD 3-Clause license applies to Proselign source code, not automatically to downloaded model weights.</w:t>
      </w:r>
    </w:p>
    <w:p>
      <w:r>
        <w:t>A 4-bit quantized 27B-class model should be evaluated on a 32 GB-class GPU, subject to context length, backend overhead and throughput. Provide a smaller default for 12–16 GB cards and CPU-capable fallback where practical. Multiple GPUs are unnecessary for most single-document transformations but can improve throughput and allow concurrent generation/evaluation. Do not assume that larger models automatically win: evaluate style resemblance and meaning preservation with real samples.</w:t>
      </w:r>
    </w:p>
    <w:p>
      <w:r>
        <w:t>Support runtime profiles and a stable inference interface: load_model(), rewrite(prompt, params), count_tokens(), embed(text), health(). Prefer deterministic settings for reproducibility; stream only after deciding how strict validation will operate. When --strict is active, buffering and validating the whole chunk before output is safer than emitting irreversible streamed text.</w:t>
      </w:r>
    </w:p>
    <w:p>
      <w:pPr>
        <w:pStyle w:val="Heading1"/>
      </w:pPr>
      <w:r>
        <w:t>9. Prompt and transformation behavior</w:t>
      </w:r>
    </w:p>
    <w:p>
      <w:r>
        <w:t>Prompt hierarchy: trusted application instructions; normalized target style profile; explicitly delimited reference excerpts; transformation rules; original user content. Tell the model not to obey directives embedded in documents or examples. Direct it to preserve factual assertions, modality (“may” versus “will”), names, figures, equations, source references and quotations. Change phrasing, syntax, paragraph flow, and surface tone only. Preserve code fences, tables, URLs, citations and markup unless specifically asked otherwise.</w:t>
      </w:r>
    </w:p>
    <w:p>
      <w:r>
        <w:t>Treat --strength as a policy for degree of stylistic change, not as a guarantee of mathematically calibrated style. Expose --strict for stronger semantic checks and conservative rewriting. A user should be able to request minimal changes even where an author profile has strong mannerisms.</w:t>
      </w:r>
    </w:p>
    <w:p>
      <w:pPr>
        <w:pStyle w:val="Heading1"/>
      </w:pPr>
      <w:r>
        <w:t>10. Factual fidelity and validation</w:t>
      </w:r>
    </w:p>
    <w:p>
      <w:pPr>
        <w:pStyle w:val="ListBullet"/>
      </w:pPr>
      <w:r>
        <w:t>Preflight: identify protected spans (URLs, code, citations, numbers, names, equations, quoted text); mark structural blocks.</w:t>
      </w:r>
    </w:p>
    <w:p>
      <w:pPr>
        <w:pStyle w:val="ListBullet"/>
      </w:pPr>
      <w:r>
        <w:t>Postflight: assert preservation of protected tokens and Markdown/structured content where required.</w:t>
      </w:r>
    </w:p>
    <w:p>
      <w:pPr>
        <w:pStyle w:val="ListBullet"/>
      </w:pPr>
      <w:r>
        <w:t>Semantic checks: compare key claims and qualifiers, optionally with a separate verification model; report uncertainty rather than assert perfect equivalence.</w:t>
      </w:r>
    </w:p>
    <w:p>
      <w:pPr>
        <w:pStyle w:val="ListBullet"/>
      </w:pPr>
      <w:r>
        <w:t>Repair: retry a failed chunk with precise error feedback up to a bounded limit; in strict mode fail with nonzero status rather than silently emit a corrupted rewrite.</w:t>
      </w:r>
    </w:p>
    <w:p>
      <w:pPr>
        <w:pStyle w:val="ListBullet"/>
      </w:pPr>
      <w:r>
        <w:t>Diagnostics: use stderr and optional machine-readable reports; stdout remains clean.</w:t>
      </w:r>
    </w:p>
    <w:p>
      <w:pPr>
        <w:pStyle w:val="Heading1"/>
      </w:pPr>
      <w:r>
        <w:t>11. Long documents and streaming</w:t>
      </w:r>
    </w:p>
    <w:p>
      <w:r>
        <w:t>Split documents at semantic boundaries with token-aware limits and overlapping reference context, but avoid reprocessing the same output twice. A document-level plan may record target genre, tense, terminology and formatting conventions; each chunk then follows that plan. Preserve heading levels and numbering. Support incremental input when possible, but avoid promising real-time token output with semantic verification enabled.</w:t>
      </w:r>
    </w:p>
    <w:p>
      <w:pPr>
        <w:pStyle w:val="Heading1"/>
      </w:pPr>
      <w:r>
        <w:t>12. Quality evaluation</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vAlign w:val="center"/>
          </w:tcPr>
          <w:p>
            <w:r>
              <w:t>Dimension</w:t>
            </w:r>
          </w:p>
        </w:tc>
        <w:tc>
          <w:tcPr>
            <w:tcW w:type="dxa" w:w="3235"/>
            <w:vAlign w:val="center"/>
          </w:tcPr>
          <w:p>
            <w:r>
              <w:t>Metric / test</w:t>
            </w:r>
          </w:p>
        </w:tc>
        <w:tc>
          <w:tcPr>
            <w:tcW w:type="dxa" w:w="3235"/>
            <w:vAlign w:val="center"/>
          </w:tcPr>
          <w:p>
            <w:r>
              <w:t>Release expectation</w:t>
            </w:r>
          </w:p>
        </w:tc>
      </w:tr>
      <w:tr>
        <w:tc>
          <w:tcPr>
            <w:tcW w:type="dxa" w:w="3235"/>
            <w:vAlign w:val="center"/>
          </w:tcPr>
          <w:p>
            <w:r>
              <w:t>Author resemblance</w:t>
            </w:r>
          </w:p>
        </w:tc>
        <w:tc>
          <w:tcPr>
            <w:tcW w:type="dxa" w:w="3235"/>
            <w:vAlign w:val="center"/>
          </w:tcPr>
          <w:p>
            <w:r>
              <w:t>Blind human preference on held-out authentic author samples</w:t>
            </w:r>
          </w:p>
        </w:tc>
        <w:tc>
          <w:tcPr>
            <w:tcW w:type="dxa" w:w="3235"/>
            <w:vAlign w:val="center"/>
          </w:tcPr>
          <w:p>
            <w:r>
              <w:t>Improvement over generic rewrite baseline</w:t>
            </w:r>
          </w:p>
        </w:tc>
      </w:tr>
      <w:tr>
        <w:tc>
          <w:tcPr>
            <w:tcW w:type="dxa" w:w="3235"/>
            <w:vAlign w:val="center"/>
          </w:tcPr>
          <w:p>
            <w:r>
              <w:t>Semantic fidelity</w:t>
            </w:r>
          </w:p>
        </w:tc>
        <w:tc>
          <w:tcPr>
            <w:tcW w:type="dxa" w:w="3235"/>
            <w:vAlign w:val="center"/>
          </w:tcPr>
          <w:p>
            <w:r>
              <w:t>Protected-span checks; claim-level entailment review</w:t>
            </w:r>
          </w:p>
        </w:tc>
        <w:tc>
          <w:tcPr>
            <w:tcW w:type="dxa" w:w="3235"/>
            <w:vAlign w:val="center"/>
          </w:tcPr>
          <w:p>
            <w:r>
              <w:t>No known material changes in strict-mode test suite</w:t>
            </w:r>
          </w:p>
        </w:tc>
      </w:tr>
      <w:tr>
        <w:tc>
          <w:tcPr>
            <w:tcW w:type="dxa" w:w="3235"/>
            <w:vAlign w:val="center"/>
          </w:tcPr>
          <w:p>
            <w:r>
              <w:t>Structural fidelity</w:t>
            </w:r>
          </w:p>
        </w:tc>
        <w:tc>
          <w:tcPr>
            <w:tcW w:type="dxa" w:w="3235"/>
            <w:vAlign w:val="center"/>
          </w:tcPr>
          <w:p>
            <w:r>
              <w:t>Markdown/JSON/code fence and citation preservation</w:t>
            </w:r>
          </w:p>
        </w:tc>
        <w:tc>
          <w:tcPr>
            <w:tcW w:type="dxa" w:w="3235"/>
            <w:vAlign w:val="center"/>
          </w:tcPr>
          <w:p>
            <w:r>
              <w:t>Deterministic regression fixtures</w:t>
            </w:r>
          </w:p>
        </w:tc>
      </w:tr>
      <w:tr>
        <w:tc>
          <w:tcPr>
            <w:tcW w:type="dxa" w:w="3235"/>
            <w:vAlign w:val="center"/>
          </w:tcPr>
          <w:p>
            <w:r>
              <w:t>Privacy and leakage</w:t>
            </w:r>
          </w:p>
        </w:tc>
        <w:tc>
          <w:tcPr>
            <w:tcW w:type="dxa" w:w="3235"/>
            <w:vAlign w:val="center"/>
          </w:tcPr>
          <w:p>
            <w:r>
              <w:t>Canary examples; corpus memorization checks</w:t>
            </w:r>
          </w:p>
        </w:tc>
        <w:tc>
          <w:tcPr>
            <w:tcW w:type="dxa" w:w="3235"/>
            <w:vAlign w:val="center"/>
          </w:tcPr>
          <w:p>
            <w:r>
              <w:t>No unintended retrieval leakage in test set</w:t>
            </w:r>
          </w:p>
        </w:tc>
      </w:tr>
      <w:tr>
        <w:tc>
          <w:tcPr>
            <w:tcW w:type="dxa" w:w="3235"/>
            <w:vAlign w:val="center"/>
          </w:tcPr>
          <w:p>
            <w:r>
              <w:t>Operational quality</w:t>
            </w:r>
          </w:p>
        </w:tc>
        <w:tc>
          <w:tcPr>
            <w:tcW w:type="dxa" w:w="3235"/>
            <w:vAlign w:val="center"/>
          </w:tcPr>
          <w:p>
            <w:r>
              <w:t>Latency, throughput, VRAM and CPU footprint</w:t>
            </w:r>
          </w:p>
        </w:tc>
        <w:tc>
          <w:tcPr>
            <w:tcW w:type="dxa" w:w="3235"/>
            <w:vAlign w:val="center"/>
          </w:tcPr>
          <w:p>
            <w:r>
              <w:t>Documented reference hardware</w:t>
            </w:r>
          </w:p>
        </w:tc>
      </w:tr>
      <w:tr>
        <w:tc>
          <w:tcPr>
            <w:tcW w:type="dxa" w:w="3235"/>
            <w:vAlign w:val="center"/>
          </w:tcPr>
          <w:p>
            <w:r>
              <w:t>Reproducibility</w:t>
            </w:r>
          </w:p>
        </w:tc>
        <w:tc>
          <w:tcPr>
            <w:tcW w:type="dxa" w:w="3235"/>
            <w:vAlign w:val="center"/>
          </w:tcPr>
          <w:p>
            <w:r>
              <w:t>Pinned model revisions; seed/config export</w:t>
            </w:r>
          </w:p>
        </w:tc>
        <w:tc>
          <w:tcPr>
            <w:tcW w:type="dxa" w:w="3235"/>
            <w:vAlign w:val="center"/>
          </w:tcPr>
          <w:p>
            <w:r>
              <w:t>Comparable local runs</w:t>
            </w:r>
          </w:p>
        </w:tc>
      </w:tr>
    </w:tbl>
    <w:p/>
    <w:p>
      <w:r>
        <w:t>Use a held-out corpus: no passages from the evaluation set in training or RAG. Include controls: no voice profile, profile only, profile + examples, optional LoRA. Human reviewers should judge author resemblance without being told which output came from which system. An LLM judge may assist, but must not be the only measure.</w:t>
      </w:r>
    </w:p>
    <w:p>
      <w:pPr>
        <w:pStyle w:val="Heading1"/>
      </w:pPr>
      <w:r>
        <w:t>13. Security, privacy and responsible use</w:t>
      </w:r>
    </w:p>
    <w:p>
      <w:pPr>
        <w:pStyle w:val="ListBullet"/>
      </w:pPr>
      <w:r>
        <w:t>Default to no external network calls and no telemetry. Opt-in model downloads must be clearly disclosed.</w:t>
      </w:r>
    </w:p>
    <w:p>
      <w:pPr>
        <w:pStyle w:val="ListBullet"/>
      </w:pPr>
      <w:r>
        <w:t>Document ingestion may encounter confidential, privileged, personal, or copyrighted text; enforce explicit user-selected directories and permissions.</w:t>
      </w:r>
    </w:p>
    <w:p>
      <w:pPr>
        <w:pStyle w:val="ListBullet"/>
      </w:pPr>
      <w:r>
        <w:t>Never execute instructions, shell commands, links or macros embedded in ingested material.</w:t>
      </w:r>
    </w:p>
    <w:p>
      <w:pPr>
        <w:pStyle w:val="ListBullet"/>
      </w:pPr>
      <w:r>
        <w:t>Provide voice deletion, source exclusion, index rebuilding and an export summary explaining what data leaves the machine.</w:t>
      </w:r>
    </w:p>
    <w:p>
      <w:pPr>
        <w:pStyle w:val="ListBullet"/>
      </w:pPr>
      <w:r>
        <w:t>Treat impersonation and attribution seriously: document intended use, consent, and an option to mark generated output as AI-assisted where appropriate.</w:t>
      </w:r>
    </w:p>
    <w:p>
      <w:pPr>
        <w:pStyle w:val="ListBullet"/>
      </w:pPr>
      <w:r>
        <w:t>Avoid loading arbitrary pickle or remotely supplied executable artifacts from a voice archive; validate paths and archive sizes.</w:t>
      </w:r>
    </w:p>
    <w:p>
      <w:pPr>
        <w:pStyle w:val="ListBullet"/>
      </w:pPr>
      <w:r>
        <w:t>Consider optional encryption-at-rest and secure deletion guidance, while explaining SQLite/WAL and backups may retain copies.</w:t>
      </w:r>
    </w:p>
    <w:p>
      <w:pPr>
        <w:pStyle w:val="Heading1"/>
      </w:pPr>
      <w:r>
        <w:t>14. Project layout and development process</w:t>
      </w:r>
    </w:p>
    <w:p>
      <w:pPr>
        <w:pStyle w:val="CodeSample"/>
      </w:pPr>
      <w:r>
        <w:t>proselign/</w:t>
      </w:r>
    </w:p>
    <w:p>
      <w:pPr>
        <w:pStyle w:val="CodeSample"/>
      </w:pPr>
      <w:r>
        <w:t xml:space="preserve">  LICENSE                 # BSD 3-Clause</w:t>
      </w:r>
    </w:p>
    <w:p>
      <w:pPr>
        <w:pStyle w:val="CodeSample"/>
      </w:pPr>
      <w:r>
        <w:t xml:space="preserve">  README.md</w:t>
      </w:r>
    </w:p>
    <w:p>
      <w:pPr>
        <w:pStyle w:val="CodeSample"/>
      </w:pPr>
      <w:r>
        <w:t xml:space="preserve">  pyproject.toml</w:t>
      </w:r>
    </w:p>
    <w:p>
      <w:pPr>
        <w:pStyle w:val="CodeSample"/>
      </w:pPr>
      <w:r>
        <w:t xml:space="preserve">  src/proselign/</w:t>
      </w:r>
    </w:p>
    <w:p>
      <w:pPr>
        <w:pStyle w:val="CodeSample"/>
      </w:pPr>
      <w:r>
        <w:t xml:space="preserve">    cli.py</w:t>
      </w:r>
    </w:p>
    <w:p>
      <w:pPr>
        <w:pStyle w:val="CodeSample"/>
      </w:pPr>
      <w:r>
        <w:t xml:space="preserve">    config.py</w:t>
      </w:r>
    </w:p>
    <w:p>
      <w:pPr>
        <w:pStyle w:val="CodeSample"/>
      </w:pPr>
      <w:r>
        <w:t xml:space="preserve">    ingest/               # extract, normalize, chunk</w:t>
      </w:r>
    </w:p>
    <w:p>
      <w:pPr>
        <w:pStyle w:val="CodeSample"/>
      </w:pPr>
      <w:r>
        <w:t xml:space="preserve">    voice/                # profile, registry, package, migrations</w:t>
      </w:r>
    </w:p>
    <w:p>
      <w:pPr>
        <w:pStyle w:val="CodeSample"/>
      </w:pPr>
      <w:r>
        <w:t xml:space="preserve">    retrieval/            # embeddings, ranking, storage</w:t>
      </w:r>
    </w:p>
    <w:p>
      <w:pPr>
        <w:pStyle w:val="CodeSample"/>
      </w:pPr>
      <w:r>
        <w:t xml:space="preserve">    inference/            # backend adapters</w:t>
      </w:r>
    </w:p>
    <w:p>
      <w:pPr>
        <w:pStyle w:val="CodeSample"/>
      </w:pPr>
      <w:r>
        <w:t xml:space="preserve">    rewrite/              # prompting, formatting, verification</w:t>
      </w:r>
    </w:p>
    <w:p>
      <w:pPr>
        <w:pStyle w:val="CodeSample"/>
      </w:pPr>
      <w:r>
        <w:t xml:space="preserve">  tests/                  # unit, CLI, fixtures, integration</w:t>
      </w:r>
    </w:p>
    <w:p>
      <w:pPr>
        <w:pStyle w:val="CodeSample"/>
      </w:pPr>
      <w:r>
        <w:t xml:space="preserve">  benchmarks/             # held-out evaluation framework</w:t>
      </w:r>
    </w:p>
    <w:p>
      <w:pPr>
        <w:pStyle w:val="CodeSample"/>
      </w:pPr>
      <w:r>
        <w:t xml:space="preserve">  docs/                   # architecture, CLI, security, formats</w:t>
      </w:r>
    </w:p>
    <w:p>
      <w:pPr>
        <w:pStyle w:val="CodeSample"/>
      </w:pPr>
      <w:r>
        <w:t xml:space="preserve">  examples/</w:t>
      </w:r>
    </w:p>
    <w:p>
      <w:r>
        <w:t>Recommend GitHub Actions for Linux unit tests, packaging checks and documentation; add macOS/BSD smoke tests where runners are available. Native inference frameworks vary substantially in FreeBSD/OpenBSD support, so separate a platform-neutral CLI from platform-specific inference dependencies and document backend support by OS.</w:t>
      </w:r>
    </w:p>
    <w:p>
      <w:pPr>
        <w:pStyle w:val="Heading1"/>
      </w:pPr>
      <w:r>
        <w:t>15. BSD 3-Clause and third-party obligations</w:t>
      </w:r>
    </w:p>
    <w:p>
      <w:r>
        <w:t>Place a standard BSD 3-Clause LICENSE at repository root, attributed to the actual copyright holder and year, and include SPDX-License-Identifier: BSD-3-Clause where appropriate. Include a CONTRIBUTING.md and clear statement that contributions are supplied under the project license. Audit bundled code, model weights, tokenizers, embeddings, fonts and document parsers independently: licenses can differ and some model licenses impose separate conditions. Avoid including training corpora or pretrained model artifacts in the repository.</w:t>
      </w:r>
    </w:p>
    <w:p>
      <w:pPr>
        <w:pStyle w:val="Heading1"/>
      </w:pPr>
      <w:r>
        <w:t>16. Phased implementation plan</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vAlign w:val="center"/>
          </w:tcPr>
          <w:p>
            <w:r>
              <w:t>Milestone</w:t>
            </w:r>
          </w:p>
        </w:tc>
        <w:tc>
          <w:tcPr>
            <w:tcW w:type="dxa" w:w="3235"/>
            <w:vAlign w:val="center"/>
          </w:tcPr>
          <w:p>
            <w:r>
              <w:t>Scope</w:t>
            </w:r>
          </w:p>
        </w:tc>
        <w:tc>
          <w:tcPr>
            <w:tcW w:type="dxa" w:w="3235"/>
            <w:vAlign w:val="center"/>
          </w:tcPr>
          <w:p>
            <w:r>
              <w:t>Exit criterion</w:t>
            </w:r>
          </w:p>
        </w:tc>
      </w:tr>
      <w:tr>
        <w:tc>
          <w:tcPr>
            <w:tcW w:type="dxa" w:w="3235"/>
            <w:vAlign w:val="center"/>
          </w:tcPr>
          <w:p>
            <w:r>
              <w:t>M0 — repository skeleton</w:t>
            </w:r>
          </w:p>
        </w:tc>
        <w:tc>
          <w:tcPr>
            <w:tcW w:type="dxa" w:w="3235"/>
            <w:vAlign w:val="center"/>
          </w:tcPr>
          <w:p>
            <w:r>
              <w:t>License, package, CI, README, CLI contract</w:t>
            </w:r>
          </w:p>
        </w:tc>
        <w:tc>
          <w:tcPr>
            <w:tcW w:type="dxa" w:w="3235"/>
            <w:vAlign w:val="center"/>
          </w:tcPr>
          <w:p>
            <w:r>
              <w:t>pip-installable command; stdin/stdout fixtures pass</w:t>
            </w:r>
          </w:p>
        </w:tc>
      </w:tr>
      <w:tr>
        <w:tc>
          <w:tcPr>
            <w:tcW w:type="dxa" w:w="3235"/>
            <w:vAlign w:val="center"/>
          </w:tcPr>
          <w:p>
            <w:r>
              <w:t>M1 — manual profile MVP</w:t>
            </w:r>
          </w:p>
        </w:tc>
        <w:tc>
          <w:tcPr>
            <w:tcW w:type="dxa" w:w="3235"/>
            <w:vAlign w:val="center"/>
          </w:tcPr>
          <w:p>
            <w:r>
              <w:t>Local model backend, JSON voice profile, Markdown-safe rewriting</w:t>
            </w:r>
          </w:p>
        </w:tc>
        <w:tc>
          <w:tcPr>
            <w:tcW w:type="dxa" w:w="3235"/>
            <w:vAlign w:val="center"/>
          </w:tcPr>
          <w:p>
            <w:r>
              <w:t>Working example pipeline; tests demonstrate preservation</w:t>
            </w:r>
          </w:p>
        </w:tc>
      </w:tr>
      <w:tr>
        <w:tc>
          <w:tcPr>
            <w:tcW w:type="dxa" w:w="3235"/>
            <w:vAlign w:val="center"/>
          </w:tcPr>
          <w:p>
            <w:r>
              <w:t>M2 — automatic ingestion</w:t>
            </w:r>
          </w:p>
        </w:tc>
        <w:tc>
          <w:tcPr>
            <w:tcW w:type="dxa" w:w="3235"/>
            <w:vAlign w:val="center"/>
          </w:tcPr>
          <w:p>
            <w:r>
              <w:t>Directory scan, TXT/MD, style extraction, SQLite registry</w:t>
            </w:r>
          </w:p>
        </w:tc>
        <w:tc>
          <w:tcPr>
            <w:tcW w:type="dxa" w:w="3235"/>
            <w:vAlign w:val="center"/>
          </w:tcPr>
          <w:p>
            <w:r>
              <w:t>A new voice can be learned and reused</w:t>
            </w:r>
          </w:p>
        </w:tc>
      </w:tr>
      <w:tr>
        <w:tc>
          <w:tcPr>
            <w:tcW w:type="dxa" w:w="3235"/>
            <w:vAlign w:val="center"/>
          </w:tcPr>
          <w:p>
            <w:r>
              <w:t>M3 — RAG and portability</w:t>
            </w:r>
          </w:p>
        </w:tc>
        <w:tc>
          <w:tcPr>
            <w:tcW w:type="dxa" w:w="3235"/>
            <w:vAlign w:val="center"/>
          </w:tcPr>
          <w:p>
            <w:r>
              <w:t>Embeddings, genre retrieval, import/export</w:t>
            </w:r>
          </w:p>
        </w:tc>
        <w:tc>
          <w:tcPr>
            <w:tcW w:type="dxa" w:w="3235"/>
            <w:vAlign w:val="center"/>
          </w:tcPr>
          <w:p>
            <w:r>
              <w:t>Measurable style gain over profile-only baseline</w:t>
            </w:r>
          </w:p>
        </w:tc>
      </w:tr>
      <w:tr>
        <w:tc>
          <w:tcPr>
            <w:tcW w:type="dxa" w:w="3235"/>
            <w:vAlign w:val="center"/>
          </w:tcPr>
          <w:p>
            <w:r>
              <w:t>M4 — rigorous fidelity</w:t>
            </w:r>
          </w:p>
        </w:tc>
        <w:tc>
          <w:tcPr>
            <w:tcW w:type="dxa" w:w="3235"/>
            <w:vAlign w:val="center"/>
          </w:tcPr>
          <w:p>
            <w:r>
              <w:t>Strict checking, regression suite, held-out evaluation</w:t>
            </w:r>
          </w:p>
        </w:tc>
        <w:tc>
          <w:tcPr>
            <w:tcW w:type="dxa" w:w="3235"/>
            <w:vAlign w:val="center"/>
          </w:tcPr>
          <w:p>
            <w:r>
              <w:t>Documented accuracy/quality benchmarks</w:t>
            </w:r>
          </w:p>
        </w:tc>
      </w:tr>
      <w:tr>
        <w:tc>
          <w:tcPr>
            <w:tcW w:type="dxa" w:w="3235"/>
            <w:vAlign w:val="center"/>
          </w:tcPr>
          <w:p>
            <w:r>
              <w:t>M5 — optional extensions</w:t>
            </w:r>
          </w:p>
        </w:tc>
        <w:tc>
          <w:tcPr>
            <w:tcW w:type="dxa" w:w="3235"/>
            <w:vAlign w:val="center"/>
          </w:tcPr>
          <w:p>
            <w:r>
              <w:t>DOCX/PDF ingestion, LoRA, editor feedback</w:t>
            </w:r>
          </w:p>
        </w:tc>
        <w:tc>
          <w:tcPr>
            <w:tcW w:type="dxa" w:w="3235"/>
            <w:vAlign w:val="center"/>
          </w:tcPr>
          <w:p>
            <w:r>
              <w:t>Features justified by user tests</w:t>
            </w:r>
          </w:p>
        </w:tc>
      </w:tr>
    </w:tbl>
    <w:p/>
    <w:p>
      <w:pPr>
        <w:pStyle w:val="Heading1"/>
      </w:pPr>
      <w:r>
        <w:t>17. Initial decisions and open questions</w:t>
      </w:r>
    </w:p>
    <w:p>
      <w:pPr>
        <w:pStyle w:val="ListBullet"/>
      </w:pPr>
      <w:r>
        <w:t>Define the minimum voice corpus and graceful behavior for sparse or homogeneous examples.</w:t>
      </w:r>
    </w:p>
    <w:p>
      <w:pPr>
        <w:pStyle w:val="ListBullet"/>
      </w:pPr>
      <w:r>
        <w:t>Decide whether each voice is allowed multiple contexts (e.g., formal, conversational, legal, technical).</w:t>
      </w:r>
    </w:p>
    <w:p>
      <w:pPr>
        <w:pStyle w:val="ListBullet"/>
      </w:pPr>
      <w:r>
        <w:t>Select initial pinned model and embedding checkpoint only after comparative benchmarks and license review.</w:t>
      </w:r>
    </w:p>
    <w:p>
      <w:pPr>
        <w:pStyle w:val="ListBullet"/>
      </w:pPr>
      <w:r>
        <w:t>Specify whether stdout should be chunk-streamed in the default mode; ensure strict validation semantics remain coherent.</w:t>
      </w:r>
    </w:p>
    <w:p>
      <w:pPr>
        <w:pStyle w:val="ListBullet"/>
      </w:pPr>
      <w:r>
        <w:t>Define a stable archive format and storage/migration policy before public sharing.</w:t>
      </w:r>
    </w:p>
    <w:p>
      <w:pPr>
        <w:pStyle w:val="ListBullet"/>
      </w:pPr>
      <w:r>
        <w:t>Choose which exact Markdown constructs must be byte-for-byte preserved.</w:t>
      </w:r>
    </w:p>
    <w:p>
      <w:pPr>
        <w:pStyle w:val="ListBullet"/>
      </w:pPr>
      <w:r>
        <w:t>Set explicit privacy defaults, opt-in export handling and expected deletion behavior.</w:t>
      </w:r>
    </w:p>
    <w:p>
      <w:pPr>
        <w:pStyle w:val="Heading1"/>
      </w:pPr>
      <w:r>
        <w:t>18. First development sprint</w:t>
      </w:r>
    </w:p>
    <w:p>
      <w:pPr>
        <w:pStyle w:val="ListBullet"/>
      </w:pPr>
      <w:r>
        <w:t>Create github.com/bceverly/proselign with BSD 3-Clause LICENSE, README, pyproject.toml and CI.</w:t>
      </w:r>
    </w:p>
    <w:p>
      <w:pPr>
        <w:pStyle w:val="ListBullet"/>
      </w:pPr>
      <w:r>
        <w:t>Implement “proselign --voice Bryan” as a filter using a hand-authored profile and mock inference adapter.</w:t>
      </w:r>
    </w:p>
    <w:p>
      <w:pPr>
        <w:pStyle w:val="ListBullet"/>
      </w:pPr>
      <w:r>
        <w:t>Write golden CLI tests that confirm stdout contains only content, errors go to stderr and failure codes are nonzero.</w:t>
      </w:r>
    </w:p>
    <w:p>
      <w:pPr>
        <w:pStyle w:val="ListBullet"/>
      </w:pPr>
      <w:r>
        <w:t>Add one working local inference backend, with configurable model endpoint and no forced cloud dependency.</w:t>
      </w:r>
    </w:p>
    <w:p>
      <w:pPr>
        <w:pStyle w:val="ListBullet"/>
      </w:pPr>
      <w:r>
        <w:t>Add a profile registry with “voices”, “inspect”, “import” and “export”.</w:t>
      </w:r>
    </w:p>
    <w:p>
      <w:pPr>
        <w:pStyle w:val="ListBullet"/>
      </w:pPr>
      <w:r>
        <w:t>Establish a small permissioned sample corpus and held-out test set before adding complex retrieval.</w:t>
      </w:r>
    </w:p>
    <w:p>
      <w:pPr>
        <w:pStyle w:val="Heading1"/>
      </w:pPr>
      <w:r>
        <w:t>19. Project positioning</w:t>
      </w:r>
    </w:p>
    <w:p>
      <w:r>
        <w:t>Proselign — Learn your writing style. Align everything to it.</w:t>
      </w:r>
    </w:p>
    <w:p>
      <w:r>
        <w:t>A BSD 3-Clause, local-first, Unix-friendly tool that learns an author’s prose style and consistently applies it to text without sacrificing meaning. Website: proselign.org. Source: github.com/bceverly/proselign.</w:t>
      </w:r>
    </w:p>
    <w:p>
      <w:pPr>
        <w:pStyle w:val="SmallNote"/>
      </w:pPr>
      <w:r>
        <w:t>Document status: initial proposed architecture, subject to benchmark findings and implementation review.</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PROSELIGN  •  PROJECT DESIGN  •  29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E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405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2556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12E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Sample"/>
    <w:pPr>
      <w:spacing w:after="40"/>
      <w:ind w:left="288"/>
    </w:pPr>
    <w:rPr>
      <w:rFonts w:ascii="Consolas" w:hAnsi="Consolas"/>
      <w:color w:val="1C4153"/>
      <w:sz w:val="16"/>
    </w:rPr>
  </w:style>
  <w:style w:type="paragraph" w:customStyle="1" w:styleId="SmallNote">
    <w:name w:val="SmallNote"/>
    <w:rPr>
      <w:color w:val="626C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