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365D"/>
          <w:sz w:val="18"/>
          <w:szCs w:val="18"/>
        </w:rPr>
        <w:t xml:space="preserve">BCG CORP — ARCHITECTURAL DECISION RECORD</w:t>
      </w:r>
    </w:p>
    <w:p>
      <w:pPr>
        <w:spacing w:after="120"/>
      </w:pPr>
      <w:r>
        <w:rPr>
          <w:rFonts w:ascii="Arial" w:cs="Arial" w:eastAsia="Arial" w:hAnsi="Arial"/>
          <w:b/>
          <w:bCs/>
          <w:sz w:val="36"/>
          <w:szCs w:val="36"/>
        </w:rPr>
        <w:t xml:space="preserve">ADR-001 — Visualization Tooling Architecture</w:t>
      </w:r>
    </w:p>
    <w:p>
      <w:pPr>
        <w:spacing w:after="120"/>
      </w:pPr>
      <w:r>
        <w:rPr>
          <w:rFonts w:ascii="Arial" w:cs="Arial" w:eastAsia="Arial" w:hAnsi="Arial"/>
          <w:i/>
          <w:iCs/>
          <w:color w:val="404040"/>
          <w:sz w:val="22"/>
          <w:szCs w:val="22"/>
        </w:rPr>
        <w:t xml:space="preserve">Decision record governing visualization tool selection across all BCG ecosystem projects</w:t>
      </w:r>
    </w:p>
    <w:p>
      <w:pPr>
        <w:spacing w:after="120"/>
      </w:pPr>
      <w:r>
        <w:rPr>
          <w:rFonts w:ascii="Arial" w:cs="Arial" w:eastAsia="Arial" w:hAnsi="Arial"/>
          <w:color w:val="606060"/>
          <w:sz w:val="18"/>
          <w:szCs w:val="18"/>
        </w:rPr>
        <w:t xml:space="preserve">Status: </w:t>
      </w:r>
      <w:r>
        <w:rPr>
          <w:rFonts w:ascii="Arial" w:cs="Arial" w:eastAsia="Arial" w:hAnsi="Arial"/>
          <w:b/>
          <w:bCs/>
          <w:color w:val="173404"/>
          <w:sz w:val="18"/>
          <w:szCs w:val="18"/>
        </w:rPr>
        <w:t xml:space="preserve">APPROVED</w:t>
      </w:r>
      <w:r>
        <w:rPr>
          <w:rFonts w:ascii="Arial" w:cs="Arial" w:eastAsia="Arial" w:hAnsi="Arial"/>
          <w:color w:val="606060"/>
          <w:sz w:val="18"/>
          <w:szCs w:val="18"/>
        </w:rPr>
        <w:t xml:space="preserve">    |    Approved: 2026-05-02 by Gregory Bernardo    |    ADR-001 (first in sequence)</w:t>
      </w:r>
    </w:p>
    <w:p>
      <w:pPr>
        <w:pBdr>
          <w:bottom w:val="single" w:color="1B365D" w:sz="8" w:space="1"/>
        </w:pBdr>
        <w:spacing w:after="240"/>
      </w:pPr>
    </w:p>
    <w:p>
      <w:pPr>
        <w:pStyle w:val="Heading1"/>
        <w:spacing w:after="180" w:before="360"/>
      </w:pPr>
      <w:r>
        <w:rPr>
          <w:rFonts w:ascii="Arial" w:cs="Arial" w:eastAsia="Arial" w:hAnsi="Arial"/>
          <w:b/>
          <w:bCs/>
          <w:color w:val="1B365D"/>
          <w:sz w:val="32"/>
          <w:szCs w:val="32"/>
        </w:rPr>
        <w:t xml:space="preserve">Executive Summary</w:t>
      </w:r>
    </w:p>
    <w:p>
      <w:pPr>
        <w:spacing w:after="120"/>
      </w:pPr>
      <w:r>
        <w:rPr>
          <w:rFonts w:ascii="Arial" w:cs="Arial" w:eastAsia="Arial" w:hAnsi="Arial"/>
        </w:rPr>
        <w:t xml:space="preserve">BCG adopts a four-tool visualization stack for use across all ecosystem projects: </w:t>
      </w:r>
      <w:r>
        <w:rPr>
          <w:rFonts w:ascii="Arial" w:cs="Arial" w:eastAsia="Arial" w:hAnsi="Arial"/>
          <w:b/>
          <w:bCs/>
        </w:rPr>
        <w:t xml:space="preserve">(1) the built-in Anthropic Visualizer</w:t>
      </w:r>
      <w:r>
        <w:rPr>
          <w:rFonts w:ascii="Arial" w:cs="Arial" w:eastAsia="Arial" w:hAnsi="Arial"/>
        </w:rPr>
        <w:t xml:space="preserve"> for inline chat brainstorming and architectural diagrams; </w:t>
      </w:r>
      <w:r>
        <w:rPr>
          <w:rFonts w:ascii="Arial" w:cs="Arial" w:eastAsia="Arial" w:hAnsi="Arial"/>
          <w:b/>
          <w:bCs/>
        </w:rPr>
        <w:t xml:space="preserve">(2) Mermaid Chart MCP</w:t>
      </w:r>
      <w:r>
        <w:rPr>
          <w:rFonts w:ascii="Arial" w:cs="Arial" w:eastAsia="Arial" w:hAnsi="Arial"/>
        </w:rPr>
        <w:t xml:space="preserve"> as the canonical authoring tool for governance documents in GitHub; </w:t>
      </w:r>
      <w:r>
        <w:rPr>
          <w:rFonts w:ascii="Arial" w:cs="Arial" w:eastAsia="Arial" w:hAnsi="Arial"/>
          <w:b/>
          <w:bCs/>
        </w:rPr>
        <w:t xml:space="preserve">(3) PowerPoint SmartArt</w:t>
      </w:r>
      <w:r>
        <w:rPr>
          <w:rFonts w:ascii="Arial" w:cs="Arial" w:eastAsia="Arial" w:hAnsi="Arial"/>
        </w:rPr>
        <w:t xml:space="preserve"> for client-facing presentations via the M365 native path; and </w:t>
      </w:r>
      <w:r>
        <w:rPr>
          <w:rFonts w:ascii="Arial" w:cs="Arial" w:eastAsia="Arial" w:hAnsi="Arial"/>
          <w:b/>
          <w:bCs/>
        </w:rPr>
        <w:t xml:space="preserve">(4) draw.io / diagrams.net</w:t>
      </w:r>
      <w:r>
        <w:rPr>
          <w:rFonts w:ascii="Arial" w:cs="Arial" w:eastAsia="Arial" w:hAnsi="Arial"/>
        </w:rPr>
        <w:t xml:space="preserve"> as the open-format backup when Mermaid lacks the required capability. All other visualization tools considered are explicitly rejected. This decision is owned by P4 as an architectural standard, formalized via P2 SOP authoring, and risk-registered with P9 for business continuity. Approved 2026-05-02 by Gregory Bernardo. Established as ADR-001, the first artifact in BCG's new ADR sequence.</w:t>
      </w:r>
    </w:p>
    <w:p>
      <w:pPr>
        <w:pStyle w:val="Heading1"/>
        <w:spacing w:after="180" w:before="360"/>
      </w:pPr>
      <w:r>
        <w:rPr>
          <w:rFonts w:ascii="Arial" w:cs="Arial" w:eastAsia="Arial" w:hAnsi="Arial"/>
          <w:b/>
          <w:bCs/>
          <w:color w:val="1B365D"/>
          <w:sz w:val="32"/>
          <w:szCs w:val="32"/>
        </w:rPr>
        <w:t xml:space="preserve">1. Status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636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w:t>
            </w:r>
          </w:p>
        </w:tc>
        <w:tc>
          <w:tcPr>
            <w:tcW w:type="dxa" w:w="6360"/>
            <w:tcBorders>
              <w:top w:val="single" w:color="BFBFBF" w:sz="4"/>
              <w:left w:val="single" w:color="BFBFBF" w:sz="4"/>
              <w:bottom w:val="single" w:color="BFBFBF" w:sz="4"/>
              <w:right w:val="single" w:color="BFBFBF" w:sz="4"/>
            </w:tcBorders>
            <w:shd w:fill="C0DD9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APPROVED</w:t>
            </w:r>
          </w:p>
        </w:tc>
      </w:tr>
      <w:tr>
        <w:tc>
          <w:tcPr>
            <w:tcW w:type="dxa" w:w="30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ADR number</w:t>
            </w:r>
          </w:p>
        </w:tc>
        <w:tc>
          <w:tcPr>
            <w:tcW w:type="dxa" w:w="63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ADR-001 (first artifact in BCG ADR sequence)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Decision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2026-05-02</w:t>
            </w:r>
          </w:p>
        </w:tc>
      </w:tr>
      <w:tr>
        <w:tc>
          <w:tcPr>
            <w:tcW w:type="dxa" w:w="30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Approved by</w:t>
            </w:r>
          </w:p>
        </w:tc>
        <w:tc>
          <w:tcPr>
            <w:tcW w:type="dxa" w:w="63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Gregory Bernardo (President, BCG Corp)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Originating session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P4-002 chat 2026-05-02</w:t>
            </w:r>
          </w:p>
        </w:tc>
      </w:tr>
      <w:tr>
        <w:tc>
          <w:tcPr>
            <w:tcW w:type="dxa" w:w="30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Architectural owner</w:t>
            </w:r>
          </w:p>
        </w:tc>
        <w:tc>
          <w:tcPr>
            <w:tcW w:type="dxa" w:w="63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P4 - AI Infrastructure and Deployment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Originating subproject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P4-002 - Revit and BIM Automation</w:t>
            </w:r>
          </w:p>
        </w:tc>
      </w:tr>
      <w:tr>
        <w:tc>
          <w:tcPr>
            <w:tcW w:type="dxa" w:w="30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Supersedes</w:t>
            </w:r>
          </w:p>
        </w:tc>
        <w:tc>
          <w:tcPr>
            <w:tcW w:type="dxa" w:w="63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Related governance documents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GOV-013 (Tools Inventory), GOV-017 (P4-002 Technical Architecture), pending Visualization Authoring Standard SOP (P2 queue)</w:t>
            </w:r>
          </w:p>
        </w:tc>
      </w:tr>
      <w:tr>
        <w:tc>
          <w:tcPr>
            <w:tcW w:type="dxa" w:w="30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Review cadence</w:t>
            </w:r>
          </w:p>
        </w:tc>
        <w:tc>
          <w:tcPr>
            <w:tcW w:type="dxa" w:w="63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Annual full review (next: 2027-05-02) co-owned by P4 and P9; quarterly health check by P4</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Reversibility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Fully reversible - disable any one tool with one decision; no licensing lock-in beyond what BCG already pays for (M365)</w:t>
            </w:r>
          </w:p>
        </w:tc>
      </w:tr>
    </w:tbl>
    <w:p>
      <w:pPr>
        <w:pStyle w:val="Heading1"/>
        <w:spacing w:after="180" w:before="360"/>
      </w:pPr>
      <w:r>
        <w:rPr>
          <w:rFonts w:ascii="Arial" w:cs="Arial" w:eastAsia="Arial" w:hAnsi="Arial"/>
          <w:b/>
          <w:bCs/>
          <w:color w:val="1B365D"/>
          <w:sz w:val="32"/>
          <w:szCs w:val="32"/>
        </w:rPr>
        <w:t xml:space="preserve">2. Context</w:t>
      </w:r>
    </w:p>
    <w:p>
      <w:pPr>
        <w:spacing w:after="120"/>
      </w:pPr>
      <w:r>
        <w:rPr>
          <w:rFonts w:ascii="Arial" w:cs="Arial" w:eastAsia="Arial" w:hAnsi="Arial"/>
        </w:rPr>
        <w:t xml:space="preserve">BCG's ecosystem produces deliverables in five distinct formats: inline chat outputs (working sessions, brainstorms), .docx documents (assessments, memos, ADRs), .pptx presentations (client-facing slide decks), Markdown governance documents (committed to bcg-ops-governance GitHub repo), and Claude project memory (persistent derived facts). Without an architectural standard, each project independently selects visualization tools, creating tool sprawl, inconsistent output quality, licensing duplication, and undocumented vendor dependencies that complicate business continuity planning.</w:t>
      </w:r>
    </w:p>
    <w:p>
      <w:pPr>
        <w:spacing w:after="120"/>
      </w:pPr>
      <w:r>
        <w:rPr>
          <w:rFonts w:ascii="Arial" w:cs="Arial" w:eastAsia="Arial" w:hAnsi="Arial"/>
        </w:rPr>
        <w:t xml:space="preserve">Eleven candidate tools were evaluated in the originating session. Only Mermaid Chart currently has true MCP integration in BCG's authorized connector set. This ADR formalizes the selection so all ecosystem projects (P0 through P11 and active subprojects) operate against a common standard rather than each project re-litigating the question.</w:t>
      </w:r>
    </w:p>
    <w:p>
      <w:pPr>
        <w:pStyle w:val="Heading1"/>
        <w:spacing w:after="180" w:before="360"/>
      </w:pPr>
      <w:r>
        <w:rPr>
          <w:rFonts w:ascii="Arial" w:cs="Arial" w:eastAsia="Arial" w:hAnsi="Arial"/>
          <w:b/>
          <w:bCs/>
          <w:color w:val="1B365D"/>
          <w:sz w:val="32"/>
          <w:szCs w:val="32"/>
        </w:rPr>
        <w:t xml:space="preserve">3. Decision - The Adopted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860"/>
      </w:tblGrid>
      <w:tr>
        <w:trPr>
          <w:tblHeader/>
        </w:trPr>
        <w:tc>
          <w:tcPr>
            <w:tcW w:type="dxa" w:w="17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Tool</w:t>
            </w:r>
          </w:p>
        </w:tc>
        <w:tc>
          <w:tcPr>
            <w:tcW w:type="dxa" w:w="24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Primary use</w:t>
            </w:r>
          </w:p>
        </w:tc>
        <w:tc>
          <w:tcPr>
            <w:tcW w:type="dxa" w:w="24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 produced</w:t>
            </w:r>
          </w:p>
        </w:tc>
        <w:tc>
          <w:tcPr>
            <w:tcW w:type="dxa" w:w="286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Why this tool</w:t>
            </w:r>
          </w:p>
        </w:tc>
      </w:tr>
      <w:tr>
        <w:tc>
          <w:tcPr>
            <w:tcW w:type="dxa" w:w="1700"/>
            <w:tcBorders>
              <w:top w:val="single" w:color="BFBFBF" w:sz="4"/>
              <w:left w:val="single" w:color="BFBFBF" w:sz="4"/>
              <w:bottom w:val="single" w:color="BFBFBF" w:sz="4"/>
              <w:right w:val="single" w:color="BFBFBF" w:sz="4"/>
            </w:tcBorders>
            <w:shd w:fill="E5F1E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Built-in Visualizer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Inline chat brainstorming; structural and flow diagrams during planning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Inline SVG / HTML widgets in Claude.ai chat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Native to Claude.ai - zero auth, zero licensing, instant render. Persists via chat URL within the Claude project.</w:t>
            </w:r>
          </w:p>
        </w:tc>
      </w:tr>
      <w:tr>
        <w:tc>
          <w:tcPr>
            <w:tcW w:type="dxa" w:w="1700"/>
            <w:tcBorders>
              <w:top w:val="single" w:color="BFBFBF" w:sz="4"/>
              <w:left w:val="single" w:color="BFBFBF" w:sz="4"/>
              <w:bottom w:val="single" w:color="BFBFBF" w:sz="4"/>
              <w:right w:val="single" w:color="BFBFBF" w:sz="4"/>
            </w:tcBorders>
            <w:shd w:fill="E5F1E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Mermaid Chart MCP</w:t>
            </w:r>
          </w:p>
        </w:tc>
        <w:tc>
          <w:tcPr>
            <w:tcW w:type="dxa" w:w="2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Diagrams in governance documents - flowcharts, sequence diagrams, ER diagrams, Gantt charts</w:t>
            </w:r>
          </w:p>
        </w:tc>
        <w:tc>
          <w:tcPr>
            <w:tcW w:type="dxa" w:w="2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Mermaid code blocks in Markdown files (.md)</w:t>
            </w:r>
          </w:p>
        </w:tc>
        <w:tc>
          <w:tcPr>
            <w:tcW w:type="dxa" w:w="28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Diagrams-as-code: source lives in the same .md file as the rule it illustrates, version-controlled. GitHub renders Mermaid natively. If the MCP is unavailable, diagrams still render in GitHub - the syntax is open.</w:t>
            </w:r>
          </w:p>
        </w:tc>
      </w:tr>
      <w:tr>
        <w:tc>
          <w:tcPr>
            <w:tcW w:type="dxa" w:w="1700"/>
            <w:tcBorders>
              <w:top w:val="single" w:color="BFBFBF" w:sz="4"/>
              <w:left w:val="single" w:color="BFBFBF" w:sz="4"/>
              <w:bottom w:val="single" w:color="BFBFBF" w:sz="4"/>
              <w:right w:val="single" w:color="BFBFBF" w:sz="4"/>
            </w:tcBorders>
            <w:shd w:fill="E5F1E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PowerPoint SmartArt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Client-facing presentations: hierarchies, processes, lists, simple org charts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Native PowerPoint shapes embedded in .pptx</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Already in every BCG production user's hands via M365. Zero new tooling. Adequate for ~60% of presentation visual needs without leaving PowerPoint.</w:t>
            </w:r>
          </w:p>
        </w:tc>
      </w:tr>
      <w:tr>
        <w:tc>
          <w:tcPr>
            <w:tcW w:type="dxa" w:w="1700"/>
            <w:tcBorders>
              <w:top w:val="single" w:color="BFBFBF" w:sz="4"/>
              <w:left w:val="single" w:color="BFBFBF" w:sz="4"/>
              <w:bottom w:val="single" w:color="BFBFBF" w:sz="4"/>
              <w:right w:val="single" w:color="BFBFBF" w:sz="4"/>
            </w:tcBorders>
            <w:shd w:fill="E5F1E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draw.io / diagrams.net</w:t>
            </w:r>
          </w:p>
        </w:tc>
        <w:tc>
          <w:tcPr>
            <w:tcW w:type="dxa" w:w="2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Backup for diagrams that exceed Mermaid's auto-layout capability</w:t>
            </w:r>
          </w:p>
        </w:tc>
        <w:tc>
          <w:tcPr>
            <w:tcW w:type="dxa" w:w="2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.xml format committed to GitHub; SVG/PNG export</w:t>
            </w:r>
          </w:p>
        </w:tc>
        <w:tc>
          <w:tcPr>
            <w:tcW w:type="dxa" w:w="28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open-source. Use only when Mermaid is genuinely insufficient - must be justified per-instance and approved by P4.</w:t>
            </w:r>
          </w:p>
        </w:tc>
      </w:tr>
    </w:tbl>
    <w:p>
      <w:pPr>
        <w:pStyle w:val="Heading1"/>
        <w:spacing w:after="180" w:before="360"/>
      </w:pPr>
      <w:r>
        <w:rPr>
          <w:rFonts w:ascii="Arial" w:cs="Arial" w:eastAsia="Arial" w:hAnsi="Arial"/>
          <w:b/>
          <w:bCs/>
          <w:color w:val="1B365D"/>
          <w:sz w:val="32"/>
          <w:szCs w:val="32"/>
        </w:rPr>
        <w:t xml:space="preserve">4. Alternatives Rejected</w:t>
      </w:r>
    </w:p>
    <w:p>
      <w:pPr>
        <w:spacing w:after="120"/>
      </w:pPr>
      <w:r>
        <w:rPr>
          <w:rFonts w:ascii="Arial" w:cs="Arial" w:eastAsia="Arial" w:hAnsi="Arial"/>
        </w:rPr>
        <w:t xml:space="preserve">Re-opening any of these requires a new ADR with explicit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Tool</w:t>
            </w:r>
          </w:p>
        </w:tc>
        <w:tc>
          <w:tcPr>
            <w:tcW w:type="dxa" w:w="766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Rejection rationale</w:t>
            </w:r>
          </w:p>
        </w:tc>
      </w:tr>
      <w:tr>
        <w:tc>
          <w:tcPr>
            <w:tcW w:type="dxa" w:w="1700"/>
            <w:tcBorders>
              <w:top w:val="single" w:color="BFBFBF" w:sz="4"/>
              <w:left w:val="single" w:color="BFBFBF" w:sz="4"/>
              <w:bottom w:val="single" w:color="BFBFBF" w:sz="4"/>
              <w:right w:val="single" w:color="BFBFBF" w:sz="4"/>
            </w:tcBorders>
            <w:shd w:fill="FCEBE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Microsoft Visio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 Gregory direction: skip without verifying M365 license tier. Manual export workflow and proprietary .vsdx format provide insufficient marginal value.</w:t>
            </w:r>
          </w:p>
        </w:tc>
      </w:tr>
      <w:tr>
        <w:tc>
          <w:tcPr>
            <w:tcW w:type="dxa" w:w="1700"/>
            <w:tcBorders>
              <w:top w:val="single" w:color="BFBFBF" w:sz="4"/>
              <w:left w:val="single" w:color="BFBFBF" w:sz="4"/>
              <w:bottom w:val="single" w:color="BFBFBF" w:sz="4"/>
              <w:right w:val="single" w:color="BFBFBF" w:sz="4"/>
            </w:tcBorders>
            <w:shd w:fill="FCEBE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Lucidchart</w:t>
            </w:r>
          </w:p>
        </w:tc>
        <w:tc>
          <w:tcPr>
            <w:tcW w:type="dxa" w:w="76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Per-seat licensing not justified at BCG's nine-person size. No MCP integration. Manual export required. Diagrams do not version-control with governance docs.</w:t>
            </w:r>
          </w:p>
        </w:tc>
      </w:tr>
      <w:tr>
        <w:tc>
          <w:tcPr>
            <w:tcW w:type="dxa" w:w="1700"/>
            <w:tcBorders>
              <w:top w:val="single" w:color="BFBFBF" w:sz="4"/>
              <w:left w:val="single" w:color="BFBFBF" w:sz="4"/>
              <w:bottom w:val="single" w:color="BFBFBF" w:sz="4"/>
              <w:right w:val="single" w:color="BFBFBF" w:sz="4"/>
            </w:tcBorders>
            <w:shd w:fill="FCEBE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Miro / Mural</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Whiteboard aesthetic mismatched with technical and governance deliverables. Per-seat licensing. Best use case (multi-user workshops) is decoupled from the deliverable production question.</w:t>
            </w:r>
          </w:p>
        </w:tc>
      </w:tr>
      <w:tr>
        <w:tc>
          <w:tcPr>
            <w:tcW w:type="dxa" w:w="1700"/>
            <w:tcBorders>
              <w:top w:val="single" w:color="BFBFBF" w:sz="4"/>
              <w:left w:val="single" w:color="BFBFBF" w:sz="4"/>
              <w:bottom w:val="single" w:color="BFBFBF" w:sz="4"/>
              <w:right w:val="single" w:color="BFBFBF" w:sz="4"/>
            </w:tcBorders>
            <w:shd w:fill="FCEBE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Figma / FigJam</w:t>
            </w:r>
          </w:p>
        </w:tc>
        <w:tc>
          <w:tcPr>
            <w:tcW w:type="dxa" w:w="76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Designer-tool DNA inappropriate for technical and governance use cases. BCG does not produce UI design work at meaningful scale.</w:t>
            </w:r>
          </w:p>
        </w:tc>
      </w:tr>
      <w:tr>
        <w:tc>
          <w:tcPr>
            <w:tcW w:type="dxa" w:w="1700"/>
            <w:tcBorders>
              <w:top w:val="single" w:color="BFBFBF" w:sz="4"/>
              <w:left w:val="single" w:color="BFBFBF" w:sz="4"/>
              <w:bottom w:val="single" w:color="BFBFBF" w:sz="4"/>
              <w:right w:val="single" w:color="BFBFBF" w:sz="4"/>
            </w:tcBorders>
            <w:shd w:fill="FCEBE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Excalidraw</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Hand-drawn aesthetic inappropriate for governance and client-facing deliverables. Visualizer covers ideation use natively.</w:t>
            </w:r>
          </w:p>
        </w:tc>
      </w:tr>
      <w:tr>
        <w:tc>
          <w:tcPr>
            <w:tcW w:type="dxa" w:w="1700"/>
            <w:tcBorders>
              <w:top w:val="single" w:color="BFBFBF" w:sz="4"/>
              <w:left w:val="single" w:color="BFBFBF" w:sz="4"/>
              <w:bottom w:val="single" w:color="BFBFBF" w:sz="4"/>
              <w:right w:val="single" w:color="BFBFBF" w:sz="4"/>
            </w:tcBorders>
            <w:shd w:fill="FCEBE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Whimsical</w:t>
            </w:r>
          </w:p>
        </w:tc>
        <w:tc>
          <w:tcPr>
            <w:tcW w:type="dxa" w:w="76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Closed proprietary format. Subscription required. Duplicates Lucidchart capability without sufficient differentiation.</w:t>
            </w:r>
          </w:p>
        </w:tc>
      </w:tr>
      <w:tr>
        <w:tc>
          <w:tcPr>
            <w:tcW w:type="dxa" w:w="1700"/>
            <w:tcBorders>
              <w:top w:val="single" w:color="BFBFBF" w:sz="4"/>
              <w:left w:val="single" w:color="BFBFBF" w:sz="4"/>
              <w:bottom w:val="single" w:color="BFBFBF" w:sz="4"/>
              <w:right w:val="single" w:color="BFBFBF" w:sz="4"/>
            </w:tcBorders>
            <w:shd w:fill="FCEBE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Canva</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Marketing-aesthetic output mismatched with engineering and governance deliverables.</w:t>
            </w:r>
          </w:p>
        </w:tc>
      </w:tr>
      <w:tr>
        <w:tc>
          <w:tcPr>
            <w:tcW w:type="dxa" w:w="1700"/>
            <w:tcBorders>
              <w:top w:val="single" w:color="BFBFBF" w:sz="4"/>
              <w:left w:val="single" w:color="BFBFBF" w:sz="4"/>
              <w:bottom w:val="single" w:color="BFBFBF" w:sz="4"/>
              <w:right w:val="single" w:color="BFBFBF" w:sz="4"/>
            </w:tcBorders>
            <w:shd w:fill="FCEBE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Google Drawings / Slides</w:t>
            </w:r>
          </w:p>
        </w:tc>
        <w:tc>
          <w:tcPr>
            <w:tcW w:type="dxa" w:w="76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BCG operates on M365, not Google Workspace. Adopting Google tooling would create cross-platform friction without offsetting benefit.</w:t>
            </w:r>
          </w:p>
        </w:tc>
      </w:tr>
    </w:tbl>
    <w:p>
      <w:pPr>
        <w:pStyle w:val="Heading1"/>
        <w:spacing w:after="180" w:before="360"/>
      </w:pPr>
      <w:r>
        <w:rPr>
          <w:rFonts w:ascii="Arial" w:cs="Arial" w:eastAsia="Arial" w:hAnsi="Arial"/>
          <w:b/>
          <w:bCs/>
          <w:color w:val="1B365D"/>
          <w:sz w:val="32"/>
          <w:szCs w:val="32"/>
        </w:rPr>
        <w:t xml:space="preserve">5. Cross-Project Impact</w:t>
      </w:r>
    </w:p>
    <w:p>
      <w:pPr>
        <w:spacing w:after="120"/>
      </w:pPr>
      <w:r>
        <w:rPr>
          <w:rFonts w:ascii="Arial" w:cs="Arial" w:eastAsia="Arial" w:hAnsi="Arial"/>
        </w:rPr>
        <w:t xml:space="preserve">This ADR applies to every ecosystem project. See full table in the canonical Markdown ADR for per-project detail. Direct flags:</w:t>
      </w:r>
    </w:p>
    <w:p>
      <w:pPr>
        <w:pStyle w:val="ListParagraph"/>
        <w:numPr>
          <w:ilvl w:val="0"/>
          <w:numId w:val="2"/>
        </w:numPr>
        <w:spacing w:after="60"/>
      </w:pPr>
      <w:r>
        <w:rPr>
          <w:rFonts w:ascii="Arial" w:cs="Arial" w:eastAsia="Arial" w:hAnsi="Arial"/>
        </w:rPr>
        <w:t xml:space="preserve">P4: ELEVATE - architectural ownership. Maintains stack, approves exceptions.</w:t>
      </w:r>
    </w:p>
    <w:p>
      <w:pPr>
        <w:pStyle w:val="ListParagraph"/>
        <w:numPr>
          <w:ilvl w:val="0"/>
          <w:numId w:val="2"/>
        </w:numPr>
        <w:spacing w:after="60"/>
      </w:pPr>
      <w:r>
        <w:rPr>
          <w:rFonts w:ascii="Arial" w:cs="Arial" w:eastAsia="Arial" w:hAnsi="Arial"/>
        </w:rPr>
        <w:t xml:space="preserve">P2: SOP CANDIDATE - author Visualization Authoring Standard SOP (W-XX).</w:t>
      </w:r>
    </w:p>
    <w:p>
      <w:pPr>
        <w:pStyle w:val="ListParagraph"/>
        <w:numPr>
          <w:ilvl w:val="0"/>
          <w:numId w:val="2"/>
        </w:numPr>
        <w:spacing w:after="60"/>
      </w:pPr>
      <w:r>
        <w:rPr>
          <w:rFonts w:ascii="Arial" w:cs="Arial" w:eastAsia="Arial" w:hAnsi="Arial"/>
        </w:rPr>
        <w:t xml:space="preserve">P9: BCP RISK ENTRY - add visualization-tool dependency to dependency risk register using Section 6 as source.</w:t>
      </w:r>
    </w:p>
    <w:p>
      <w:pPr>
        <w:pStyle w:val="ListParagraph"/>
        <w:numPr>
          <w:ilvl w:val="0"/>
          <w:numId w:val="2"/>
        </w:numPr>
        <w:spacing w:after="60"/>
      </w:pPr>
      <w:r>
        <w:rPr>
          <w:rFonts w:ascii="Arial" w:cs="Arial" w:eastAsia="Arial" w:hAnsi="Arial"/>
        </w:rPr>
        <w:t xml:space="preserve">P0: INFO - synthesis hub awareness only.</w:t>
      </w:r>
    </w:p>
    <w:p>
      <w:pPr>
        <w:pStyle w:val="ListParagraph"/>
        <w:numPr>
          <w:ilvl w:val="0"/>
          <w:numId w:val="2"/>
        </w:numPr>
        <w:spacing w:after="60"/>
      </w:pPr>
      <w:r>
        <w:rPr>
          <w:rFonts w:ascii="Arial" w:cs="Arial" w:eastAsia="Arial" w:hAnsi="Arial"/>
        </w:rPr>
        <w:t xml:space="preserve">P1, P3, P5, P6, P7, P8, P10, P11 + subprojects: consume the standard.</w:t>
      </w:r>
    </w:p>
    <w:p>
      <w:pPr>
        <w:pStyle w:val="Heading1"/>
        <w:spacing w:after="180" w:before="360"/>
      </w:pPr>
      <w:r>
        <w:rPr>
          <w:rFonts w:ascii="Arial" w:cs="Arial" w:eastAsia="Arial" w:hAnsi="Arial"/>
          <w:b/>
          <w:bCs/>
          <w:color w:val="1B365D"/>
          <w:sz w:val="32"/>
          <w:szCs w:val="32"/>
        </w:rPr>
        <w:t xml:space="preserve">6. Business Continuity Assessment (P9 Routing)</w:t>
      </w:r>
    </w:p>
    <w:p>
      <w:pPr>
        <w:spacing w:after="120"/>
      </w:pPr>
      <w:r>
        <w:rPr>
          <w:rFonts w:ascii="Arial" w:cs="Arial" w:eastAsia="Arial" w:hAnsi="Arial"/>
        </w:rPr>
        <w:t xml:space="preserve">Drop-in source content for the BCG Enterprise BCP dependency risk register. P9 should integrate the contents below on adoption.</w:t>
      </w:r>
    </w:p>
    <w:p>
      <w:pPr>
        <w:pStyle w:val="Heading2"/>
        <w:spacing w:after="140" w:before="280"/>
      </w:pPr>
      <w:r>
        <w:rPr>
          <w:rFonts w:ascii="Arial" w:cs="Arial" w:eastAsia="Arial" w:hAnsi="Arial"/>
          <w:b/>
          <w:bCs/>
          <w:color w:val="1B365D"/>
          <w:sz w:val="26"/>
          <w:szCs w:val="26"/>
        </w:rPr>
        <w:t xml:space="preserve">6.1 Risks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Risk</w:t>
            </w:r>
          </w:p>
        </w:tc>
        <w:tc>
          <w:tcPr>
            <w:tcW w:type="dxa" w:w="34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Failure mode</w:t>
            </w:r>
          </w:p>
        </w:tc>
        <w:tc>
          <w:tcPr>
            <w:tcW w:type="dxa" w:w="346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Blast radius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Anthropic Claude.ai outage / pricing change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Visualizer unavailable mid-session</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Working sessions degrade. No deliverable blocked - Visualizer produces ephemeral chat content. Mitigated by Mermaid as the committed-artifact path.</w:t>
            </w:r>
          </w:p>
        </w:tc>
      </w:tr>
      <w:tr>
        <w:tc>
          <w:tcPr>
            <w:tcW w:type="dxa" w:w="25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Mermaid Chart MCP outage</w:t>
            </w:r>
          </w:p>
        </w:tc>
        <w:tc>
          <w:tcPr>
            <w:tcW w:type="dxa" w:w="3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MCP authoring assistance unavailable</w:t>
            </w:r>
          </w:p>
        </w:tc>
        <w:tc>
          <w:tcPr>
            <w:tcW w:type="dxa" w:w="34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Mermaid syntax is open. Existing .md files render in GitHub natively without the MCP. The MCP is an authoring accelerant, not a runtime dependency.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Mermaid project abandonment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Mermaid syntax stops being maintained</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LOW-MEDIUM. Multi-vendor rendered (GitHub, GitLab, Notion, Obsidian, VS Code). Existing .md files continue rendering for years.</w:t>
            </w:r>
          </w:p>
        </w:tc>
      </w:tr>
      <w:tr>
        <w:tc>
          <w:tcPr>
            <w:tcW w:type="dxa" w:w="25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M365 outage / licensing change</w:t>
            </w:r>
          </w:p>
        </w:tc>
        <w:tc>
          <w:tcPr>
            <w:tcW w:type="dxa" w:w="3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PowerPoint SmartArt unavailable</w:t>
            </w:r>
          </w:p>
        </w:tc>
        <w:tc>
          <w:tcPr>
            <w:tcW w:type="dxa" w:w="34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 Already in P9's register; this ADR adds no new exposure.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draw.io project abandonment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Backup tool stops being maintained</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.xml format is open. Multiple forks exist. Used only for exceptions.</w:t>
            </w:r>
          </w:p>
        </w:tc>
      </w:tr>
      <w:tr>
        <w:tc>
          <w:tcPr>
            <w:tcW w:type="dxa" w:w="25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Combined vendor outage (Anthropic + Mermaid + M365)</w:t>
            </w:r>
          </w:p>
        </w:tc>
        <w:tc>
          <w:tcPr>
            <w:tcW w:type="dxa" w:w="3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visualization paths fail at once</w:t>
            </w:r>
          </w:p>
        </w:tc>
        <w:tc>
          <w:tcPr>
            <w:tcW w:type="dxa" w:w="34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Acceptable. Text-only delivery is always fallback. Mermaid syntax can be authored manually as text.</w:t>
            </w:r>
          </w:p>
        </w:tc>
      </w:tr>
    </w:tbl>
    <w:p>
      <w:pPr>
        <w:pStyle w:val="Heading2"/>
        <w:spacing w:after="140" w:before="280"/>
      </w:pPr>
      <w:r>
        <w:rPr>
          <w:rFonts w:ascii="Arial" w:cs="Arial" w:eastAsia="Arial" w:hAnsi="Arial"/>
          <w:b/>
          <w:bCs/>
          <w:color w:val="1B365D"/>
          <w:sz w:val="26"/>
          <w:szCs w:val="26"/>
        </w:rPr>
        <w:t xml:space="preserve">6.2 Single points of failure</w:t>
      </w:r>
    </w:p>
    <w:p>
      <w:pPr>
        <w:pStyle w:val="ListParagraph"/>
        <w:numPr>
          <w:ilvl w:val="0"/>
          <w:numId w:val="2"/>
        </w:numPr>
        <w:spacing w:after="60"/>
      </w:pPr>
      <w:r>
        <w:rPr>
          <w:rFonts w:ascii="Arial" w:cs="Arial" w:eastAsia="Arial" w:hAnsi="Arial"/>
        </w:rPr>
        <w:t xml:space="preserve">Built-in Visualizer is Anthropic-only. Acceptable: produces ephemeral working-session content, not committed BCG artifacts.</w:t>
      </w:r>
    </w:p>
    <w:p>
      <w:pPr>
        <w:pStyle w:val="ListParagraph"/>
        <w:numPr>
          <w:ilvl w:val="0"/>
          <w:numId w:val="2"/>
        </w:numPr>
        <w:spacing w:after="60"/>
      </w:pPr>
      <w:r>
        <w:rPr>
          <w:rFonts w:ascii="Arial" w:cs="Arial" w:eastAsia="Arial" w:hAnsi="Arial"/>
        </w:rPr>
        <w:t xml:space="preserve">PowerPoint SmartArt is Microsoft-only. Already covered by existing M365 entry in dependency risk register.</w:t>
      </w:r>
    </w:p>
    <w:p>
      <w:pPr>
        <w:spacing w:after="120"/>
      </w:pPr>
      <w:r>
        <w:rPr>
          <w:rFonts w:ascii="Arial" w:cs="Arial" w:eastAsia="Arial" w:hAnsi="Arial"/>
        </w:rPr>
        <w:t xml:space="preserve">Mermaid is </w:t>
      </w:r>
      <w:r>
        <w:rPr>
          <w:rFonts w:ascii="Arial" w:cs="Arial" w:eastAsia="Arial" w:hAnsi="Arial"/>
          <w:b/>
          <w:bCs/>
          <w:i/>
          <w:iCs/>
        </w:rPr>
        <w:t xml:space="preserve">not</w:t>
      </w:r>
      <w:r>
        <w:rPr>
          <w:rFonts w:ascii="Arial" w:cs="Arial" w:eastAsia="Arial" w:hAnsi="Arial"/>
        </w:rPr>
        <w:t xml:space="preserve"> a single point of failure despite being a single product, because the Mermaid syntax is implemented by multiple independent renderers. The artifact (the .md file) outlives the original tool.</w:t>
      </w:r>
    </w:p>
    <w:p>
      <w:pPr>
        <w:pStyle w:val="Heading2"/>
        <w:spacing w:after="140" w:before="280"/>
      </w:pPr>
      <w:r>
        <w:rPr>
          <w:rFonts w:ascii="Arial" w:cs="Arial" w:eastAsia="Arial" w:hAnsi="Arial"/>
          <w:b/>
          <w:bCs/>
          <w:color w:val="1B365D"/>
          <w:sz w:val="26"/>
          <w:szCs w:val="26"/>
        </w:rPr>
        <w:t xml:space="preserve">6.3 Mitigations</w:t>
      </w:r>
    </w:p>
    <w:p>
      <w:pPr>
        <w:pStyle w:val="ListParagraph"/>
        <w:numPr>
          <w:ilvl w:val="0"/>
          <w:numId w:val="2"/>
        </w:numPr>
        <w:spacing w:after="60"/>
      </w:pPr>
      <w:r>
        <w:rPr>
          <w:rFonts w:ascii="Arial" w:cs="Arial" w:eastAsia="Arial" w:hAnsi="Arial"/>
        </w:rPr>
        <w:t xml:space="preserve">PRIMARY: Governance docs use Mermaid syntax committed in .md files. Source is text in GitHub.</w:t>
      </w:r>
    </w:p>
    <w:p>
      <w:pPr>
        <w:pStyle w:val="ListParagraph"/>
        <w:numPr>
          <w:ilvl w:val="0"/>
          <w:numId w:val="2"/>
        </w:numPr>
        <w:spacing w:after="60"/>
      </w:pPr>
      <w:r>
        <w:rPr>
          <w:rFonts w:ascii="Arial" w:cs="Arial" w:eastAsia="Arial" w:hAnsi="Arial"/>
        </w:rPr>
        <w:t xml:space="preserve">SECONDARY: draw.io as sanctioned backup. Open .xml format. Fully offline-capable.</w:t>
      </w:r>
    </w:p>
    <w:p>
      <w:pPr>
        <w:pStyle w:val="ListParagraph"/>
        <w:numPr>
          <w:ilvl w:val="0"/>
          <w:numId w:val="2"/>
        </w:numPr>
        <w:spacing w:after="60"/>
      </w:pPr>
      <w:r>
        <w:rPr>
          <w:rFonts w:ascii="Arial" w:cs="Arial" w:eastAsia="Arial" w:hAnsi="Arial"/>
        </w:rPr>
        <w:t xml:space="preserve">TERTIARY: Text-only delivery always available. Any diagram replaceable with labeled list in worst case.</w:t>
      </w:r>
    </w:p>
    <w:p>
      <w:pPr>
        <w:pStyle w:val="ListParagraph"/>
        <w:numPr>
          <w:ilvl w:val="0"/>
          <w:numId w:val="2"/>
        </w:numPr>
        <w:spacing w:after="60"/>
      </w:pPr>
      <w:r>
        <w:rPr>
          <w:rFonts w:ascii="Arial" w:cs="Arial" w:eastAsia="Arial" w:hAnsi="Arial"/>
        </w:rPr>
        <w:t xml:space="preserve">OPERATIONAL: BCG does not embed visualization tooling into critical-path workflows.</w:t>
      </w:r>
    </w:p>
    <w:p>
      <w:pPr>
        <w:pStyle w:val="Heading2"/>
        <w:spacing w:after="140" w:before="280"/>
      </w:pPr>
      <w:r>
        <w:rPr>
          <w:rFonts w:ascii="Arial" w:cs="Arial" w:eastAsia="Arial" w:hAnsi="Arial"/>
          <w:b/>
          <w:bCs/>
          <w:color w:val="1B365D"/>
          <w:sz w:val="26"/>
          <w:szCs w:val="26"/>
        </w:rPr>
        <w:t xml:space="preserve">6.4 Acceptable failure modes</w:t>
      </w:r>
    </w:p>
    <w:p>
      <w:pPr>
        <w:spacing w:after="120"/>
      </w:pPr>
      <w:r>
        <w:rPr>
          <w:rFonts w:ascii="Arial" w:cs="Arial" w:eastAsia="Arial" w:hAnsi="Arial"/>
        </w:rPr>
        <w:t xml:space="preserve">All identified failure modes are acceptable. No combination of visualization-tool failures blocks a client deliverable, halts a billable hour, or compromises a regulatory commitment.</w:t>
      </w:r>
    </w:p>
    <w:p>
      <w:pPr>
        <w:pStyle w:val="Heading2"/>
        <w:spacing w:after="140" w:before="280"/>
      </w:pPr>
      <w:r>
        <w:rPr>
          <w:rFonts w:ascii="Arial" w:cs="Arial" w:eastAsia="Arial" w:hAnsi="Arial"/>
          <w:b/>
          <w:bCs/>
          <w:color w:val="1B365D"/>
          <w:sz w:val="26"/>
          <w:szCs w:val="26"/>
        </w:rPr>
        <w:t xml:space="preserve">6.5 Review cadence</w:t>
      </w:r>
    </w:p>
    <w:p>
      <w:pPr>
        <w:pStyle w:val="ListParagraph"/>
        <w:numPr>
          <w:ilvl w:val="0"/>
          <w:numId w:val="2"/>
        </w:numPr>
        <w:spacing w:after="60"/>
      </w:pPr>
      <w:r>
        <w:rPr>
          <w:rFonts w:ascii="Arial" w:cs="Arial" w:eastAsia="Arial" w:hAnsi="Arial"/>
        </w:rPr>
        <w:t xml:space="preserve">Annual full review (next: 2027-05-02) co-owned by P4 and P9.</w:t>
      </w:r>
    </w:p>
    <w:p>
      <w:pPr>
        <w:pStyle w:val="ListParagraph"/>
        <w:numPr>
          <w:ilvl w:val="0"/>
          <w:numId w:val="2"/>
        </w:numPr>
        <w:spacing w:after="60"/>
      </w:pPr>
      <w:r>
        <w:rPr>
          <w:rFonts w:ascii="Arial" w:cs="Arial" w:eastAsia="Arial" w:hAnsi="Arial"/>
        </w:rPr>
        <w:t xml:space="preserve">Quarterly health check by P4: confirm each tool remains available, licensed, supported.</w:t>
      </w:r>
    </w:p>
    <w:p>
      <w:pPr>
        <w:pStyle w:val="ListParagraph"/>
        <w:numPr>
          <w:ilvl w:val="0"/>
          <w:numId w:val="2"/>
        </w:numPr>
        <w:spacing w:after="60"/>
      </w:pPr>
      <w:r>
        <w:rPr>
          <w:rFonts w:ascii="Arial" w:cs="Arial" w:eastAsia="Arial" w:hAnsi="Arial"/>
        </w:rPr>
        <w:t xml:space="preserve">Trigger review on: tool deprecation announcement; net-new use case current stack cannot serve; pricing change affecting BCG.</w:t>
      </w:r>
    </w:p>
    <w:p>
      <w:pPr>
        <w:pStyle w:val="Heading1"/>
        <w:spacing w:after="180" w:before="360"/>
      </w:pPr>
      <w:r>
        <w:rPr>
          <w:rFonts w:ascii="Arial" w:cs="Arial" w:eastAsia="Arial" w:hAnsi="Arial"/>
          <w:b/>
          <w:bCs/>
          <w:color w:val="1B365D"/>
          <w:sz w:val="32"/>
          <w:szCs w:val="32"/>
        </w:rPr>
        <w:t xml:space="preserve">7. Implementation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800"/>
        <w:gridCol w:w="2760"/>
      </w:tblGrid>
      <w:tr>
        <w:trPr>
          <w:tblHeader/>
        </w:trPr>
        <w:tc>
          <w:tcPr>
            <w:tcW w:type="dxa" w:w="4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4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18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276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Approve this ADR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Gregory</w:t>
            </w:r>
          </w:p>
        </w:tc>
        <w:tc>
          <w:tcPr>
            <w:tcW w:type="dxa" w:w="2760"/>
            <w:tcBorders>
              <w:top w:val="single" w:color="BFBFBF" w:sz="4"/>
              <w:left w:val="single" w:color="BFBFBF" w:sz="4"/>
              <w:bottom w:val="single" w:color="BFBFBF" w:sz="4"/>
              <w:right w:val="single" w:color="BFBFBF" w:sz="4"/>
            </w:tcBorders>
            <w:shd w:fill="C0DD9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COMPLETE 2026-05-02</w:t>
            </w:r>
          </w:p>
        </w:tc>
      </w:tr>
      <w:tr>
        <w:tc>
          <w:tcPr>
            <w:tcW w:type="dxa" w:w="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4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Assign canonical number from BCG Governance Doc Registry</w:t>
            </w:r>
          </w:p>
        </w:tc>
        <w:tc>
          <w:tcPr>
            <w:tcW w:type="dxa" w:w="18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Gregory + P4</w:t>
            </w:r>
          </w:p>
        </w:tc>
        <w:tc>
          <w:tcPr>
            <w:tcW w:type="dxa" w:w="2760"/>
            <w:tcBorders>
              <w:top w:val="single" w:color="BFBFBF" w:sz="4"/>
              <w:left w:val="single" w:color="BFBFBF" w:sz="4"/>
              <w:bottom w:val="single" w:color="BFBFBF" w:sz="4"/>
              <w:right w:val="single" w:color="BFBFBF" w:sz="4"/>
            </w:tcBorders>
            <w:shd w:fill="C0DD9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COMPLETE - assigned ADR-001; new ADR sequence established</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Commit ADR to bcg-ops-governance/standards/ as canonical Markdown reference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P4 next session</w:t>
            </w:r>
          </w:p>
        </w:tc>
        <w:tc>
          <w:tcPr>
            <w:tcW w:type="dxa" w:w="27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w:t>
            </w:r>
          </w:p>
        </w:tc>
      </w:tr>
      <w:tr>
        <w:tc>
          <w:tcPr>
            <w:tcW w:type="dxa" w:w="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4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BCG_Governance_Doc_Registry.md with ADR-001 entry (and new ADR section)</w:t>
            </w:r>
          </w:p>
        </w:tc>
        <w:tc>
          <w:tcPr>
            <w:tcW w:type="dxa" w:w="18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P4 next session</w:t>
            </w:r>
          </w:p>
        </w:tc>
        <w:tc>
          <w:tcPr>
            <w:tcW w:type="dxa" w:w="27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 draft entry in originating session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Author Visualization Authoring Standard SOP (W-XX)</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P2 / Jennifer queue</w:t>
            </w:r>
          </w:p>
        </w:tc>
        <w:tc>
          <w:tcPr>
            <w:tcW w:type="dxa" w:w="27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 gates on Action 3</w:t>
            </w:r>
          </w:p>
        </w:tc>
      </w:tr>
      <w:tr>
        <w:tc>
          <w:tcPr>
            <w:tcW w:type="dxa" w:w="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w:t>
            </w:r>
          </w:p>
        </w:tc>
        <w:tc>
          <w:tcPr>
            <w:tcW w:type="dxa" w:w="4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visualization-tool dependency to BCG Enterprise BCP risk register (use Section 6 as source)</w:t>
            </w:r>
          </w:p>
        </w:tc>
        <w:tc>
          <w:tcPr>
            <w:tcW w:type="dxa" w:w="18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P9 / Bob</w:t>
            </w:r>
          </w:p>
        </w:tc>
        <w:tc>
          <w:tcPr>
            <w:tcW w:type="dxa" w:w="27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GOV-017 (P4-002 Technical Architecture) to reference ADR-001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P4-002 / Cory</w:t>
            </w:r>
          </w:p>
        </w:tc>
        <w:tc>
          <w:tcPr>
            <w:tcW w:type="dxa" w:w="27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w:t>
            </w:r>
          </w:p>
        </w:tc>
      </w:tr>
      <w:tr>
        <w:tc>
          <w:tcPr>
            <w:tcW w:type="dxa" w:w="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w:t>
            </w:r>
          </w:p>
        </w:tc>
        <w:tc>
          <w:tcPr>
            <w:tcW w:type="dxa" w:w="44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Notify ecosystem project owners - one-line Slack post per channel referencing GitHub-committed ADR</w:t>
            </w:r>
          </w:p>
        </w:tc>
        <w:tc>
          <w:tcPr>
            <w:tcW w:type="dxa" w:w="18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Gregory</w:t>
            </w:r>
          </w:p>
        </w:tc>
        <w:tc>
          <w:tcPr>
            <w:tcW w:type="dxa" w:w="27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 gates on Action 3</w:t>
            </w:r>
          </w:p>
        </w:tc>
      </w:tr>
    </w:tbl>
    <w:p>
      <w:pPr>
        <w:pStyle w:val="Heading1"/>
        <w:spacing w:after="180" w:before="360"/>
      </w:pPr>
      <w:r>
        <w:rPr>
          <w:rFonts w:ascii="Arial" w:cs="Arial" w:eastAsia="Arial" w:hAnsi="Arial"/>
          <w:b/>
          <w:bCs/>
          <w:color w:val="1B365D"/>
          <w:sz w:val="32"/>
          <w:szCs w:val="32"/>
        </w:rPr>
        <w:t xml:space="preserve">8. Routing and Handoffs</w:t>
      </w:r>
    </w:p>
    <w:p>
      <w:pPr>
        <w:spacing w:after="120"/>
      </w:pPr>
      <w:r>
        <w:rPr>
          <w:rFonts w:ascii="Arial" w:cs="Arial" w:eastAsia="Arial" w:hAnsi="Arial"/>
          <w:b/>
          <w:bCs/>
          <w:color w:val="1B365D"/>
        </w:rPr>
        <w:t xml:space="preserve">[FROM: P4-002 - Revit and BIM Automation] [DATE: 2026-05-02] [TOPIC: ADR-001 Visualization Tooling Architecture - APPROVED, Promoted to P4]</w:t>
      </w:r>
    </w:p>
    <w:p>
      <w:pPr>
        <w:spacing w:after="120"/>
      </w:pPr>
      <w:r>
        <w:rPr>
          <w:rFonts w:ascii="Arial" w:cs="Arial" w:eastAsia="Arial" w:hAnsi="Arial"/>
          <w:b/>
          <w:bCs/>
          <w:color w:val="8B0000"/>
        </w:rPr>
        <w:t xml:space="preserve">[FLAG FOR P4 - ELEVATE]</w:t>
      </w:r>
      <w:r>
        <w:rPr>
          <w:rFonts w:ascii="Arial" w:cs="Arial" w:eastAsia="Arial" w:hAnsi="Arial"/>
        </w:rPr>
        <w:t xml:space="preserve"> P4 owns ADR-001 going forward. Maintains the stack, approves exceptions, schedules annual review with P9.</w:t>
      </w:r>
    </w:p>
    <w:p>
      <w:pPr>
        <w:spacing w:after="120"/>
      </w:pPr>
      <w:r>
        <w:rPr>
          <w:rFonts w:ascii="Arial" w:cs="Arial" w:eastAsia="Arial" w:hAnsi="Arial"/>
          <w:b/>
          <w:bCs/>
          <w:color w:val="8B0000"/>
        </w:rPr>
        <w:t xml:space="preserve">[FLAG FOR P2 - SOP CANDIDATE]</w:t>
      </w:r>
      <w:r>
        <w:rPr>
          <w:rFonts w:ascii="Arial" w:cs="Arial" w:eastAsia="Arial" w:hAnsi="Arial"/>
        </w:rPr>
        <w:t xml:space="preserve"> Author Visualization Authoring Standard SOP (W-XX) as operational companion. Should cover: tool selection rules, Mermaid embedding patterns, draw.io exception process, SmartArt conventions, exception escalation through P4.</w:t>
      </w:r>
    </w:p>
    <w:p>
      <w:pPr>
        <w:spacing w:after="120"/>
      </w:pPr>
      <w:r>
        <w:rPr>
          <w:rFonts w:ascii="Arial" w:cs="Arial" w:eastAsia="Arial" w:hAnsi="Arial"/>
          <w:b/>
          <w:bCs/>
          <w:color w:val="8B0000"/>
        </w:rPr>
        <w:t xml:space="preserve">[FLAG FOR P9 - BCP RISK ENTRY]</w:t>
      </w:r>
      <w:r>
        <w:rPr>
          <w:rFonts w:ascii="Arial" w:cs="Arial" w:eastAsia="Arial" w:hAnsi="Arial"/>
        </w:rPr>
        <w:t xml:space="preserve"> Add visualization-tool dependency to BCG Enterprise BCP dependency risk register using Section 6 as source content. Schedule annual review co-owned with P4.</w:t>
      </w:r>
    </w:p>
    <w:p>
      <w:pPr>
        <w:spacing w:after="120"/>
      </w:pPr>
      <w:r>
        <w:rPr>
          <w:rFonts w:ascii="Arial" w:cs="Arial" w:eastAsia="Arial" w:hAnsi="Arial"/>
          <w:b/>
          <w:bCs/>
          <w:color w:val="606060"/>
        </w:rPr>
        <w:t xml:space="preserve">[INFO TO P0 - SYNTHESIS HUB]</w:t>
      </w:r>
      <w:r>
        <w:rPr>
          <w:rFonts w:ascii="Arial" w:cs="Arial" w:eastAsia="Arial" w:hAnsi="Arial"/>
        </w:rPr>
        <w:t xml:space="preserve"> Awareness only. P0 references ADR-001 in future strategic synthesis outputs touching deliverable production or visualization choices.</w:t>
      </w:r>
    </w:p>
    <w:p>
      <w:pPr>
        <w:pStyle w:val="Heading1"/>
        <w:spacing w:after="180" w:before="360"/>
      </w:pPr>
      <w:r>
        <w:rPr>
          <w:rFonts w:ascii="Arial" w:cs="Arial" w:eastAsia="Arial" w:hAnsi="Arial"/>
          <w:b/>
          <w:bCs/>
          <w:color w:val="1B365D"/>
          <w:sz w:val="32"/>
          <w:szCs w:val="32"/>
        </w:rPr>
        <w:t xml:space="preserve">9. Approval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Date</w:t>
            </w:r>
          </w:p>
        </w:tc>
        <w:tc>
          <w:tcPr>
            <w:tcW w:type="dxa" w:w="550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Event</w:t>
            </w:r>
          </w:p>
        </w:tc>
        <w:tc>
          <w:tcPr>
            <w:tcW w:type="dxa" w:w="2060"/>
            <w:tcBorders>
              <w:top w:val="single" w:color="BFBFBF" w:sz="4"/>
              <w:left w:val="single" w:color="BFBFBF" w:sz="4"/>
              <w:bottom w:val="single" w:color="BFBFBF" w:sz="4"/>
              <w:right w:val="single" w:color="BFBFBF" w:sz="4"/>
            </w:tcBorders>
            <w:shd w:fill="1B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Recorded by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2026-05-02</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Originating session: P4-002 chat - visualization toolkit assessment, skip-list confirmation, BCP framing</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P4-002 chat history</w:t>
            </w:r>
          </w:p>
        </w:tc>
      </w:tr>
      <w:tr>
        <w:tc>
          <w:tcPr>
            <w:tcW w:type="dxa" w:w="18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2026-05-02</w:t>
            </w:r>
          </w:p>
        </w:tc>
        <w:tc>
          <w:tcPr>
            <w:tcW w:type="dxa" w:w="550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 PROPOSED to APPROVED. Number assigned: ADR-001. New ADR sequence established for BCG.</w:t>
            </w:r>
          </w:p>
        </w:tc>
        <w:tc>
          <w:tcPr>
            <w:tcW w:type="dxa" w:w="2060"/>
            <w:tcBorders>
              <w:top w:val="single" w:color="BFBFBF" w:sz="4"/>
              <w:left w:val="single" w:color="BFBFBF" w:sz="4"/>
              <w:bottom w:val="single" w:color="BFBFBF" w:sz="4"/>
              <w:right w:val="single" w:color="BFBFBF" w:sz="4"/>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Gregory Bernardo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2026-05-02</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Memory edit #8 added to Claude project P4-002 memory: proactive visualization offers during planning sessions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Claude project memory</w:t>
            </w:r>
          </w:p>
        </w:tc>
      </w:tr>
    </w:tbl>
    <w:p>
      <w:pPr>
        <w:pStyle w:val="Heading1"/>
        <w:spacing w:after="180" w:before="360"/>
      </w:pPr>
      <w:r>
        <w:rPr>
          <w:rFonts w:ascii="Arial" w:cs="Arial" w:eastAsia="Arial" w:hAnsi="Arial"/>
          <w:b/>
          <w:bCs/>
          <w:color w:val="1B365D"/>
          <w:sz w:val="32"/>
          <w:szCs w:val="32"/>
        </w:rPr>
        <w:t xml:space="preserve">10. ADR Sequence Convention</w:t>
      </w:r>
    </w:p>
    <w:p>
      <w:pPr>
        <w:spacing w:after="120"/>
      </w:pPr>
      <w:r>
        <w:rPr>
          <w:rFonts w:ascii="Arial" w:cs="Arial" w:eastAsia="Arial" w:hAnsi="Arial"/>
        </w:rPr>
        <w:t xml:space="preserve">ADR-001 establishes the </w:t>
      </w:r>
      <w:r>
        <w:rPr>
          <w:rFonts w:ascii="Arial" w:cs="Arial" w:eastAsia="Arial" w:hAnsi="Arial"/>
          <w:b/>
          <w:bCs/>
        </w:rPr>
        <w:t xml:space="preserve">ADR-NNN</w:t>
      </w:r>
      <w:r>
        <w:rPr>
          <w:rFonts w:ascii="Arial" w:cs="Arial" w:eastAsia="Arial" w:hAnsi="Arial"/>
        </w:rPr>
        <w:t xml:space="preserve"> sequence as a new BCG artifact class, distinct from the existing </w:t>
      </w:r>
      <w:r>
        <w:rPr>
          <w:rFonts w:ascii="Arial" w:cs="Arial" w:eastAsia="Arial" w:hAnsi="Arial"/>
          <w:b/>
          <w:bCs/>
        </w:rPr>
        <w:t xml:space="preserve">GOV-NNN</w:t>
      </w:r>
      <w:r>
        <w:rPr>
          <w:rFonts w:ascii="Arial" w:cs="Arial" w:eastAsia="Arial" w:hAnsi="Arial"/>
        </w:rPr>
        <w:t xml:space="preserve"> sequence.</w:t>
      </w:r>
    </w:p>
    <w:p>
      <w:pPr>
        <w:pStyle w:val="ListParagraph"/>
        <w:numPr>
          <w:ilvl w:val="0"/>
          <w:numId w:val="2"/>
        </w:numPr>
        <w:spacing w:after="60"/>
      </w:pPr>
      <w:r>
        <w:rPr>
          <w:rFonts w:ascii="Arial" w:cs="Arial" w:eastAsia="Arial" w:hAnsi="Arial"/>
        </w:rPr>
        <w:t xml:space="preserve">ADR-NNN documents THE DECISION AND ITS RATIONALE - what was chosen, what was rejected, why. Architectural decisions only.</w:t>
      </w:r>
    </w:p>
    <w:p>
      <w:pPr>
        <w:pStyle w:val="ListParagraph"/>
        <w:numPr>
          <w:ilvl w:val="0"/>
          <w:numId w:val="2"/>
        </w:numPr>
        <w:spacing w:after="60"/>
      </w:pPr>
      <w:r>
        <w:rPr>
          <w:rFonts w:ascii="Arial" w:cs="Arial" w:eastAsia="Arial" w:hAnsi="Arial"/>
        </w:rPr>
        <w:t xml:space="preserve">GOV-NNN documents THE RESULTING RULES - standards, inventories, registries, operational doctrine.</w:t>
      </w:r>
    </w:p>
    <w:p>
      <w:pPr>
        <w:spacing w:after="120"/>
      </w:pPr>
      <w:r>
        <w:rPr>
          <w:rFonts w:ascii="Arial" w:cs="Arial" w:eastAsia="Arial" w:hAnsi="Arial"/>
        </w:rPr>
        <w:t xml:space="preserve">A given subject may have both: ADR-001 (this decision) is companioned by the pending Visualization Authoring Standard SOP (the rules), which receives a W-NN number from the SOP library, not an ADR or GOV number.</w:t>
      </w:r>
    </w:p>
    <w:p>
      <w:pPr>
        <w:pBdr>
          <w:bottom w:val="single" w:color="1B365D" w:sz="8" w:space="1"/>
        </w:pBdr>
        <w:spacing w:after="120" w:before="240"/>
      </w:pPr>
    </w:p>
    <w:p>
      <w:pPr>
        <w:spacing w:after="120"/>
      </w:pPr>
      <w:r>
        <w:rPr>
          <w:rFonts w:ascii="Arial" w:cs="Arial" w:eastAsia="Arial" w:hAnsi="Arial"/>
          <w:i/>
          <w:iCs/>
          <w:color w:val="606060"/>
          <w:sz w:val="16"/>
          <w:szCs w:val="16"/>
        </w:rPr>
        <w:t xml:space="preserve">Canonical form: ADR-001_Visualization_Tooling_Architecture.md committed to bcg-ops-governance/standards/ on Action 3 completion. This .docx is the historical archive of the decision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6060"/>
        <w:sz w:val="16"/>
        <w:szCs w:val="16"/>
      </w:rPr>
      <w:t xml:space="preserve">Page </w:t>
    </w:r>
    <w:r>
      <w:rPr>
        <w:rFonts w:ascii="Arial" w:cs="Arial" w:eastAsia="Arial" w:hAnsi="Arial"/>
        <w:color w:val="606060"/>
        <w:sz w:val="16"/>
        <w:szCs w:val="16"/>
      </w:rPr>
      <w:fldChar w:fldCharType="begin"/>
      <w:instrText xml:space="preserve">PAGE</w:instrText>
      <w:fldChar w:fldCharType="separate"/>
      <w:fldChar w:fldCharType="end"/>
    </w:r>
    <w:r>
      <w:rPr>
        <w:rFonts w:ascii="Arial" w:cs="Arial" w:eastAsia="Arial" w:hAnsi="Arial"/>
        <w:color w:val="606060"/>
        <w:sz w:val="16"/>
        <w:szCs w:val="16"/>
      </w:rPr>
      <w:t xml:space="preserve"> of </w:t>
    </w:r>
    <w:r>
      <w:rPr>
        <w:rFonts w:ascii="Arial" w:cs="Arial" w:eastAsia="Arial" w:hAnsi="Arial"/>
        <w:color w:val="6060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06060"/>
        <w:sz w:val="16"/>
        <w:szCs w:val="16"/>
      </w:rPr>
      <w:t xml:space="preserve">BCG | ADR-001 | Visualization Tooling Architecture | APPROVED 2026-05-02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ADR-001 - Visualization Tooling Architecture - APPROVED</dc:title>
  <dc:creator>BCG Corp / P4-002</dc:creator>
  <cp:lastModifiedBy>Un-named</cp:lastModifiedBy>
  <cp:revision>1</cp:revision>
  <dcterms:created xsi:type="dcterms:W3CDTF">2026-05-02T13:32:03.540Z</dcterms:created>
  <dcterms:modified xsi:type="dcterms:W3CDTF">2026-05-02T13:32:03.554Z</dcterms:modified>
</cp:coreProperties>
</file>

<file path=docProps/custom.xml><?xml version="1.0" encoding="utf-8"?>
<Properties xmlns="http://schemas.openxmlformats.org/officeDocument/2006/custom-properties" xmlns:vt="http://schemas.openxmlformats.org/officeDocument/2006/docPropsVTypes"/>
</file>