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Financial Line Items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Financial Line Item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Financial Line Item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Financial Line Item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Inactive Financial Line Items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My Financial Line Items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Quick Find Active Financial Line Items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Financial Line Items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edu_type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edu_siteservice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edu_cost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edu_financialmonthlysummary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createdon,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name="edu_financiallineitem"&gt;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name="edu_financialmonthlysummary"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name="edu_cost"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name="edu_financiallineitemid"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Financial Line Item Advanced Find View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edu_type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edu_siteservice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edu_cost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edu_financialmonthlysummary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createdon,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name="edu_financiallineitem"&gt;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name="edu_financialmonthlysummary"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name="edu_cost"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name="edu_financiallineitemid"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Financial Line Item Associated View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edu_type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edu_siteservice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edu_cost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edu_financialmonthlysummary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createdon,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name="edu_financiallineitem"&gt;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name="edu_financialmonthlysummary"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name="edu_cost"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name="edu_financiallineitemid"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Financial Line Item Lookup View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name="edu_financiallineitem"&gt;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name="edu_financiallineitemid"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Inactive Financial Line Items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edu_type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edu_siteservice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edu_cost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edu_financialmonthlysummary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createdon,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name="edu_financiallineitem"&gt;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name="edu_financialmonthlysummary"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name="edu_cost"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name="edu_financiallineitemid"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My Financial Line Items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name="edu_financiallineitem"&gt;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name="edu_financiallineitemid"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Quick Find Active Financial Line Items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edu_type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edu_siteservice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edu_cost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edu_financialmonthlysummary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edu_vendor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edu_siteservice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edu_financialmonthlysummary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edu_financialcategory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createdon,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name="edu_financiallineitem"&gt;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attribute="edu_vendor"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attribute="edu_siteservice"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attribute="edu_financialmonthlysummary"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attribute="edu_financialcategory"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name="edu_financialmonthlysummary"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name="edu_cost"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name="edu_financiallineitemid"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9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