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Regions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Inactive Regions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My Regions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Quick Find Active Regions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Region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Region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Region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Regions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edu_numberofschooldistricts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name="edu_region"&gt;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name="edu_numberofschooldistricts"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Inactive Regions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name="edu_region"&gt;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My Regions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name="edu_region"&gt;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Quick Find Active Regions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edu_numberofschooldistricts (100px)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name="edu_region"&gt;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name="edu_numberofschooldistricts"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Region Advanced Find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name="edu_region"&gt;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Region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name="edu_region"&gt;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Region Lookup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name="edu_region"&gt;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name="edu_regionid"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