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All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Child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Inactive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My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Parent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Quick Find Active Sites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Schools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Site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Site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Site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Sites with Cases or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12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All Sites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edu_sitetype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Child Sites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edu_parentsite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attribute="edu_parentsite"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Inactive Sites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My Sites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Parent Sites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edu_parentsite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attribute="edu_parentsite"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Quick Find Active Sites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edu_grades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edu_addressline1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edu_addresspostalcode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edu_addressprovince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edu_mailingaddresscity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edu_mailingaddressline1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edu_mailingaddresspostalcode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edu_mailingaddressprovince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edu_number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edu_siteaddressprovince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edu_siteaddresspostalcode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edu_siteaddressline1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edu_siteaddresscity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edu_schooldistrict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edu_schoolcode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edu_mailingaddressprovince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edu_mailingaddresspostalcode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edu_mailingaddressline1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edu_mailingaddresscity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edu_keywords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edu_historicalsiteid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attribute="edu_number"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attribute="edu_siteaddressprovince"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attribute="edu_siteaddresspostalcode"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attribute="edu_siteaddressline1"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attribute="edu_siteaddresscity"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attribute="edu_schooldistrict"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attribute="edu_schoolcode"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attribute="edu_mailingaddressprovince"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attribute="edu_mailingaddresspostalcode"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attribute="edu_mailingaddressline1"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attribute="edu_mailingaddresscity"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attribute="edu_keywords"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attribute="edu_historicalsiteid"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name="edu_mailingaddressprovince"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name="edu_mailingaddresspostalcode"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name="edu_mailingaddressline1"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name="edu_mailingaddresscity"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name="edu_grades"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name="edu_addressprovince"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name="edu_addresspostalcode"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name="edu_addressline1"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Schools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edu_sitetype in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attribute="edu_sitetype" operator="in"&gt;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&lt;value&gt;100000003&lt;/value&gt;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&lt;value&gt;100000002&lt;/value&gt;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&lt;value&gt;100000000&lt;/value&gt;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&lt;value&gt;100000001&lt;/value&gt;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&lt;/condition&gt;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Site Advanced Find View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Site Associated View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Site Lookup View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Sites with Cases or Orders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edu_numberofactivecases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edu_numberofactiveorders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edu_addresscity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name="edu_addresscity"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attribute="edu_numberofactivecases" operator="gt"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attribute="edu_numberofactiveorders" operator="gt"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name="edu_numberofactiveorders"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name="edu_numberofactivecases"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13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