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Site Service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Site Service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Site Service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Site Service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Site Service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Site Service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Site Service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Site Service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edu_currentprice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Site Service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Site Service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Site Service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edu_service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edu_publicfacingip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edu_projectnumber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edu_historicalsiteserviceid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edu_customerserviceidentification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edu_assettag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attribute="edu_service"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attribute="edu_publicfacingip"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attribute="edu_projectnumber"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attribute="edu_historicalsiteserviceid"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attribute="edu_customerserviceidentification"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attribute="edu_assettag"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Site Service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edu_currentprice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Site Service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Site Service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(125px)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9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