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66"/>
        <w:gridCol w:w="7510"/>
      </w:tblGrid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 xml:space="preserve">Indicator </w:t>
            </w:r>
          </w:p>
        </w:tc>
        <w:tc>
          <w:tcPr>
            <w:tcW w:w="7510" w:type="dxa"/>
          </w:tcPr>
          <w:p w:rsidR="007966F0" w:rsidRDefault="007966F0" w:rsidP="003A4939">
            <w:r>
              <w:t xml:space="preserve">Soapberry </w:t>
            </w:r>
            <w:r w:rsidR="00CF5B7B">
              <w:t>(</w:t>
            </w:r>
            <w:proofErr w:type="spellStart"/>
            <w:r w:rsidR="00CF5B7B">
              <w:t>Soopalalie</w:t>
            </w:r>
            <w:proofErr w:type="spellEnd"/>
            <w:r w:rsidR="00CF5B7B">
              <w:t xml:space="preserve">) </w:t>
            </w:r>
            <w:r w:rsidR="00205086">
              <w:t xml:space="preserve">Production </w:t>
            </w:r>
            <w:r>
              <w:t>Counts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Measure(s)</w:t>
            </w:r>
          </w:p>
        </w:tc>
        <w:tc>
          <w:tcPr>
            <w:tcW w:w="7510" w:type="dxa"/>
          </w:tcPr>
          <w:p w:rsidR="007966F0" w:rsidRDefault="00205086" w:rsidP="003A4939">
            <w:r>
              <w:t>Index of soapberry (</w:t>
            </w:r>
            <w:proofErr w:type="spellStart"/>
            <w:r w:rsidR="00CF5B7B">
              <w:rPr>
                <w:i/>
              </w:rPr>
              <w:t>Shepherdia</w:t>
            </w:r>
            <w:proofErr w:type="spellEnd"/>
            <w:r w:rsidR="00CF5B7B">
              <w:rPr>
                <w:i/>
              </w:rPr>
              <w:t xml:space="preserve"> </w:t>
            </w:r>
            <w:proofErr w:type="spellStart"/>
            <w:r w:rsidR="00CF5B7B">
              <w:rPr>
                <w:i/>
              </w:rPr>
              <w:t>c</w:t>
            </w:r>
            <w:r w:rsidRPr="00205086">
              <w:rPr>
                <w:i/>
              </w:rPr>
              <w:t>anadensis</w:t>
            </w:r>
            <w:proofErr w:type="spellEnd"/>
            <w:r>
              <w:t>) production</w:t>
            </w:r>
            <w:r w:rsidR="003A4939">
              <w:t>. In regions where soapberries are not common, red huckleberry (</w:t>
            </w:r>
            <w:proofErr w:type="spellStart"/>
            <w:r w:rsidR="003A4939" w:rsidRPr="003A4939">
              <w:rPr>
                <w:i/>
              </w:rPr>
              <w:t>Vaccinium</w:t>
            </w:r>
            <w:proofErr w:type="spellEnd"/>
            <w:r w:rsidR="003A4939" w:rsidRPr="003A4939">
              <w:rPr>
                <w:i/>
              </w:rPr>
              <w:t xml:space="preserve"> </w:t>
            </w:r>
            <w:proofErr w:type="spellStart"/>
            <w:r w:rsidR="003A4939" w:rsidRPr="003A4939">
              <w:rPr>
                <w:i/>
              </w:rPr>
              <w:t>paraflorum</w:t>
            </w:r>
            <w:proofErr w:type="spellEnd"/>
            <w:r w:rsidR="003A4939">
              <w:t>) can be substituted.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Justification</w:t>
            </w:r>
          </w:p>
        </w:tc>
        <w:tc>
          <w:tcPr>
            <w:tcW w:w="7510" w:type="dxa"/>
          </w:tcPr>
          <w:p w:rsidR="007966F0" w:rsidRPr="00205086" w:rsidRDefault="00205086" w:rsidP="003A4939">
            <w:pPr>
              <w:autoSpaceDE w:val="0"/>
              <w:autoSpaceDN w:val="0"/>
              <w:adjustRightInd w:val="0"/>
              <w:rPr>
                <w:rFonts w:cs="ArialMT"/>
              </w:rPr>
            </w:pPr>
            <w:r w:rsidRPr="00205086">
              <w:rPr>
                <w:rFonts w:cs="ArialMT"/>
              </w:rPr>
              <w:t>Soapberries are an important food for grizzly bears and other mammals and birds. Soapberry production varies greatly from year to year</w:t>
            </w:r>
            <w:r>
              <w:rPr>
                <w:rFonts w:cs="ArialMT"/>
              </w:rPr>
              <w:t xml:space="preserve">. </w:t>
            </w:r>
            <w:r w:rsidR="003A4939">
              <w:rPr>
                <w:rFonts w:cs="ArialMT"/>
              </w:rPr>
              <w:t>Soapberries are</w:t>
            </w:r>
            <w:r>
              <w:rPr>
                <w:rFonts w:cs="ArialMT"/>
              </w:rPr>
              <w:t xml:space="preserve"> </w:t>
            </w:r>
            <w:r w:rsidR="003A4939">
              <w:rPr>
                <w:rFonts w:cs="ArialMT"/>
              </w:rPr>
              <w:t>an indicator of ecosystem productivity</w:t>
            </w:r>
            <w:r>
              <w:rPr>
                <w:rFonts w:cs="ArialMT"/>
              </w:rPr>
              <w:t xml:space="preserve">. 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Description</w:t>
            </w:r>
          </w:p>
        </w:tc>
        <w:tc>
          <w:tcPr>
            <w:tcW w:w="7510" w:type="dxa"/>
          </w:tcPr>
          <w:p w:rsidR="007966F0" w:rsidRPr="00205086" w:rsidRDefault="00205086" w:rsidP="00205086">
            <w:pPr>
              <w:autoSpaceDE w:val="0"/>
              <w:autoSpaceDN w:val="0"/>
              <w:adjustRightInd w:val="0"/>
              <w:rPr>
                <w:rFonts w:cs="ArialMT"/>
                <w:szCs w:val="24"/>
              </w:rPr>
            </w:pPr>
            <w:r w:rsidRPr="00205086">
              <w:rPr>
                <w:rFonts w:cs="ArialMT"/>
                <w:szCs w:val="24"/>
              </w:rPr>
              <w:t>We count the number of berries prod</w:t>
            </w:r>
            <w:r>
              <w:rPr>
                <w:rFonts w:cs="ArialMT"/>
                <w:szCs w:val="24"/>
              </w:rPr>
              <w:t xml:space="preserve">uced on the exact same </w:t>
            </w:r>
            <w:r w:rsidRPr="00205086">
              <w:rPr>
                <w:rFonts w:cs="ArialMT"/>
                <w:szCs w:val="24"/>
              </w:rPr>
              <w:t>stems of soapberry bushe</w:t>
            </w:r>
            <w:r>
              <w:rPr>
                <w:rFonts w:cs="ArialMT"/>
                <w:szCs w:val="24"/>
              </w:rPr>
              <w:t xml:space="preserve">s each year to give an index of </w:t>
            </w:r>
            <w:r w:rsidRPr="00205086">
              <w:rPr>
                <w:rFonts w:cs="ArialMT"/>
                <w:szCs w:val="24"/>
              </w:rPr>
              <w:t>soapberry production. We do n</w:t>
            </w:r>
            <w:r>
              <w:rPr>
                <w:rFonts w:cs="ArialMT"/>
                <w:szCs w:val="24"/>
              </w:rPr>
              <w:t xml:space="preserve">ot attempt to measure the total </w:t>
            </w:r>
            <w:r w:rsidRPr="00205086">
              <w:rPr>
                <w:rFonts w:cs="ArialMT"/>
                <w:szCs w:val="24"/>
              </w:rPr>
              <w:t>biomass production of soapberries per hectare.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Measurement Frequency</w:t>
            </w:r>
          </w:p>
        </w:tc>
        <w:tc>
          <w:tcPr>
            <w:tcW w:w="7510" w:type="dxa"/>
          </w:tcPr>
          <w:p w:rsidR="007966F0" w:rsidRDefault="003A4939" w:rsidP="003A4939">
            <w:r>
              <w:t>Once</w:t>
            </w:r>
            <w:r w:rsidR="007966F0">
              <w:t xml:space="preserve"> per </w:t>
            </w:r>
            <w:r>
              <w:t>year,</w:t>
            </w:r>
            <w:r w:rsidR="007966F0">
              <w:t xml:space="preserve"> </w:t>
            </w:r>
            <w:r>
              <w:t>when berries are nearly ripe. This will vary across the province.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Biome(s)</w:t>
            </w:r>
          </w:p>
        </w:tc>
        <w:tc>
          <w:tcPr>
            <w:tcW w:w="7510" w:type="dxa"/>
          </w:tcPr>
          <w:p w:rsidR="007966F0" w:rsidRDefault="007966F0" w:rsidP="003A4939">
            <w:r>
              <w:t>All forested biomes with soapberry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>
              <w:rPr>
                <w:b/>
              </w:rPr>
              <w:t>Pre-test Sampling:</w:t>
            </w:r>
          </w:p>
        </w:tc>
        <w:tc>
          <w:tcPr>
            <w:tcW w:w="7510" w:type="dxa"/>
          </w:tcPr>
          <w:p w:rsidR="007966F0" w:rsidRDefault="007966F0" w:rsidP="003A4939">
            <w:r>
              <w:t xml:space="preserve">Follow procedures below for sampling. Conduct one full season of monitoring for each </w:t>
            </w:r>
            <w:r w:rsidR="00205086">
              <w:t>relevant</w:t>
            </w:r>
            <w:r>
              <w:t xml:space="preserve"> biome (southern dry forest, coastal wet, interior wet, northern spruce).</w:t>
            </w:r>
          </w:p>
          <w:p w:rsidR="007966F0" w:rsidRDefault="007966F0" w:rsidP="003A4939"/>
          <w:p w:rsidR="007966F0" w:rsidRPr="00527E9E" w:rsidRDefault="007966F0" w:rsidP="003A4939">
            <w:r>
              <w:t xml:space="preserve">Note that because optimal timing (post flowering) is not known for each location you will need to make a few quick trips to the area throughout the season to </w:t>
            </w:r>
            <w:r w:rsidR="00AF0F3F">
              <w:t>determine the best time for sampling</w:t>
            </w:r>
            <w:r>
              <w:t xml:space="preserve">.  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 xml:space="preserve">Sampling </w:t>
            </w:r>
            <w:r>
              <w:rPr>
                <w:b/>
              </w:rPr>
              <w:t>Strategy</w:t>
            </w:r>
          </w:p>
        </w:tc>
        <w:tc>
          <w:tcPr>
            <w:tcW w:w="7510" w:type="dxa"/>
          </w:tcPr>
          <w:p w:rsidR="007966F0" w:rsidRPr="005A789B" w:rsidRDefault="003777AF" w:rsidP="003A4939">
            <w:pPr>
              <w:rPr>
                <w:rFonts w:cs="ArialMT"/>
                <w:szCs w:val="24"/>
              </w:rPr>
            </w:pPr>
            <w:r>
              <w:rPr>
                <w:rFonts w:cs="ArialMT"/>
                <w:szCs w:val="24"/>
              </w:rPr>
              <w:t xml:space="preserve">An area rich in soapberries is located for permanent monitoring. </w:t>
            </w:r>
            <w:r w:rsidR="003A4939">
              <w:rPr>
                <w:rFonts w:cs="ArialMT"/>
                <w:szCs w:val="24"/>
              </w:rPr>
              <w:t>C</w:t>
            </w:r>
            <w:r>
              <w:rPr>
                <w:rFonts w:cs="ArialMT"/>
                <w:szCs w:val="24"/>
              </w:rPr>
              <w:t xml:space="preserve">hoose 10 </w:t>
            </w:r>
            <w:r w:rsidR="003A4939">
              <w:rPr>
                <w:rFonts w:cs="ArialMT"/>
                <w:szCs w:val="24"/>
              </w:rPr>
              <w:t xml:space="preserve">robust </w:t>
            </w:r>
            <w:r>
              <w:rPr>
                <w:rFonts w:cs="ArialMT"/>
                <w:szCs w:val="24"/>
              </w:rPr>
              <w:t>plants</w:t>
            </w:r>
            <w:r w:rsidR="003A4939">
              <w:rPr>
                <w:rFonts w:cs="ArialMT"/>
                <w:szCs w:val="24"/>
              </w:rPr>
              <w:t>.</w:t>
            </w:r>
            <w:r>
              <w:rPr>
                <w:rFonts w:cs="ArialMT"/>
                <w:szCs w:val="24"/>
              </w:rPr>
              <w:t xml:space="preserve"> </w:t>
            </w:r>
            <w:r w:rsidR="003A4939">
              <w:rPr>
                <w:rFonts w:cs="ArialMT"/>
                <w:szCs w:val="24"/>
              </w:rPr>
              <w:t>Mark</w:t>
            </w:r>
            <w:r>
              <w:rPr>
                <w:rFonts w:cs="ArialMT"/>
                <w:szCs w:val="24"/>
              </w:rPr>
              <w:t xml:space="preserve"> 2 branches </w:t>
            </w:r>
            <w:r w:rsidR="003A4939">
              <w:rPr>
                <w:rFonts w:cs="ArialMT"/>
                <w:szCs w:val="24"/>
              </w:rPr>
              <w:t>on</w:t>
            </w:r>
            <w:r>
              <w:rPr>
                <w:rFonts w:cs="ArialMT"/>
                <w:szCs w:val="24"/>
              </w:rPr>
              <w:t xml:space="preserve"> each plant </w:t>
            </w:r>
            <w:r w:rsidR="003A4939">
              <w:rPr>
                <w:rFonts w:cs="ArialMT"/>
                <w:szCs w:val="24"/>
              </w:rPr>
              <w:t>for sampling</w:t>
            </w:r>
            <w:r>
              <w:rPr>
                <w:rFonts w:cs="ArialMT"/>
                <w:szCs w:val="24"/>
              </w:rPr>
              <w:t>.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</w:p>
        </w:tc>
        <w:tc>
          <w:tcPr>
            <w:tcW w:w="7510" w:type="dxa"/>
          </w:tcPr>
          <w:p w:rsidR="007966F0" w:rsidRDefault="007966F0" w:rsidP="003A4939"/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Protocol Source</w:t>
            </w:r>
          </w:p>
        </w:tc>
        <w:tc>
          <w:tcPr>
            <w:tcW w:w="7510" w:type="dxa"/>
          </w:tcPr>
          <w:p w:rsidR="007966F0" w:rsidRDefault="007966F0" w:rsidP="003A4939">
            <w:r>
              <w:t>Yukon Ecological Monitoring Protocols</w:t>
            </w:r>
            <w:r w:rsidR="00275FAE">
              <w:t xml:space="preserve"> (</w:t>
            </w:r>
            <w:r w:rsidR="00275FAE" w:rsidRPr="00275FAE">
              <w:t>http://www.zoology.ubc.ca/~krebs/downloads/field_manual2011.pdf</w:t>
            </w:r>
            <w:r w:rsidR="00275FAE">
              <w:t>)</w:t>
            </w:r>
          </w:p>
        </w:tc>
      </w:tr>
      <w:tr w:rsidR="007966F0" w:rsidRPr="00AB198B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</w:p>
        </w:tc>
        <w:tc>
          <w:tcPr>
            <w:tcW w:w="7510" w:type="dxa"/>
          </w:tcPr>
          <w:p w:rsidR="007966F0" w:rsidRPr="00AB198B" w:rsidRDefault="007966F0" w:rsidP="003A4939"/>
        </w:tc>
      </w:tr>
      <w:tr w:rsidR="007966F0" w:rsidRPr="00AB198B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Unit(s) of Measure</w:t>
            </w:r>
          </w:p>
        </w:tc>
        <w:tc>
          <w:tcPr>
            <w:tcW w:w="7510" w:type="dxa"/>
          </w:tcPr>
          <w:p w:rsidR="007966F0" w:rsidRDefault="007966F0" w:rsidP="008C073C">
            <w:r>
              <w:t>Number of berries</w:t>
            </w:r>
          </w:p>
          <w:p w:rsidR="007966F0" w:rsidRPr="00AB198B" w:rsidRDefault="007966F0" w:rsidP="00AF0F3F">
            <w:r>
              <w:t xml:space="preserve">Comments – record </w:t>
            </w:r>
            <w:r w:rsidR="00AF0F3F">
              <w:t>any general</w:t>
            </w:r>
            <w:r>
              <w:t xml:space="preserve"> comments about plants</w:t>
            </w:r>
          </w:p>
        </w:tc>
      </w:tr>
      <w:tr w:rsidR="007966F0" w:rsidRPr="00AB198B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Standard/Reference Condition</w:t>
            </w:r>
          </w:p>
        </w:tc>
        <w:tc>
          <w:tcPr>
            <w:tcW w:w="7510" w:type="dxa"/>
          </w:tcPr>
          <w:p w:rsidR="007966F0" w:rsidRPr="00AB198B" w:rsidRDefault="007966F0" w:rsidP="003A4939">
            <w:r>
              <w:t>Year over year</w:t>
            </w:r>
          </w:p>
        </w:tc>
      </w:tr>
      <w:tr w:rsidR="007966F0" w:rsidRPr="00AB198B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QA/QC</w:t>
            </w:r>
          </w:p>
        </w:tc>
        <w:tc>
          <w:tcPr>
            <w:tcW w:w="7510" w:type="dxa"/>
          </w:tcPr>
          <w:p w:rsidR="007966F0" w:rsidRPr="00AB198B" w:rsidRDefault="007966F0" w:rsidP="003A4939">
            <w:r>
              <w:t>Repeat measures by multiple independent observers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Analysis</w:t>
            </w:r>
          </w:p>
        </w:tc>
        <w:tc>
          <w:tcPr>
            <w:tcW w:w="7510" w:type="dxa"/>
          </w:tcPr>
          <w:p w:rsidR="007966F0" w:rsidRPr="006B6D93" w:rsidRDefault="007966F0" w:rsidP="006B6D93">
            <w:pPr>
              <w:autoSpaceDE w:val="0"/>
              <w:autoSpaceDN w:val="0"/>
              <w:adjustRightInd w:val="0"/>
              <w:rPr>
                <w:rFonts w:cs="ArialMT"/>
                <w:szCs w:val="24"/>
              </w:rPr>
            </w:pP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 w:rsidRPr="004235C8">
              <w:rPr>
                <w:b/>
              </w:rPr>
              <w:t>References</w:t>
            </w:r>
          </w:p>
        </w:tc>
        <w:tc>
          <w:tcPr>
            <w:tcW w:w="7510" w:type="dxa"/>
          </w:tcPr>
          <w:p w:rsidR="007966F0" w:rsidRDefault="006B6D93" w:rsidP="003A4939">
            <w:r>
              <w:t>Yukon Ecological Monitoring Protocol</w:t>
            </w:r>
          </w:p>
        </w:tc>
      </w:tr>
      <w:tr w:rsidR="007966F0" w:rsidTr="007966F0">
        <w:tc>
          <w:tcPr>
            <w:tcW w:w="2066" w:type="dxa"/>
          </w:tcPr>
          <w:p w:rsidR="007966F0" w:rsidRPr="004235C8" w:rsidRDefault="007966F0" w:rsidP="003A4939">
            <w:pPr>
              <w:rPr>
                <w:b/>
              </w:rPr>
            </w:pPr>
            <w:r>
              <w:rPr>
                <w:b/>
              </w:rPr>
              <w:t>Comments/Notes</w:t>
            </w:r>
          </w:p>
        </w:tc>
        <w:tc>
          <w:tcPr>
            <w:tcW w:w="7510" w:type="dxa"/>
          </w:tcPr>
          <w:p w:rsidR="007966F0" w:rsidRPr="006B6D93" w:rsidRDefault="007966F0" w:rsidP="003A4939">
            <w:r>
              <w:t xml:space="preserve">Establishment of the </w:t>
            </w:r>
            <w:r w:rsidR="006B6D93">
              <w:t>monitoring locations</w:t>
            </w:r>
            <w:r>
              <w:t xml:space="preserve"> is the most time consuming part of the protocol. Note that once established</w:t>
            </w:r>
            <w:r w:rsidR="003A4939">
              <w:t>,</w:t>
            </w:r>
            <w:r>
              <w:t xml:space="preserve"> repeated </w:t>
            </w:r>
            <w:r w:rsidR="003A4939">
              <w:t>data collection</w:t>
            </w:r>
            <w:r>
              <w:t xml:space="preserve"> in future years is a significantly smaller task.</w:t>
            </w:r>
          </w:p>
        </w:tc>
      </w:tr>
    </w:tbl>
    <w:p w:rsidR="00AF0F3F" w:rsidRDefault="00AF0F3F" w:rsidP="00AB198B">
      <w:pPr>
        <w:rPr>
          <w:b/>
        </w:rPr>
      </w:pPr>
    </w:p>
    <w:p w:rsidR="00AF0F3F" w:rsidRDefault="00AF0F3F">
      <w:pPr>
        <w:rPr>
          <w:b/>
        </w:rPr>
      </w:pPr>
      <w:r>
        <w:rPr>
          <w:b/>
        </w:rPr>
        <w:br w:type="page"/>
      </w:r>
    </w:p>
    <w:p w:rsidR="0086177F" w:rsidRDefault="0086177F" w:rsidP="00AB198B">
      <w:pPr>
        <w:rPr>
          <w:i/>
        </w:rPr>
      </w:pPr>
      <w:r w:rsidRPr="0086177F">
        <w:rPr>
          <w:b/>
        </w:rPr>
        <w:lastRenderedPageBreak/>
        <w:t>Detailed Protocol</w:t>
      </w:r>
      <w:r>
        <w:t xml:space="preserve"> </w:t>
      </w:r>
    </w:p>
    <w:p w:rsidR="003A4939" w:rsidRPr="004438F2" w:rsidRDefault="003A4939" w:rsidP="004438F2">
      <w:pPr>
        <w:pStyle w:val="ListParagraph"/>
        <w:numPr>
          <w:ilvl w:val="0"/>
          <w:numId w:val="1"/>
        </w:numPr>
      </w:pPr>
      <w:r w:rsidRPr="004438F2">
        <w:t>Locate and establish plots</w:t>
      </w:r>
    </w:p>
    <w:p w:rsidR="00275FAE" w:rsidRPr="00205086" w:rsidRDefault="00AF0F3F" w:rsidP="00275FAE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>
        <w:rPr>
          <w:rFonts w:cs="ArialMT"/>
          <w:szCs w:val="24"/>
        </w:rPr>
        <w:t xml:space="preserve">Locate an accessible area rich in soapberries. </w:t>
      </w:r>
      <w:r w:rsidR="008C073C">
        <w:rPr>
          <w:rFonts w:cs="ArialMT"/>
          <w:szCs w:val="24"/>
        </w:rPr>
        <w:t xml:space="preserve">This should be an area that is not frequented by visitors who might remove flagging tape and other identification. </w:t>
      </w:r>
      <w:r w:rsidR="00275FAE">
        <w:rPr>
          <w:rFonts w:cs="ArialMT"/>
          <w:szCs w:val="24"/>
        </w:rPr>
        <w:t xml:space="preserve">Take a GPS location of the site. </w:t>
      </w:r>
      <w:r w:rsidR="00253988">
        <w:rPr>
          <w:rFonts w:cs="ArialMT"/>
          <w:szCs w:val="24"/>
        </w:rPr>
        <w:t>C</w:t>
      </w:r>
      <w:r>
        <w:rPr>
          <w:rFonts w:cs="ArialMT"/>
          <w:szCs w:val="24"/>
        </w:rPr>
        <w:t xml:space="preserve">hoose 10 </w:t>
      </w:r>
      <w:r w:rsidR="00253988">
        <w:rPr>
          <w:rFonts w:cs="ArialMT"/>
          <w:szCs w:val="24"/>
        </w:rPr>
        <w:t xml:space="preserve">robust </w:t>
      </w:r>
      <w:r>
        <w:rPr>
          <w:rFonts w:cs="ArialMT"/>
          <w:szCs w:val="24"/>
        </w:rPr>
        <w:t>plants</w:t>
      </w:r>
      <w:r w:rsidR="00756976">
        <w:rPr>
          <w:rFonts w:cs="ArialMT"/>
          <w:szCs w:val="24"/>
        </w:rPr>
        <w:t xml:space="preserve"> with berries</w:t>
      </w:r>
      <w:r>
        <w:rPr>
          <w:rFonts w:cs="ArialMT"/>
          <w:szCs w:val="24"/>
        </w:rPr>
        <w:t xml:space="preserve">. </w:t>
      </w:r>
      <w:r w:rsidR="00756976" w:rsidRPr="00205086">
        <w:rPr>
          <w:rFonts w:cs="ArialMT"/>
          <w:szCs w:val="24"/>
        </w:rPr>
        <w:t>Soapberry bushes may be male or female and only the female</w:t>
      </w:r>
      <w:r w:rsidR="00756976">
        <w:rPr>
          <w:rFonts w:cs="ArialMT"/>
          <w:szCs w:val="24"/>
        </w:rPr>
        <w:t xml:space="preserve"> </w:t>
      </w:r>
      <w:r w:rsidR="00756976" w:rsidRPr="00205086">
        <w:rPr>
          <w:rFonts w:cs="ArialMT"/>
          <w:szCs w:val="24"/>
        </w:rPr>
        <w:t xml:space="preserve">bushes produce berries. </w:t>
      </w:r>
      <w:r>
        <w:rPr>
          <w:rFonts w:cs="ArialMT"/>
          <w:szCs w:val="24"/>
        </w:rPr>
        <w:t>Two branches from each plant are permanently marked.</w:t>
      </w:r>
      <w:r w:rsidR="000365A2">
        <w:rPr>
          <w:rFonts w:cs="ArialMT"/>
          <w:noProof/>
          <w:szCs w:val="24"/>
          <w:lang w:val="en-CA"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-36195</wp:posOffset>
            </wp:positionH>
            <wp:positionV relativeFrom="margin">
              <wp:posOffset>2749550</wp:posOffset>
            </wp:positionV>
            <wp:extent cx="2084705" cy="153987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MT"/>
          <w:szCs w:val="24"/>
        </w:rPr>
        <w:t xml:space="preserve"> </w:t>
      </w:r>
      <w:r w:rsidR="008C073C">
        <w:rPr>
          <w:rFonts w:cs="ArialMT"/>
          <w:szCs w:val="24"/>
        </w:rPr>
        <w:t xml:space="preserve">These can be major branches, or stems. Mark the stem or branch at the base of the portion that is to be counted. </w:t>
      </w:r>
      <w:r w:rsidR="00756976" w:rsidRPr="00205086">
        <w:rPr>
          <w:rFonts w:cs="ArialMT"/>
          <w:szCs w:val="24"/>
        </w:rPr>
        <w:t>The plant should be marked with flagging tape. Use the</w:t>
      </w:r>
      <w:r w:rsidR="00756976">
        <w:rPr>
          <w:rFonts w:cs="ArialMT"/>
          <w:szCs w:val="24"/>
        </w:rPr>
        <w:t xml:space="preserve"> </w:t>
      </w:r>
      <w:r w:rsidR="00756976" w:rsidRPr="00205086">
        <w:rPr>
          <w:rFonts w:cs="ArialMT"/>
          <w:szCs w:val="24"/>
        </w:rPr>
        <w:t>marker pen to label the flagging tape with the bush number.</w:t>
      </w:r>
      <w:r w:rsidR="00275FAE" w:rsidRPr="00275FAE">
        <w:rPr>
          <w:rFonts w:cs="ArialMT"/>
          <w:szCs w:val="24"/>
        </w:rPr>
        <w:t xml:space="preserve"> </w:t>
      </w:r>
      <w:r w:rsidR="00275FAE" w:rsidRPr="00205086">
        <w:rPr>
          <w:rFonts w:cs="ArialMT"/>
          <w:szCs w:val="24"/>
        </w:rPr>
        <w:t>Tag the branch to be sampled</w:t>
      </w:r>
      <w:r w:rsidR="00275FAE">
        <w:rPr>
          <w:rFonts w:cs="ArialMT"/>
          <w:szCs w:val="24"/>
        </w:rPr>
        <w:t xml:space="preserve"> </w:t>
      </w:r>
      <w:r w:rsidR="00275FAE" w:rsidRPr="00205086">
        <w:rPr>
          <w:rFonts w:cs="ArialMT"/>
          <w:szCs w:val="24"/>
        </w:rPr>
        <w:t>LOOSELY</w:t>
      </w:r>
      <w:r w:rsidR="00275FAE">
        <w:rPr>
          <w:rFonts w:cs="ArialMT"/>
          <w:szCs w:val="24"/>
        </w:rPr>
        <w:t xml:space="preserve"> (to allow for branch growth),</w:t>
      </w:r>
      <w:r w:rsidR="00275FAE" w:rsidRPr="00205086">
        <w:rPr>
          <w:rFonts w:cs="ArialMT"/>
          <w:szCs w:val="24"/>
        </w:rPr>
        <w:t xml:space="preserve"> as near the base as possible with permanent</w:t>
      </w:r>
      <w:r w:rsidR="00275FAE">
        <w:rPr>
          <w:rFonts w:cs="ArialMT"/>
          <w:szCs w:val="24"/>
        </w:rPr>
        <w:t xml:space="preserve"> </w:t>
      </w:r>
      <w:r w:rsidR="00275FAE" w:rsidRPr="00205086">
        <w:rPr>
          <w:rFonts w:cs="ArialMT"/>
          <w:szCs w:val="24"/>
        </w:rPr>
        <w:t>aluminum tags with unique numbers. Each of the two</w:t>
      </w:r>
      <w:r w:rsidR="00275FAE">
        <w:rPr>
          <w:rFonts w:cs="ArialMT"/>
          <w:szCs w:val="24"/>
        </w:rPr>
        <w:t xml:space="preserve"> </w:t>
      </w:r>
      <w:r w:rsidR="00275FAE" w:rsidRPr="00205086">
        <w:rPr>
          <w:rFonts w:cs="ArialMT"/>
          <w:szCs w:val="24"/>
        </w:rPr>
        <w:t xml:space="preserve">branches should also be marked loosely with flagging. </w:t>
      </w:r>
    </w:p>
    <w:p w:rsidR="00756976" w:rsidRDefault="00756976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</w:p>
    <w:p w:rsidR="00253988" w:rsidRPr="004438F2" w:rsidRDefault="00253988" w:rsidP="004438F2">
      <w:pPr>
        <w:pStyle w:val="ListParagraph"/>
        <w:numPr>
          <w:ilvl w:val="0"/>
          <w:numId w:val="1"/>
        </w:numPr>
      </w:pPr>
      <w:r w:rsidRPr="004438F2">
        <w:t>Data Collection</w:t>
      </w:r>
    </w:p>
    <w:p w:rsidR="00253988" w:rsidRPr="00205086" w:rsidRDefault="00275FAE" w:rsidP="00253988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205086">
        <w:rPr>
          <w:rFonts w:cs="ArialMT"/>
          <w:szCs w:val="24"/>
        </w:rPr>
        <w:t>The unit of measure is an individual soapberry plant BRANCH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or STEM - not the entire plant. A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total of 20 branches</w:t>
      </w:r>
      <w:r>
        <w:rPr>
          <w:rFonts w:cs="ArialMT"/>
          <w:szCs w:val="24"/>
        </w:rPr>
        <w:t xml:space="preserve"> (10 plants) should be counted i</w:t>
      </w:r>
      <w:r w:rsidRPr="00205086">
        <w:rPr>
          <w:rFonts w:cs="ArialMT"/>
          <w:szCs w:val="24"/>
        </w:rPr>
        <w:t>n each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area if possible.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Berries should be counted on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 xml:space="preserve">2 branches from each </w:t>
      </w:r>
      <w:r>
        <w:rPr>
          <w:rFonts w:cs="ArialMT"/>
          <w:szCs w:val="24"/>
        </w:rPr>
        <w:t xml:space="preserve">of 10 </w:t>
      </w:r>
      <w:r w:rsidRPr="00205086">
        <w:rPr>
          <w:rFonts w:cs="ArialMT"/>
          <w:szCs w:val="24"/>
        </w:rPr>
        <w:t>plant</w:t>
      </w:r>
      <w:r>
        <w:rPr>
          <w:rFonts w:cs="ArialMT"/>
          <w:szCs w:val="24"/>
        </w:rPr>
        <w:t>s</w:t>
      </w:r>
      <w:r w:rsidRPr="00205086">
        <w:rPr>
          <w:rFonts w:cs="ArialMT"/>
          <w:szCs w:val="24"/>
        </w:rPr>
        <w:t xml:space="preserve">. </w:t>
      </w:r>
      <w:r w:rsidR="00AF0F3F">
        <w:rPr>
          <w:rFonts w:cs="ArialMT"/>
          <w:szCs w:val="24"/>
        </w:rPr>
        <w:t xml:space="preserve">Count the berries on the </w:t>
      </w:r>
      <w:r w:rsidR="00205086" w:rsidRPr="00205086">
        <w:rPr>
          <w:rFonts w:cs="ArialMT"/>
          <w:szCs w:val="24"/>
        </w:rPr>
        <w:t>exact same</w:t>
      </w:r>
      <w:r w:rsidR="00205086">
        <w:rPr>
          <w:rFonts w:cs="ArialMT"/>
          <w:szCs w:val="24"/>
        </w:rPr>
        <w:t xml:space="preserve"> </w:t>
      </w:r>
      <w:r w:rsidR="00205086" w:rsidRPr="00205086">
        <w:rPr>
          <w:rFonts w:cs="ArialMT"/>
          <w:szCs w:val="24"/>
        </w:rPr>
        <w:t>stems of soapberry bushes each year to give an index of</w:t>
      </w:r>
      <w:r w:rsidR="00205086">
        <w:rPr>
          <w:rFonts w:cs="ArialMT"/>
          <w:szCs w:val="24"/>
        </w:rPr>
        <w:t xml:space="preserve"> </w:t>
      </w:r>
      <w:r w:rsidR="00205086" w:rsidRPr="00205086">
        <w:rPr>
          <w:rFonts w:cs="ArialMT"/>
          <w:szCs w:val="24"/>
        </w:rPr>
        <w:t xml:space="preserve">soapberry production. </w:t>
      </w:r>
    </w:p>
    <w:p w:rsidR="00205086" w:rsidRPr="00205086" w:rsidRDefault="00205086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</w:p>
    <w:p w:rsidR="00205086" w:rsidRPr="00205086" w:rsidRDefault="00205086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205086">
        <w:rPr>
          <w:rFonts w:cs="ArialMT"/>
          <w:szCs w:val="24"/>
        </w:rPr>
        <w:t xml:space="preserve">The counts should be made in July </w:t>
      </w:r>
      <w:r>
        <w:rPr>
          <w:rFonts w:cs="ArialMT"/>
          <w:szCs w:val="24"/>
        </w:rPr>
        <w:t xml:space="preserve">(estimate) </w:t>
      </w:r>
      <w:r w:rsidRPr="00205086">
        <w:rPr>
          <w:rFonts w:cs="ArialMT"/>
          <w:szCs w:val="24"/>
        </w:rPr>
        <w:t>of each summer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when the berries are still green in order to minimize the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 xml:space="preserve">amount of harvesting by bears, birds, and </w:t>
      </w:r>
      <w:proofErr w:type="gramStart"/>
      <w:r w:rsidRPr="00205086">
        <w:rPr>
          <w:rFonts w:cs="ArialMT"/>
          <w:szCs w:val="24"/>
        </w:rPr>
        <w:t>mice which occurs</w:t>
      </w:r>
      <w:proofErr w:type="gramEnd"/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 xml:space="preserve">once the berries begin to ripen. </w:t>
      </w:r>
      <w:r w:rsidR="00AF0F3F">
        <w:rPr>
          <w:rFonts w:cs="ArialMT"/>
          <w:szCs w:val="24"/>
        </w:rPr>
        <w:t xml:space="preserve">[Note: This was written for the Yukon. Our prime sampling time will differ depending on where you are in the province.] </w:t>
      </w:r>
      <w:r w:rsidRPr="00205086">
        <w:rPr>
          <w:rFonts w:cs="ArialMT"/>
          <w:szCs w:val="24"/>
        </w:rPr>
        <w:t>The optimal timing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of counts may vary from year to year and some monitoring in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late June should give a good estimate of when counts should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be conducted.</w:t>
      </w:r>
    </w:p>
    <w:p w:rsidR="00205086" w:rsidRDefault="00205086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</w:p>
    <w:p w:rsidR="00205086" w:rsidRPr="00205086" w:rsidRDefault="006B6D93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>
        <w:rPr>
          <w:rFonts w:cs="ArialMT"/>
          <w:noProof/>
          <w:szCs w:val="24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4618355</wp:posOffset>
            </wp:positionH>
            <wp:positionV relativeFrom="margin">
              <wp:posOffset>6613525</wp:posOffset>
            </wp:positionV>
            <wp:extent cx="1245870" cy="120269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086" w:rsidRPr="00205086">
        <w:rPr>
          <w:rFonts w:cs="ArialMT"/>
          <w:szCs w:val="24"/>
        </w:rPr>
        <w:t>For each branch counted, measure the diameter (in</w:t>
      </w:r>
      <w:r w:rsidR="00205086">
        <w:rPr>
          <w:rFonts w:cs="ArialMT"/>
          <w:szCs w:val="24"/>
        </w:rPr>
        <w:t xml:space="preserve"> </w:t>
      </w:r>
      <w:r w:rsidR="00205086" w:rsidRPr="00205086">
        <w:rPr>
          <w:rFonts w:cs="ArialMT"/>
          <w:szCs w:val="24"/>
        </w:rPr>
        <w:t>millimeters) of the branch near its base. Count the total</w:t>
      </w:r>
      <w:r w:rsidR="00205086">
        <w:rPr>
          <w:rFonts w:cs="ArialMT"/>
          <w:szCs w:val="24"/>
        </w:rPr>
        <w:t xml:space="preserve"> </w:t>
      </w:r>
      <w:r w:rsidR="00205086" w:rsidRPr="00205086">
        <w:rPr>
          <w:rFonts w:cs="ArialMT"/>
          <w:szCs w:val="24"/>
        </w:rPr>
        <w:t>number of berries produced, including shriveled ones.</w:t>
      </w:r>
      <w:r w:rsidR="00205086">
        <w:rPr>
          <w:rFonts w:cs="ArialMT"/>
          <w:szCs w:val="24"/>
        </w:rPr>
        <w:t xml:space="preserve"> </w:t>
      </w:r>
      <w:r w:rsidR="00205086" w:rsidRPr="00205086">
        <w:rPr>
          <w:rFonts w:cs="ArialMT"/>
          <w:szCs w:val="24"/>
        </w:rPr>
        <w:t>Measure the branch diameters each year since the branches</w:t>
      </w:r>
      <w:r w:rsidR="00205086">
        <w:rPr>
          <w:rFonts w:cs="ArialMT"/>
          <w:szCs w:val="24"/>
        </w:rPr>
        <w:t xml:space="preserve"> </w:t>
      </w:r>
      <w:r w:rsidR="00205086" w:rsidRPr="00205086">
        <w:rPr>
          <w:rFonts w:cs="ArialMT"/>
          <w:szCs w:val="24"/>
        </w:rPr>
        <w:t>will grow. If the tagged branch has died, change the tags to a</w:t>
      </w:r>
      <w:r w:rsidR="00205086">
        <w:rPr>
          <w:rFonts w:cs="ArialMT"/>
          <w:szCs w:val="24"/>
        </w:rPr>
        <w:t xml:space="preserve"> </w:t>
      </w:r>
      <w:r w:rsidR="00205086" w:rsidRPr="00205086">
        <w:rPr>
          <w:rFonts w:cs="ArialMT"/>
          <w:szCs w:val="24"/>
        </w:rPr>
        <w:t>new branch and note this in the comments.</w:t>
      </w:r>
    </w:p>
    <w:p w:rsidR="00205086" w:rsidRDefault="00205086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</w:p>
    <w:p w:rsidR="00205086" w:rsidRPr="00205086" w:rsidRDefault="00205086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205086">
        <w:rPr>
          <w:rFonts w:cs="ArialMT"/>
          <w:szCs w:val="24"/>
        </w:rPr>
        <w:t>Soapberries may vary in size from year to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year and a collection of 25-50 ripe red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berries should be obtained in August and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weighed so we can estimate the average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wet weight of a single berry from each</w:t>
      </w:r>
      <w:r>
        <w:rPr>
          <w:rFonts w:cs="ArialMT"/>
          <w:szCs w:val="24"/>
        </w:rPr>
        <w:t xml:space="preserve"> </w:t>
      </w:r>
      <w:r w:rsidRPr="00205086">
        <w:rPr>
          <w:rFonts w:cs="ArialMT"/>
          <w:szCs w:val="24"/>
        </w:rPr>
        <w:t>area.</w:t>
      </w:r>
      <w:r w:rsidR="006B6D93">
        <w:rPr>
          <w:rFonts w:cs="ArialMT"/>
          <w:szCs w:val="24"/>
        </w:rPr>
        <w:t xml:space="preserve"> </w:t>
      </w:r>
    </w:p>
    <w:p w:rsidR="00205086" w:rsidRPr="00205086" w:rsidRDefault="00205086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</w:p>
    <w:p w:rsidR="0086177F" w:rsidRDefault="00205086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205086">
        <w:rPr>
          <w:rFonts w:cs="ArialMT"/>
          <w:szCs w:val="24"/>
        </w:rPr>
        <w:t>IMPORTANT: Soapberry branches will bruise and easily break at the junctions if not handled carefully.</w:t>
      </w:r>
    </w:p>
    <w:p w:rsidR="006B6D93" w:rsidRDefault="006B6D93" w:rsidP="00205086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</w:p>
    <w:p w:rsidR="006B6D93" w:rsidRPr="004438F2" w:rsidRDefault="00275FAE" w:rsidP="004438F2">
      <w:pPr>
        <w:pStyle w:val="ListParagraph"/>
        <w:numPr>
          <w:ilvl w:val="0"/>
          <w:numId w:val="1"/>
        </w:numPr>
      </w:pPr>
      <w:r w:rsidRPr="004438F2">
        <w:t>Materials</w:t>
      </w:r>
    </w:p>
    <w:p w:rsidR="006B6D93" w:rsidRPr="006B6D93" w:rsidRDefault="006B6D93" w:rsidP="004438F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6B6D93">
        <w:rPr>
          <w:rFonts w:cs="ArialMT"/>
          <w:szCs w:val="24"/>
        </w:rPr>
        <w:t>Data sheets</w:t>
      </w:r>
      <w:r w:rsidR="00EA78B5">
        <w:rPr>
          <w:rFonts w:cs="ArialMT"/>
          <w:szCs w:val="24"/>
        </w:rPr>
        <w:t xml:space="preserve"> or field </w:t>
      </w:r>
      <w:proofErr w:type="spellStart"/>
      <w:r w:rsidR="00EA78B5">
        <w:rPr>
          <w:rFonts w:cs="ArialMT"/>
          <w:szCs w:val="24"/>
        </w:rPr>
        <w:t>hardward</w:t>
      </w:r>
      <w:proofErr w:type="spellEnd"/>
      <w:r w:rsidR="00EA78B5">
        <w:rPr>
          <w:rFonts w:cs="ArialMT"/>
          <w:szCs w:val="24"/>
        </w:rPr>
        <w:t xml:space="preserve"> such as </w:t>
      </w:r>
      <w:proofErr w:type="spellStart"/>
      <w:r w:rsidR="00EA78B5">
        <w:rPr>
          <w:rFonts w:cs="ArialMT"/>
          <w:szCs w:val="24"/>
        </w:rPr>
        <w:t>iPad</w:t>
      </w:r>
      <w:proofErr w:type="spellEnd"/>
    </w:p>
    <w:p w:rsidR="006B6D93" w:rsidRPr="006B6D93" w:rsidRDefault="006B6D93" w:rsidP="004438F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6B6D93">
        <w:rPr>
          <w:rFonts w:cs="ArialMT"/>
          <w:szCs w:val="24"/>
        </w:rPr>
        <w:t>GPS to locate soapberry bushes</w:t>
      </w:r>
    </w:p>
    <w:p w:rsidR="006B6D93" w:rsidRPr="006B6D93" w:rsidRDefault="006B6D93" w:rsidP="004438F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6B6D93">
        <w:rPr>
          <w:rFonts w:cs="ArialMT"/>
          <w:szCs w:val="24"/>
        </w:rPr>
        <w:t xml:space="preserve">Aluminum tags </w:t>
      </w:r>
    </w:p>
    <w:p w:rsidR="006B6D93" w:rsidRPr="00275FAE" w:rsidRDefault="006B6D93" w:rsidP="004438F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6B6D93">
        <w:rPr>
          <w:rFonts w:cs="ArialMT"/>
          <w:szCs w:val="24"/>
        </w:rPr>
        <w:t>F</w:t>
      </w:r>
      <w:r w:rsidR="00AF0F3F" w:rsidRPr="00275FAE">
        <w:rPr>
          <w:rFonts w:cs="ArialMT"/>
          <w:szCs w:val="24"/>
        </w:rPr>
        <w:t xml:space="preserve">lagging </w:t>
      </w:r>
      <w:r w:rsidRPr="00275FAE">
        <w:rPr>
          <w:rFonts w:cs="ArialMT"/>
          <w:szCs w:val="24"/>
        </w:rPr>
        <w:t>to mark individual branch</w:t>
      </w:r>
      <w:r w:rsidR="00275FAE">
        <w:rPr>
          <w:rFonts w:cs="ArialMT"/>
          <w:szCs w:val="24"/>
        </w:rPr>
        <w:t>es</w:t>
      </w:r>
    </w:p>
    <w:p w:rsidR="006B6D93" w:rsidRPr="006B6D93" w:rsidRDefault="00275FAE" w:rsidP="004438F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>
        <w:rPr>
          <w:rFonts w:cs="ArialMT"/>
          <w:szCs w:val="24"/>
        </w:rPr>
        <w:t>Permanent m</w:t>
      </w:r>
      <w:r w:rsidR="006B6D93" w:rsidRPr="006B6D93">
        <w:rPr>
          <w:rFonts w:cs="ArialMT"/>
          <w:szCs w:val="24"/>
        </w:rPr>
        <w:t>arking pen to mark the bush number on the flagging tape</w:t>
      </w:r>
    </w:p>
    <w:p w:rsidR="006B6D93" w:rsidRPr="006B6D93" w:rsidRDefault="006B6D93" w:rsidP="004438F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6B6D93">
        <w:rPr>
          <w:rFonts w:cs="ArialMT"/>
          <w:szCs w:val="24"/>
        </w:rPr>
        <w:lastRenderedPageBreak/>
        <w:t>Caliper</w:t>
      </w:r>
      <w:r w:rsidR="00EA78B5">
        <w:rPr>
          <w:rFonts w:cs="ArialMT"/>
          <w:szCs w:val="24"/>
        </w:rPr>
        <w:t xml:space="preserve"> (to measure branch diameter)</w:t>
      </w:r>
    </w:p>
    <w:p w:rsidR="006B6D93" w:rsidRPr="006B6D93" w:rsidRDefault="006B6D93" w:rsidP="004438F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  <w:r w:rsidRPr="006B6D93">
        <w:rPr>
          <w:rFonts w:cs="ArialMT"/>
          <w:szCs w:val="24"/>
        </w:rPr>
        <w:t>Clicker (tally counter</w:t>
      </w:r>
      <w:r w:rsidR="00EA78B5">
        <w:rPr>
          <w:rFonts w:cs="ArialMT"/>
          <w:szCs w:val="24"/>
        </w:rPr>
        <w:t xml:space="preserve"> for berries</w:t>
      </w:r>
      <w:r w:rsidRPr="006B6D93">
        <w:rPr>
          <w:rFonts w:cs="ArialMT"/>
          <w:szCs w:val="24"/>
        </w:rPr>
        <w:t>)</w:t>
      </w:r>
    </w:p>
    <w:p w:rsidR="006B6D93" w:rsidRDefault="006B6D93" w:rsidP="006B6D93">
      <w:pPr>
        <w:autoSpaceDE w:val="0"/>
        <w:autoSpaceDN w:val="0"/>
        <w:adjustRightInd w:val="0"/>
        <w:spacing w:after="0" w:line="240" w:lineRule="auto"/>
        <w:rPr>
          <w:rFonts w:cs="ArialMT"/>
          <w:szCs w:val="24"/>
        </w:rPr>
      </w:pPr>
    </w:p>
    <w:p w:rsidR="00275FAE" w:rsidRPr="004438F2" w:rsidRDefault="00275FAE" w:rsidP="004438F2">
      <w:pPr>
        <w:pStyle w:val="ListParagraph"/>
        <w:numPr>
          <w:ilvl w:val="0"/>
          <w:numId w:val="1"/>
        </w:numPr>
      </w:pPr>
      <w:r w:rsidRPr="004438F2">
        <w:t>Personnel resources:</w:t>
      </w:r>
    </w:p>
    <w:p w:rsidR="00EA78B5" w:rsidRPr="004438F2" w:rsidRDefault="004438F2">
      <w:pPr>
        <w:rPr>
          <w:rFonts w:cs="ArialMT"/>
          <w:szCs w:val="24"/>
        </w:rPr>
      </w:pPr>
      <w:r w:rsidRPr="004438F2">
        <w:rPr>
          <w:rFonts w:cs="ArialMT"/>
          <w:szCs w:val="24"/>
        </w:rPr>
        <w:t>This could be carried out with one person, but would go twice as fast with two.</w:t>
      </w:r>
    </w:p>
    <w:sectPr w:rsidR="00EA78B5" w:rsidRPr="004438F2" w:rsidSect="008510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976" w:rsidRDefault="00756976" w:rsidP="004235C8">
      <w:pPr>
        <w:spacing w:after="0" w:line="240" w:lineRule="auto"/>
      </w:pPr>
      <w:r>
        <w:separator/>
      </w:r>
    </w:p>
  </w:endnote>
  <w:endnote w:type="continuationSeparator" w:id="0">
    <w:p w:rsidR="00756976" w:rsidRDefault="00756976" w:rsidP="0042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976" w:rsidRDefault="00756976">
    <w:pPr>
      <w:pStyle w:val="Footer"/>
    </w:pPr>
    <w:r>
      <w:t>Soapberry Production Counts</w:t>
    </w:r>
    <w:r>
      <w:tab/>
      <w:t>P. Wright</w:t>
    </w:r>
    <w:r>
      <w:ptab w:relativeTo="margin" w:alignment="right" w:leader="none"/>
    </w:r>
    <w:r>
      <w:t>May 11,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976" w:rsidRDefault="00756976" w:rsidP="004235C8">
      <w:pPr>
        <w:spacing w:after="0" w:line="240" w:lineRule="auto"/>
      </w:pPr>
      <w:r>
        <w:separator/>
      </w:r>
    </w:p>
  </w:footnote>
  <w:footnote w:type="continuationSeparator" w:id="0">
    <w:p w:rsidR="00756976" w:rsidRDefault="00756976" w:rsidP="00423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9D4E6A57EDDF48C2A4AE2B77AEF1F8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56976" w:rsidRDefault="0075697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235C8">
          <w:rPr>
            <w:rFonts w:asciiTheme="majorHAnsi" w:eastAsiaTheme="majorEastAsia" w:hAnsiTheme="majorHAnsi" w:cstheme="majorBidi"/>
            <w:sz w:val="24"/>
            <w:szCs w:val="24"/>
          </w:rPr>
          <w:t>BC Parks Long Term Ecological Monitoring Program</w:t>
        </w:r>
        <w:r>
          <w:rPr>
            <w:rFonts w:asciiTheme="majorHAnsi" w:eastAsiaTheme="majorEastAsia" w:hAnsiTheme="majorHAnsi" w:cstheme="majorBidi"/>
            <w:sz w:val="24"/>
            <w:szCs w:val="24"/>
          </w:rPr>
          <w:t xml:space="preserve"> ~ Monitoring Protocols</w:t>
        </w:r>
      </w:p>
    </w:sdtContent>
  </w:sdt>
  <w:p w:rsidR="00756976" w:rsidRDefault="007569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61D7"/>
    <w:multiLevelType w:val="hybridMultilevel"/>
    <w:tmpl w:val="9494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52ADC"/>
    <w:multiLevelType w:val="hybridMultilevel"/>
    <w:tmpl w:val="01DE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1020B"/>
    <w:multiLevelType w:val="hybridMultilevel"/>
    <w:tmpl w:val="0500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0396E"/>
    <w:multiLevelType w:val="hybridMultilevel"/>
    <w:tmpl w:val="DFB4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B6373"/>
    <w:multiLevelType w:val="hybridMultilevel"/>
    <w:tmpl w:val="042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198B"/>
    <w:rsid w:val="000365A2"/>
    <w:rsid w:val="0012422D"/>
    <w:rsid w:val="00205086"/>
    <w:rsid w:val="00253988"/>
    <w:rsid w:val="00275FAE"/>
    <w:rsid w:val="003777AF"/>
    <w:rsid w:val="003A4939"/>
    <w:rsid w:val="004235C8"/>
    <w:rsid w:val="004438F2"/>
    <w:rsid w:val="00451354"/>
    <w:rsid w:val="00632034"/>
    <w:rsid w:val="006B6D93"/>
    <w:rsid w:val="00756976"/>
    <w:rsid w:val="007966F0"/>
    <w:rsid w:val="00825A63"/>
    <w:rsid w:val="008510FF"/>
    <w:rsid w:val="0086177F"/>
    <w:rsid w:val="008C073C"/>
    <w:rsid w:val="00953C01"/>
    <w:rsid w:val="009728A9"/>
    <w:rsid w:val="00974A36"/>
    <w:rsid w:val="00A87BF4"/>
    <w:rsid w:val="00AB198B"/>
    <w:rsid w:val="00AF0F3F"/>
    <w:rsid w:val="00C81177"/>
    <w:rsid w:val="00CF5B7B"/>
    <w:rsid w:val="00EA78B5"/>
    <w:rsid w:val="00EC2B87"/>
    <w:rsid w:val="00F8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AB198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23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5C8"/>
  </w:style>
  <w:style w:type="paragraph" w:styleId="Footer">
    <w:name w:val="footer"/>
    <w:basedOn w:val="Normal"/>
    <w:link w:val="FooterChar"/>
    <w:uiPriority w:val="99"/>
    <w:semiHidden/>
    <w:unhideWhenUsed/>
    <w:rsid w:val="00423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5C8"/>
  </w:style>
  <w:style w:type="paragraph" w:styleId="BalloonText">
    <w:name w:val="Balloon Text"/>
    <w:basedOn w:val="Normal"/>
    <w:link w:val="BalloonTextChar"/>
    <w:uiPriority w:val="99"/>
    <w:semiHidden/>
    <w:unhideWhenUsed/>
    <w:rsid w:val="00423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5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4E6A57EDDF48C2A4AE2B77AEF1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5A907-04F3-404C-8CC3-906AF5D0ECA5}"/>
      </w:docPartPr>
      <w:docPartBody>
        <w:p w:rsidR="00A0580C" w:rsidRDefault="00027579" w:rsidP="00027579">
          <w:pPr>
            <w:pStyle w:val="9D4E6A57EDDF48C2A4AE2B77AEF1F8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7579"/>
    <w:rsid w:val="00027579"/>
    <w:rsid w:val="00576428"/>
    <w:rsid w:val="00A0580C"/>
    <w:rsid w:val="00BA0A49"/>
    <w:rsid w:val="00E81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0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4E6A57EDDF48C2A4AE2B77AEF1F831">
    <w:name w:val="9D4E6A57EDDF48C2A4AE2B77AEF1F831"/>
    <w:rsid w:val="00027579"/>
  </w:style>
  <w:style w:type="paragraph" w:customStyle="1" w:styleId="F2ACA653FA0148F691BC98D3597B4638">
    <w:name w:val="F2ACA653FA0148F691BC98D3597B4638"/>
    <w:rsid w:val="00027579"/>
  </w:style>
  <w:style w:type="paragraph" w:customStyle="1" w:styleId="160B7654729C4A32AC216E3D7A0F1124">
    <w:name w:val="160B7654729C4A32AC216E3D7A0F1124"/>
    <w:rsid w:val="00027579"/>
  </w:style>
  <w:style w:type="paragraph" w:customStyle="1" w:styleId="4A18453409484160B19E443F6A471EAE">
    <w:name w:val="4A18453409484160B19E443F6A471EAE"/>
    <w:rsid w:val="00027579"/>
  </w:style>
  <w:style w:type="paragraph" w:customStyle="1" w:styleId="A58AAB5F279842E6B6F9E12738216B83">
    <w:name w:val="A58AAB5F279842E6B6F9E12738216B83"/>
    <w:rsid w:val="00027579"/>
  </w:style>
  <w:style w:type="paragraph" w:customStyle="1" w:styleId="BB06251BDCAE41B78C636312C7785CC5">
    <w:name w:val="BB06251BDCAE41B78C636312C7785CC5"/>
    <w:rsid w:val="00027579"/>
  </w:style>
  <w:style w:type="paragraph" w:customStyle="1" w:styleId="C60159C514E541F58C0A41EDC182B895">
    <w:name w:val="C60159C514E541F58C0A41EDC182B895"/>
    <w:rsid w:val="000275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Parks Long Term Ecological Monitoring Program ~ Monitoring Protocols</vt:lpstr>
    </vt:vector>
  </TitlesOfParts>
  <Company>UNBC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Parks Long Term Ecological Monitoring Program ~ Monitoring Protocols</dc:title>
  <dc:subject/>
  <dc:creator>pwright</dc:creator>
  <cp:keywords/>
  <dc:description/>
  <cp:lastModifiedBy>tstevens</cp:lastModifiedBy>
  <cp:revision>11</cp:revision>
  <dcterms:created xsi:type="dcterms:W3CDTF">2011-05-11T22:49:00Z</dcterms:created>
  <dcterms:modified xsi:type="dcterms:W3CDTF">2012-04-18T20:42:00Z</dcterms:modified>
</cp:coreProperties>
</file>