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0.png" ContentType="image/png"/>
  <Override PartName="/word/media/rId57.png" ContentType="image/png"/>
  <Override PartName="/word/media/rId60.png" ContentType="image/png"/>
  <Override PartName="/word/media/rId68.png" ContentType="image/png"/>
  <Override PartName="/word/media/rId71.png" ContentType="image/png"/>
  <Override PartName="/word/media/rId78.png" ContentType="image/png"/>
  <Override PartName="/word/media/rId83.png" ContentType="image/png"/>
  <Override PartName="/word/media/rId91.png" ContentType="image/png"/>
  <Override PartName="/word/media/rId96.png" ContentType="image/png"/>
  <Override PartName="/word/media/rId33.png" ContentType="image/png"/>
  <Override PartName="/word/media/rId39.png" ContentType="image/png"/>
  <Override PartName="/word/media/rId160.png" ContentType="image/png"/>
  <Override PartName="/word/media/rId15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on"/>
    <w:p>
      <w:pPr>
        <w:pStyle w:val="Heading1"/>
      </w:pPr>
      <w:r>
        <w:t xml:space="preserve">Introduction</w:t>
      </w:r>
    </w:p>
    <w:bookmarkStart w:id="20"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odyText"/>
      </w:pP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2,420</w:t>
      </w:r>
    </w:p>
    <w:p>
      <w:pPr>
        <w:pStyle w:val="Compact"/>
        <w:numPr>
          <w:ilvl w:val="0"/>
          <w:numId w:val="1002"/>
        </w:numPr>
      </w:pPr>
      <w:r>
        <w:t xml:space="preserve">At the Region level,</w:t>
      </w:r>
    </w:p>
    <w:p>
      <w:pPr>
        <w:pStyle w:val="Compact"/>
        <w:numPr>
          <w:ilvl w:val="1"/>
          <w:numId w:val="1005"/>
        </w:numPr>
      </w:pPr>
      <w:r>
        <w:t xml:space="preserve">Number of taxi licensees operating: 44</w:t>
      </w:r>
    </w:p>
    <w:p>
      <w:pPr>
        <w:pStyle w:val="Compact"/>
        <w:numPr>
          <w:ilvl w:val="1"/>
          <w:numId w:val="1005"/>
        </w:numPr>
      </w:pPr>
      <w:r>
        <w:t xml:space="preserve">Combined Board-approved maximum fleet size: 2,646</w:t>
      </w:r>
    </w:p>
    <w:bookmarkEnd w:id="23"/>
    <w:bookmarkEnd w:id="24"/>
    <w:bookmarkStart w:id="32" w:name="background"/>
    <w:p>
      <w:pPr>
        <w:pStyle w:val="Heading1"/>
      </w:pPr>
      <w:r>
        <w:t xml:space="preserve">Background</w:t>
      </w:r>
    </w:p>
    <w:bookmarkStart w:id="25"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BodyText"/>
      </w:pPr>
      <w:r>
        <w:t xml:space="preserve">-Whether the applicant is fit, proper, and capable of providing the service applied for (threshold test); -Whether there is a public need for the service; and -Whether the application would promote sound economic conditions in the B.C. passenger transportation business.</w:t>
      </w:r>
    </w:p>
    <w:p>
      <w:pPr>
        <w:pStyle w:val="BodyText"/>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9"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6"/>
        </w:numPr>
      </w:pPr>
      <w:r>
        <w:t xml:space="preserve">Demand</w:t>
      </w:r>
    </w:p>
    <w:p>
      <w:pPr>
        <w:pStyle w:val="Compact"/>
        <w:numPr>
          <w:ilvl w:val="0"/>
          <w:numId w:val="1006"/>
        </w:numPr>
      </w:pPr>
      <w:r>
        <w:t xml:space="preserve">Accessibility</w:t>
      </w:r>
    </w:p>
    <w:p>
      <w:pPr>
        <w:pStyle w:val="Compact"/>
        <w:numPr>
          <w:ilvl w:val="0"/>
          <w:numId w:val="1006"/>
        </w:numPr>
      </w:pPr>
      <w:r>
        <w:t xml:space="preserve">Affordability</w:t>
      </w:r>
    </w:p>
    <w:p>
      <w:pPr>
        <w:pStyle w:val="Compact"/>
        <w:numPr>
          <w:ilvl w:val="0"/>
          <w:numId w:val="1006"/>
        </w:numPr>
      </w:pPr>
      <w:r>
        <w:t xml:space="preserve">Safety</w:t>
      </w:r>
    </w:p>
    <w:p>
      <w:pPr>
        <w:pStyle w:val="Compact"/>
        <w:numPr>
          <w:ilvl w:val="0"/>
          <w:numId w:val="1006"/>
        </w:numPr>
      </w:pPr>
      <w:r>
        <w:t xml:space="preserve">Service Quality</w:t>
      </w:r>
    </w:p>
    <w:p>
      <w:pPr>
        <w:pStyle w:val="FirstParagraph"/>
      </w:pPr>
      <w:r>
        <w:t xml:space="preserve">Under the sound economic conditions policy in the Policy Manual, SEC is divided into the following factors:</w:t>
      </w:r>
    </w:p>
    <w:p>
      <w:pPr>
        <w:numPr>
          <w:ilvl w:val="0"/>
          <w:numId w:val="1007"/>
        </w:numPr>
      </w:pPr>
      <w:r>
        <w:t xml:space="preserve">Sustainability</w:t>
      </w:r>
    </w:p>
    <w:p>
      <w:pPr>
        <w:numPr>
          <w:ilvl w:val="0"/>
          <w:numId w:val="1007"/>
        </w:numPr>
      </w:pPr>
      <w:r>
        <w:t xml:space="preserve">Competition</w:t>
      </w:r>
    </w:p>
    <w:p>
      <w:pPr>
        <w:numPr>
          <w:ilvl w:val="0"/>
          <w:numId w:val="1007"/>
        </w:numPr>
      </w:pPr>
      <w:r>
        <w:t xml:space="preserve">Innovation</w:t>
      </w:r>
    </w:p>
    <w:p>
      <w:pPr>
        <w:numPr>
          <w:ilvl w:val="0"/>
          <w:numId w:val="1007"/>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7" name="Picture"/>
            <a:graphic>
              <a:graphicData uri="http://schemas.openxmlformats.org/drawingml/2006/picture">
                <pic:pic>
                  <pic:nvPicPr>
                    <pic:cNvPr descr="img-cache/table_image.png" id="28" name="Picture"/>
                    <pic:cNvPicPr>
                      <a:picLocks noChangeArrowheads="1" noChangeAspect="1"/>
                    </pic:cNvPicPr>
                  </pic:nvPicPr>
                  <pic:blipFill>
                    <a:blip r:embed="rId26"/>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29"/>
    <w:bookmarkStart w:id="30"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 regions will be analyzed:</w:t>
      </w:r>
    </w:p>
    <w:p>
      <w:pPr>
        <w:pStyle w:val="Compact"/>
        <w:numPr>
          <w:ilvl w:val="0"/>
          <w:numId w:val="1008"/>
        </w:numPr>
      </w:pPr>
      <w:r>
        <w:t xml:space="preserve">Region 1 – Lower Mainland including Whistler; and,</w:t>
      </w:r>
    </w:p>
    <w:p>
      <w:pPr>
        <w:pStyle w:val="Compact"/>
        <w:numPr>
          <w:ilvl w:val="0"/>
          <w:numId w:val="1008"/>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0"/>
    <w:bookmarkStart w:id="31"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1"/>
    <w:bookmarkEnd w:id="32"/>
    <w:bookmarkStart w:id="165"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44" w:name="demand-factor-pn"/>
    <w:p>
      <w:pPr>
        <w:pStyle w:val="Heading2"/>
      </w:pPr>
      <w:r>
        <w:t xml:space="preserve">Demand Factor (PN)</w:t>
      </w:r>
    </w:p>
    <w:bookmarkStart w:id="38"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 Policy Manual lists examples of the demand factor, which are set out below alongside their corresponding implications on trip volume: - There are people who require access to, or are seeking access to, or would likely access a new, expanded, or improved passenger transportation service. - When the proposed service fulfills previously unmet demand and brings new users into the market, it will result in an overall increase in trip volume. -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09"/>
        </w:numPr>
      </w:pPr>
      <w:r>
        <w:t xml:space="preserve">If the proposed service attracts current users of taxis or TNS, it will result in a redistribution of market share measured by trip volume among existing providers.</w:t>
      </w:r>
    </w:p>
    <w:p>
      <w:pPr>
        <w:pStyle w:val="Compact"/>
        <w:numPr>
          <w:ilvl w:val="0"/>
          <w:numId w:val="1009"/>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7" w:name="Xc775df737be167d1d889a18c2b7de24b8ba130d"/>
    <w:p>
      <w:pPr>
        <w:pStyle w:val="Heading4"/>
      </w:pPr>
      <w:r>
        <w:t xml:space="preserve">Metro Vancouver Regional District Trip Volume Findings</w:t>
      </w:r>
    </w:p>
    <w:p>
      <w:pPr>
        <w:pStyle w:val="FirstParagraph"/>
      </w:pPr>
      <w: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1: Metro Vancouver Regional District Trip Volume</w:t>
      </w:r>
    </w:p>
    <w:p>
      <w:pPr>
        <w:pStyle w:val="BodyText"/>
      </w:pPr>
      <w:r>
        <w:drawing>
          <wp:inline>
            <wp:extent cx="5334000" cy="2667000"/>
            <wp:effectExtent b="0" l="0" r="0" t="0"/>
            <wp:docPr descr="" title="" id="34" name="Picture"/>
            <a:graphic>
              <a:graphicData uri="http://schemas.openxmlformats.org/drawingml/2006/picture">
                <pic:pic>
                  <pic:nvPicPr>
                    <pic:cNvPr descr="0_master_peter_files/figure-docx/unnamed-chunk-7-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289,516 taxi trips. On a year-over-year (YoY) basis, the total taxi trip volume was -37.84%, while on a year-to-date (YTD) basis it was -5.46%. relative to the same period in 2024.</w:t>
      </w:r>
      <w:r>
        <w:rPr>
          <w:rStyle w:val="FootnoteReference"/>
        </w:rPr>
        <w:footnoteReference w:id="36"/>
      </w:r>
      <w:r>
        <w:t xml:space="preserve"> </w:t>
      </w:r>
      <w:r>
        <w:t xml:space="preserve">These results indicate strong momentum in demand for TAXI services in the region. On a month-over-month (MoM) basis, taxi trip volume was-38.06%.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Metro Vancouver Regional District recorded 2,335,582 TNS trips. Compared with November 2024, TNS trip volume was -4.33% (YoY). Year-to-date through November 2025, TNS trip volume was +10.96% relative to the same period in 2024. These results indicate strong momentum in demand for TNS services in the region. On a month-over-month (MoM) basis, TNS trip volume was -25.16%.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bookmarkEnd w:id="37"/>
    <w:bookmarkEnd w:id="38"/>
    <w:bookmarkStart w:id="43" w:name="trip-revenue"/>
    <w:p>
      <w:pPr>
        <w:pStyle w:val="Heading3"/>
      </w:pPr>
      <w:r>
        <w:t xml:space="preserve">Trip Revenue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t xml:space="preserve">Trip revenue is calculated as the total fare amount of all completed trips reported to the Trip Database in an area over a month.</w:t>
      </w:r>
    </w:p>
    <w:p>
      <w:pPr>
        <w:pStyle w:val="BodyText"/>
      </w:pPr>
      <w:r>
        <w:rPr>
          <w:b/>
          <w:bCs/>
        </w:rPr>
        <w:t xml:space="preserve">Interpretations:</w:t>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pPr>
        <w:pStyle w:val="BodyText"/>
      </w:pPr>
      <w:r>
        <w:t xml:space="preserve">Policy Context: Public Need and Demand Factor</w:t>
      </w:r>
    </w:p>
    <w:p>
      <w:pPr>
        <w:pStyle w:val="BodyText"/>
      </w:pPr>
      <w:r>
        <w:t xml:space="preserve">The Board’s Public Need Policy 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0"/>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1"/>
        </w:numPr>
      </w:pPr>
      <w:r>
        <w:t xml:space="preserve">If the proposed service attracts current taxi or TNS users, it will result in a redistribution of market share as measured by trip revenue among existing providers.</w:t>
      </w:r>
    </w:p>
    <w:p>
      <w:pPr>
        <w:pStyle w:val="Compact"/>
        <w:numPr>
          <w:ilvl w:val="1"/>
          <w:numId w:val="1011"/>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2" w:name="X33d61c3e470eb2f9d5ae5ed2da08a29436fccc5"/>
    <w:p>
      <w:pPr>
        <w:pStyle w:val="Heading4"/>
      </w:pPr>
      <w:r>
        <w:t xml:space="preserve">Metro Vancouver Regional District Trip Revenue Findings</w:t>
      </w:r>
    </w:p>
    <w:p>
      <w:pPr>
        <w:pStyle w:val="FirstParagraph"/>
      </w:pPr>
      <w:r>
        <w:t xml:space="preserve">Table 2: Metro Vancouver Regional District Trip Revenue(thousands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2: Metro Vancouver Regional District Trip Revenue</w:t>
      </w:r>
    </w:p>
    <w:p>
      <w:pPr>
        <w:pStyle w:val="BodyText"/>
      </w:pPr>
      <w:r>
        <w:drawing>
          <wp:inline>
            <wp:extent cx="5334000" cy="2667000"/>
            <wp:effectExtent b="0" l="0" r="0" t="0"/>
            <wp:docPr descr="" title="" id="40" name="Picture"/>
            <a:graphic>
              <a:graphicData uri="http://schemas.openxmlformats.org/drawingml/2006/picture">
                <pic:pic>
                  <pic:nvPicPr>
                    <pic:cNvPr descr="0_master_peter_files/figure-docx/unnamed-chunk-9-1.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$6,558,869 taxi trips revenue. On a year-over-year (YoY) basis, the total taxi trip revenue was -33.90%, while on a year-to-date (YTD) basis it was -2.36%. relative to the same period in 2024. These results indicate strong momentum in demand for TAXI services in the region. On a month-over-month (MoM) basis, taxi trip revenue was -37.08%. Looking over the past two years, statistical analysis of the long-term trend suggests that there is no meaningful change in direction.</w:t>
      </w:r>
      <w:r>
        <w:t xml:space="preserve"> </w:t>
      </w:r>
      <w:r>
        <w:t xml:space="preserve">Statistical analysis of the short-term trend suggests that there is downward shift in market direction.</w:t>
      </w:r>
    </w:p>
    <w:p>
      <w:pPr>
        <w:pStyle w:val="BodyText"/>
      </w:pPr>
      <w:r>
        <w:t xml:space="preserve">In November 2025, Metro Vancouver Regional District recorded $42,985,969 TNS trips. Compared with November 2024, TNS trip revenue was +0.61% (YoY). Year-to-date through November 2025, TNS trip revenue was +12.03% relative to the same period in 2024. These results indicate strong momentum in demand for TNS services in the region. On a month-over-month (MoM) basis, TNS trip revenue was -24.44%. Looking over the past two years, statistical analysis of the long-term trend suggests that a upward trajectory is evident.</w:t>
      </w:r>
      <w:r>
        <w:t xml:space="preserve"> </w:t>
      </w:r>
      <w:r>
        <w:t xml:space="preserve">Statistical analysis of the short-term trend suggests that there is downward shift in market direction.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2"/>
    <w:bookmarkEnd w:id="43"/>
    <w:bookmarkEnd w:id="44"/>
    <w:bookmarkStart w:id="55" w:name="accessibility-factor-pn"/>
    <w:p>
      <w:pPr>
        <w:pStyle w:val="Heading2"/>
      </w:pPr>
      <w:r>
        <w:t xml:space="preserve">Accessibility Factor (PN)</w:t>
      </w:r>
    </w:p>
    <w:bookmarkStart w:id="49"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licence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2"/>
        </w:numPr>
      </w:pPr>
      <w:r>
        <w:rPr>
          <w:b/>
          <w:bCs/>
        </w:rPr>
        <w:t xml:space="preserve">The proposed service provides more or improved service to persons with mobility disabilities, including WAVs.</w:t>
      </w:r>
      <w:r>
        <w:br/>
      </w:r>
      <w:r>
        <w:t xml:space="preserve">-There are people who require access to, or are seeking access to, or would likely access a new, expanded, or improved passenger transportation service.</w:t>
      </w:r>
    </w:p>
    <w:p>
      <w:pPr>
        <w:pStyle w:val="Compact"/>
        <w:numPr>
          <w:ilvl w:val="1"/>
          <w:numId w:val="1013"/>
        </w:numPr>
      </w:pPr>
      <w:r>
        <w:t xml:space="preserve">The number of WAVs on the road directly and positively correlates with the extent and quality of service provided to individuals with mobility disabilities.</w:t>
      </w:r>
    </w:p>
    <w:bookmarkStart w:id="48" w:name="X24a69f827e9cd6e48cb5d469d6597abece18c51"/>
    <w:p>
      <w:pPr>
        <w:pStyle w:val="Heading4"/>
      </w:pPr>
      <w:r>
        <w:t xml:space="preserve">Metro Vancouver Regional District Number of Wheelchair Accessible Vehicles Findings</w:t>
      </w:r>
    </w:p>
    <w:p>
      <w:pPr>
        <w:pStyle w:val="FirstParagraph"/>
      </w:pPr>
      <w:r>
        <w:t xml:space="preserve">Table 3: Metro Vancouver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Table 4: Metro Vancouver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3: Metro Vancouver Regional District Trip Volume</w:t>
      </w:r>
    </w:p>
    <w:p>
      <w:pPr>
        <w:pStyle w:val="BodyText"/>
      </w:pPr>
      <w:r>
        <w:drawing>
          <wp:inline>
            <wp:extent cx="5334000" cy="2667000"/>
            <wp:effectExtent b="0" l="0" r="0" t="0"/>
            <wp:docPr descr="" title="" id="46" name="Picture"/>
            <a:graphic>
              <a:graphicData uri="http://schemas.openxmlformats.org/drawingml/2006/picture">
                <pic:pic>
                  <pic:nvPicPr>
                    <pic:cNvPr descr="0_master_peter_files/figure-docx/unnamed-chunk-12-1.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active WAVs. On a year-over-year (YoY) basis, the number of active WAVs in the taxi fleet was while on a year-to-date (YTD) basis it was relative to the same period in 2024. On a month-over-month (MoM) basis, the number of active WAVs in the taxi fleet changed by . However, the number of active WAVs remained below the Board’s approved WAVs (462 vehicles in November 2025), indicating that the full potential utilization of approved WAVs in this area had yet to be realized. NA NA</w:t>
      </w:r>
    </w:p>
    <w:p>
      <w:pPr>
        <w:pStyle w:val="BodyText"/>
      </w:pPr>
      <w:r>
        <w:t xml:space="preserve">In November 2025, Metro Vancouver Regional District recorded a total of 240 active WAVs providing accessible trips. On a year-over-year (YoY) basis, the number of active WAVs providing accessible trips was -9.43%, while on a year-to-date (YTD) basis it was +2.09% relative to the same period in 2024. On a month-over-month (MoM) basis, the number of active WAVs providing accessible trips changed by -14.59%.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bookmarkEnd w:id="48"/>
    <w:bookmarkEnd w:id="49"/>
    <w:bookmarkStart w:id="54"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taxis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 -The number of vehicles per 1,000 persons in low-density areas provides an area-specific assessment of overall service availability.</w:t>
      </w:r>
    </w:p>
    <w:bookmarkStart w:id="53" w:name="X201896f4c2701693f879679843d8733c283f179"/>
    <w:p>
      <w:pPr>
        <w:pStyle w:val="Heading4"/>
      </w:pPr>
      <w:r>
        <w:t xml:space="preserve">Metro Vancouver Regional District Active Vehicles per 1,000 Persons Findings</w:t>
      </w:r>
    </w:p>
    <w:p>
      <w:pPr>
        <w:pStyle w:val="FirstParagraph"/>
      </w:pPr>
      <w:r>
        <w:t xml:space="preserve">Table 7: Metro Vancouver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2023.[^4]</w:t>
      </w:r>
      <w:r>
        <w:t xml:space="preserve"> </w:t>
      </w:r>
      <w:r>
        <w:t xml:space="preserve">[^4]: Statistics Canada. (2024). Table 17-10-0152-01 Population estimates, July 1, by census division, 2021 boundaries.https://www150.statcan.gc.ca/t1/tbl1/en/tv.action?pid=1710015201</w:t>
      </w:r>
    </w:p>
    <w:p>
      <w:pPr>
        <w:pStyle w:val="BodyText"/>
      </w:pPr>
      <w:r>
        <w:t xml:space="preserve">Figure 4: Metro Vancouver Regional District Active Vehicles per 1,000 Persons</w:t>
      </w:r>
    </w:p>
    <w:p>
      <w:pPr>
        <w:pStyle w:val="BodyText"/>
      </w:pPr>
      <w:r>
        <w:drawing>
          <wp:inline>
            <wp:extent cx="5334000" cy="2667000"/>
            <wp:effectExtent b="0" l="0" r="0" t="0"/>
            <wp:docPr descr="" title="" id="51" name="Picture"/>
            <a:graphic>
              <a:graphicData uri="http://schemas.openxmlformats.org/drawingml/2006/picture">
                <pic:pic>
                  <pic:nvPicPr>
                    <pic:cNvPr descr="0_master_peter_files/figure-docx/unnamed-chunk-14-1.png" id="52" name="Picture"/>
                    <pic:cNvPicPr>
                      <a:picLocks noChangeArrowheads="1" noChangeAspect="1"/>
                    </pic:cNvPicPr>
                  </pic:nvPicPr>
                  <pic:blipFill>
                    <a:blip r:embed="rId5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had 0.42 active taxi vehicles per 1000 persons. On a year-over-year (YoY) basis, the active taxi vehicles per 1000 persons changed by -17.93%, while year-to-date (YTD), the figure was +7.23% compared to the same period in 2024. On a month-over-month (MoM) basis, the active taxi vehicles per 1000 persons changed by -26.31%.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In November 2025, Metro Vancouver Regional District had 2.9 active TNS vehicles per 1000 persons. Compared with November 2024, TNS active vehicles per 1000 persons changed by +8.73% (YoY). Year-to-date through November 2025, the active TNS vehicles per 1000 persons was +19.42% compared to the same period in 2024. On a month-over-month (MoM) basis, the active TNS vehicles per 1000 persons changed by -7.94%.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bookmarkEnd w:id="53"/>
    <w:bookmarkEnd w:id="54"/>
    <w:bookmarkEnd w:id="55"/>
    <w:bookmarkStart w:id="66" w:name="affordability-factor-pn"/>
    <w:p>
      <w:pPr>
        <w:pStyle w:val="Heading2"/>
      </w:pPr>
      <w:r>
        <w:t xml:space="preserve">Affordability Factor (PN)</w:t>
      </w:r>
    </w:p>
    <w:bookmarkStart w:id="65"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 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 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6"/>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4"/>
        </w:numPr>
      </w:pPr>
      <w:r>
        <w:t xml:space="preserve">The proposed service provides more affordable options or services for consumers.</w:t>
      </w:r>
    </w:p>
    <w:p>
      <w:pPr>
        <w:pStyle w:val="Compact"/>
        <w:numPr>
          <w:ilvl w:val="1"/>
          <w:numId w:val="1015"/>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bookmarkStart w:id="64" w:name="X4b6293a75f4186221f0d2c78a85c769c3c3f387"/>
    <w:p>
      <w:pPr>
        <w:pStyle w:val="Heading4"/>
      </w:pPr>
      <w:r>
        <w:t xml:space="preserve">Metro Vancouver Regional District Fare for a 5-Kilometre Trip Findings</w:t>
      </w:r>
    </w:p>
    <w:p>
      <w:pPr>
        <w:pStyle w:val="FirstParagraph"/>
      </w:pPr>
      <w:r>
        <w:t xml:space="preserve">Table 8: Metro Vancouver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$16.86</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$13.92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$13.35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$11.76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$11.32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$12.67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5: Metro Vancouver Regional District Fare for a 5-Kilometre Trips</w:t>
      </w:r>
    </w:p>
    <w:p>
      <w:pPr>
        <w:pStyle w:val="BodyText"/>
      </w:pPr>
      <w:r>
        <w:drawing>
          <wp:inline>
            <wp:extent cx="5334000" cy="2667000"/>
            <wp:effectExtent b="0" l="0" r="0" t="0"/>
            <wp:docPr descr="" title="" id="58" name="Picture"/>
            <a:graphic>
              <a:graphicData uri="http://schemas.openxmlformats.org/drawingml/2006/picture">
                <pic:pic>
                  <pic:nvPicPr>
                    <pic:cNvPr descr="0_master_peter_files/figure-docx/unnamed-chunk-16-1.png" id="59" name="Picture"/>
                    <pic:cNvPicPr>
                      <a:picLocks noChangeArrowheads="1" noChangeAspect="1"/>
                    </pic:cNvPicPr>
                  </pic:nvPicPr>
                  <pic:blipFill>
                    <a:blip r:embed="rId5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61" name="Picture"/>
            <a:graphic>
              <a:graphicData uri="http://schemas.openxmlformats.org/drawingml/2006/picture">
                <pic:pic>
                  <pic:nvPicPr>
                    <pic:cNvPr descr="0_master_peter_files/figure-docx/unnamed-chunk-18-1.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$17.17 in fare per 5 km for taxi trips. On a year-over-year (YoY) basis, the fare per 5 km for taxi trips was +1.25%while on a year-to-date (YTD) basis it was +1.51% relative to the same period in 2024.On a month-over-month (MoM) basis, the fare per 5 km for taxi trips changed by -1.02%. Looking over the past two years, statistical analysis of the long-term trend suggests that there is no meaningful change in direction. Statistical analysis of the short-term trend suggests that there is no active shift in market direction.</w:t>
      </w:r>
      <w:r>
        <w:rPr>
          <w:rStyle w:val="FootnoteReference"/>
        </w:rPr>
        <w:footnoteReference w:id="63"/>
      </w:r>
    </w:p>
    <w:p>
      <w:pPr>
        <w:pStyle w:val="BodyText"/>
      </w:pPr>
      <w:r>
        <w:t xml:space="preserve">In November 2025, the Metro Vancouver Regional District recorded a total of $12.67 in fare per 5 km for TNS trips. Compared with November 2024, the fare per 5 km for TNS trips was +3.07% (YoY). Year-to-date through r end_label, the fare per 5 km for TNS trips was -0.77% relative to the same period in 2024. On a month-over-month (MoM) basis, the fare per 5 km for TNS trips changed by +1.41%.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bookmarkEnd w:id="64"/>
    <w:bookmarkEnd w:id="65"/>
    <w:bookmarkEnd w:id="66"/>
    <w:bookmarkStart w:id="67" w:name="safety-factor-pn"/>
    <w:p>
      <w:pPr>
        <w:pStyle w:val="Heading2"/>
      </w:pPr>
      <w:r>
        <w:t xml:space="preserve">Safety Factor (PN)</w:t>
      </w:r>
    </w:p>
    <w:p>
      <w:pPr>
        <w:pStyle w:val="FirstParagraph"/>
      </w:pPr>
      <w:r>
        <w:t xml:space="preserve">There is no analysis related to this factor.</w:t>
      </w:r>
    </w:p>
    <w:bookmarkEnd w:id="67"/>
    <w:bookmarkStart w:id="76" w:name="service-quality-factor-pn"/>
    <w:p>
      <w:pPr>
        <w:pStyle w:val="Heading2"/>
      </w:pPr>
      <w:r>
        <w:t xml:space="preserve">Service Quality Factor (PN)</w:t>
      </w:r>
    </w:p>
    <w:bookmarkStart w:id="75"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6"/>
        </w:numPr>
      </w:pPr>
      <w:r>
        <w:t xml:space="preserve">The proposed service provides more or improved service where there is currently inadequate service.</w:t>
      </w:r>
    </w:p>
    <w:p>
      <w:pPr>
        <w:pStyle w:val="Compact"/>
        <w:numPr>
          <w:ilvl w:val="1"/>
          <w:numId w:val="1017"/>
        </w:numPr>
      </w:pPr>
      <w:r>
        <w:t xml:space="preserve">A long wait time suggests an inadequate level of service supplied.</w:t>
      </w:r>
    </w:p>
    <w:p>
      <w:pPr>
        <w:pStyle w:val="Compact"/>
        <w:numPr>
          <w:ilvl w:val="0"/>
          <w:numId w:val="1016"/>
        </w:numPr>
      </w:pPr>
      <w:r>
        <w:t xml:space="preserve">The proposed service provides more reliable service.</w:t>
      </w:r>
    </w:p>
    <w:p>
      <w:pPr>
        <w:pStyle w:val="Compact"/>
        <w:numPr>
          <w:ilvl w:val="1"/>
          <w:numId w:val="1018"/>
        </w:numPr>
      </w:pPr>
      <w:r>
        <w:t xml:space="preserve">Consistent short wait times suggest that the service is reliable.</w:t>
      </w:r>
    </w:p>
    <w:p>
      <w:pPr>
        <w:pStyle w:val="Compact"/>
        <w:numPr>
          <w:ilvl w:val="1"/>
          <w:numId w:val="1018"/>
        </w:numPr>
      </w:pPr>
      <w:r>
        <w:t xml:space="preserve">Significant changes in wait times can suggest that the service is not reliable.</w:t>
      </w:r>
    </w:p>
    <w:p>
      <w:pPr>
        <w:pStyle w:val="Compact"/>
        <w:numPr>
          <w:ilvl w:val="1"/>
          <w:numId w:val="1018"/>
        </w:numPr>
      </w:pPr>
      <w:r>
        <w:t xml:space="preserve">Consistently long wait times suggest that the service is not reliable.</w:t>
      </w:r>
    </w:p>
    <w:p>
      <w:pPr>
        <w:pStyle w:val="Compact"/>
        <w:numPr>
          <w:ilvl w:val="0"/>
          <w:numId w:val="1016"/>
        </w:numPr>
      </w:pPr>
      <w:r>
        <w:t xml:space="preserve">The proposed service encourages more efficient service to the public, including trip speed.</w:t>
      </w:r>
    </w:p>
    <w:p>
      <w:pPr>
        <w:pStyle w:val="Compact"/>
        <w:numPr>
          <w:ilvl w:val="1"/>
          <w:numId w:val="1019"/>
        </w:numPr>
      </w:pPr>
      <w:r>
        <w:t xml:space="preserve">A long wait time suggests an inadequate level of service supplied.</w:t>
      </w:r>
    </w:p>
    <w:p>
      <w:pPr>
        <w:pStyle w:val="Compact"/>
        <w:numPr>
          <w:ilvl w:val="0"/>
          <w:numId w:val="1016"/>
        </w:numPr>
      </w:pPr>
      <w:r>
        <w:t xml:space="preserve">The proposed service provides a service that is comfortable and convenient.</w:t>
      </w:r>
    </w:p>
    <w:p>
      <w:pPr>
        <w:pStyle w:val="Compact"/>
        <w:numPr>
          <w:ilvl w:val="1"/>
          <w:numId w:val="1020"/>
        </w:numPr>
      </w:pPr>
      <w:r>
        <w:t xml:space="preserve">A short wait time contributes to a more comfortable and convenient service.</w:t>
      </w:r>
    </w:p>
    <w:p>
      <w:pPr>
        <w:pStyle w:val="Compact"/>
        <w:numPr>
          <w:ilvl w:val="1"/>
          <w:numId w:val="1020"/>
        </w:numPr>
      </w:pPr>
      <w:r>
        <w:t xml:space="preserve">The proposed service supports better customer service and customer satisfaction. A short wait time contributes to better customer service and customer satisfaction.</w:t>
      </w:r>
    </w:p>
    <w:bookmarkStart w:id="74" w:name="X00e9c8a2ebc321646cec739b8e223543be46e34"/>
    <w:p>
      <w:pPr>
        <w:pStyle w:val="Heading4"/>
      </w:pPr>
      <w:r>
        <w:t xml:space="preserve">Metro Vancouver Regional District Wait Time Findings</w:t>
      </w:r>
    </w:p>
    <w:p>
      <w:pPr>
        <w:pStyle w:val="FirstParagraph"/>
      </w:pPr>
      <w:r>
        <w:t xml:space="preserve">Table 9: Metro Vancouver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6: Metro Vancouver Regional District Wait Time (minutes)</w:t>
      </w:r>
    </w:p>
    <w:p>
      <w:pPr>
        <w:pStyle w:val="BodyText"/>
      </w:pPr>
      <w:r>
        <w:drawing>
          <wp:inline>
            <wp:extent cx="5334000" cy="2667000"/>
            <wp:effectExtent b="0" l="0" r="0" t="0"/>
            <wp:docPr descr="" title="" id="69" name="Picture"/>
            <a:graphic>
              <a:graphicData uri="http://schemas.openxmlformats.org/drawingml/2006/picture">
                <pic:pic>
                  <pic:nvPicPr>
                    <pic:cNvPr descr="0_master_peter_files/figure-docx/unnamed-chunk-20-1.png" id="70" name="Picture"/>
                    <pic:cNvPicPr>
                      <a:picLocks noChangeArrowheads="1" noChangeAspect="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72" name="Picture"/>
            <a:graphic>
              <a:graphicData uri="http://schemas.openxmlformats.org/drawingml/2006/picture">
                <pic:pic>
                  <pic:nvPicPr>
                    <pic:cNvPr descr="0_master_peter_files/figure-docx/unnamed-chunk-22-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4.9 min in wait time for taxi trips. On a year-over-year (YoY) basis, the wait time for taxi trips was +2.80%while on a year-to-date (YTD) basis it was +3.23% relative to the same period in 2024.On a month-over-month (MoM) basis, taxi wait time changed by -3.61%.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3.8 min in wait time for TNS trips. Compared with November 2024, the wait time for TNS trips was -21.25% (YoY). Year-to-date through r end_label, the wait time for TNS trips was -7.94% relative to the same period in 2024. On a month-over-month (MoM) basis, TNS wait time changed by -7.00%. Looking over the past two years, statistical analysis of the long-term trend suggests that a downward trajectory is evident. Statistical analysis of the short-term trend suggests that there is no active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bookmarkEnd w:id="74"/>
    <w:bookmarkEnd w:id="75"/>
    <w:bookmarkEnd w:id="76"/>
    <w:bookmarkStart w:id="77" w:name="innovation-factor-sec"/>
    <w:p>
      <w:pPr>
        <w:pStyle w:val="Heading2"/>
      </w:pPr>
      <w:r>
        <w:t xml:space="preserve">Innovation Factor (SEC)</w:t>
      </w:r>
    </w:p>
    <w:p>
      <w:pPr>
        <w:pStyle w:val="FirstParagraph"/>
      </w:pPr>
      <w:r>
        <w:t xml:space="preserve">There is no analysis related to this factor.</w:t>
      </w:r>
    </w:p>
    <w:bookmarkEnd w:id="77"/>
    <w:bookmarkStart w:id="101" w:name="sustainability-factor-sec"/>
    <w:p>
      <w:pPr>
        <w:pStyle w:val="Heading2"/>
      </w:pPr>
      <w:r>
        <w:t xml:space="preserve">Sustainability Factor (SEC)</w:t>
      </w:r>
    </w:p>
    <w:bookmarkStart w:id="82"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21"/>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21"/>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21"/>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21"/>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bookmarkStart w:id="81" w:name="Xdd0b28b92eeff0b1227b2c82ac8eaab478a9996"/>
    <w:p>
      <w:pPr>
        <w:pStyle w:val="Heading4"/>
      </w:pPr>
      <w:r>
        <w:t xml:space="preserve">Metro Vancouver Regional District Revenue per Active Vehicle Findings</w:t>
      </w:r>
    </w:p>
    <w:p>
      <w:pPr>
        <w:pStyle w:val="FirstParagraph"/>
      </w:pPr>
      <w:r>
        <w:t xml:space="preserve">Table 10: Metro Vancouver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$4,583.97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$4,666.92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$4,936.14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$4,931.91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$5,197.57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$5,129.72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$5,225.30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$5,054.11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$4,747.51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$4,901.19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$4,524.58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$4,122.23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$4,569.47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$4,475.29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$4,679.93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$4,952.96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$4,591.38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$4,421.76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$4,303.19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$4,319.88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$4,260.96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$4,609.21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$4,038.47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$4,446.65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$4,364.69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$4,695.14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$4,619.54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$4,640.45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$4,579.21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$4,400.98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$4,333.02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$3,257.15</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$3,311.18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$3,343.23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$3,419.51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$3,706.26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$3,687.38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$3,937.15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$3,850.20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$3,656.84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$3,281.52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$3,537.65</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$3,152.10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$2,961.79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$3,231.31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$3,212.14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$3,435.75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$3,200.10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$2,788.10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$3,179.80</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$2,623.94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$2,808.85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$2,992.46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$3,101.70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$3,398.58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$3,399.85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$3,665.71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$3,496.25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$2,858.02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$3,286.80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$2,548.30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7: Metro Vancouver Regional District Revenue per Active Vehicle</w:t>
      </w:r>
    </w:p>
    <w:p>
      <w:pPr>
        <w:pStyle w:val="BodyText"/>
      </w:pPr>
      <w:r>
        <w:drawing>
          <wp:inline>
            <wp:extent cx="5334000" cy="2667000"/>
            <wp:effectExtent b="0" l="0" r="0" t="0"/>
            <wp:docPr descr="" title="" id="79" name="Picture"/>
            <a:graphic>
              <a:graphicData uri="http://schemas.openxmlformats.org/drawingml/2006/picture">
                <pic:pic>
                  <pic:nvPicPr>
                    <pic:cNvPr descr="0_master_peter_files/figure-docx/unnamed-chunk-24-1.png" id="8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$3,257 in revenue per active vehicle for taxi trips. On a year-over-year (YoY) basis, the revenue per active vehicle for taxi trips was -23.56%while on a year-to-date (YTD) basis it was -3.54% relative to the same period in 2024. On a month-over-month (MoM) basis, revenue per active taxi vehicle changed by -24.83%.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the Metro Vancouver Regional District recorded a total of $2,548 in revenue per active vehicle for TNS trips. Compared with November 2024, the revenue per active vehicle for TNS trips was -8.60% (YoY). Year-to-date through r end_label, the revenue per active vehicle for TNS trips was -3.09% relative to the same period in 2024. On a month-over-month (MoM) basis, revenue per active TNS vehicle changed by -22.47%.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bookmarkEnd w:id="81"/>
    <w:bookmarkEnd w:id="82"/>
    <w:bookmarkStart w:id="87"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2"/>
        </w:numPr>
      </w:pPr>
      <w:r>
        <w:t xml:space="preserve">The proposed service promotes long-term stability for the passenger transportation industry.</w:t>
      </w:r>
    </w:p>
    <w:p>
      <w:pPr>
        <w:pStyle w:val="Compact"/>
        <w:numPr>
          <w:ilvl w:val="1"/>
          <w:numId w:val="1023"/>
        </w:numPr>
      </w:pPr>
      <w:r>
        <w:t xml:space="preserve">Stability in taxi fleet utilization rate can indicate the long-term stability of the industry.</w:t>
      </w:r>
    </w:p>
    <w:p>
      <w:pPr>
        <w:numPr>
          <w:ilvl w:val="0"/>
          <w:numId w:val="1022"/>
        </w:numPr>
      </w:pPr>
      <w:r>
        <w:t xml:space="preserve">A higher taxi fleet utilization rate indicates greater resiliency in the passenger transportation industry.</w:t>
      </w:r>
    </w:p>
    <w:p>
      <w:pPr>
        <w:pStyle w:val="Compact"/>
        <w:numPr>
          <w:ilvl w:val="1"/>
          <w:numId w:val="1024"/>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2"/>
        </w:numPr>
      </w:pPr>
      <w:r>
        <w:t xml:space="preserve">The proposed service minimizes significant market disruption.</w:t>
      </w:r>
    </w:p>
    <w:p>
      <w:pPr>
        <w:pStyle w:val="Compact"/>
        <w:numPr>
          <w:ilvl w:val="1"/>
          <w:numId w:val="1025"/>
        </w:numPr>
      </w:pPr>
      <w:r>
        <w:t xml:space="preserve">A low taxi fleet utilization rate increases the risk of market oversupply.</w:t>
      </w:r>
    </w:p>
    <w:p>
      <w:pPr>
        <w:numPr>
          <w:ilvl w:val="0"/>
          <w:numId w:val="1022"/>
        </w:numPr>
      </w:pPr>
      <w:r>
        <w:t xml:space="preserve">The proposed service protects the taxi sector from rapid disruption to ensure its long-term stability as an essential service.</w:t>
      </w:r>
    </w:p>
    <w:p>
      <w:pPr>
        <w:pStyle w:val="Compact"/>
        <w:numPr>
          <w:ilvl w:val="1"/>
          <w:numId w:val="1026"/>
        </w:numPr>
      </w:pPr>
      <w:r>
        <w:t xml:space="preserve">A low taxi fleet utilization rate increases the risk of rapid disruption in the taxi sector.</w:t>
      </w:r>
    </w:p>
    <w:p>
      <w:pPr>
        <w:numPr>
          <w:ilvl w:val="0"/>
          <w:numId w:val="1022"/>
        </w:numPr>
      </w:pPr>
      <w:r>
        <w:t xml:space="preserve">The proposed service promotes overall profitability and economic sustainability of the industry.</w:t>
      </w:r>
    </w:p>
    <w:p>
      <w:pPr>
        <w:pStyle w:val="Compact"/>
        <w:numPr>
          <w:ilvl w:val="1"/>
          <w:numId w:val="1027"/>
        </w:numPr>
      </w:pPr>
      <w:r>
        <w:t xml:space="preserve">A low taxi fleet utilization rate suggests lower profitability or economic unsustainability in the market.</w:t>
      </w:r>
    </w:p>
    <w:bookmarkStart w:id="86" w:name="X2fb25ee8862283160288ffb670bcc128db13db2"/>
    <w:p>
      <w:pPr>
        <w:pStyle w:val="Heading4"/>
      </w:pPr>
      <w:r>
        <w:t xml:space="preserve">Metro Vancouver Regional District Taxi Fleet Utilization Rate Findings</w:t>
      </w:r>
    </w:p>
    <w:p>
      <w:pPr>
        <w:pStyle w:val="FirstParagraph"/>
      </w:pPr>
      <w:r>
        <w:t xml:space="preserve">Table 11: Metro Vancouver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0.73</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8: Metro Vancouver Regional District taxi fleet utilization rate</w:t>
      </w:r>
    </w:p>
    <w:p>
      <w:pPr>
        <w:pStyle w:val="BodyText"/>
      </w:pPr>
      <w:r>
        <w:drawing>
          <wp:inline>
            <wp:extent cx="5334000" cy="2667000"/>
            <wp:effectExtent b="0" l="0" r="0" t="0"/>
            <wp:docPr descr="" title="" id="84" name="Picture"/>
            <a:graphic>
              <a:graphicData uri="http://schemas.openxmlformats.org/drawingml/2006/picture">
                <pic:pic>
                  <pic:nvPicPr>
                    <pic:cNvPr descr="0_master_peter_files/figure-docx/unnamed-chunk-26-1.png" id="85" name="Picture"/>
                    <pic:cNvPicPr>
                      <a:picLocks noChangeArrowheads="1" noChangeAspect="1"/>
                    </pic:cNvPicPr>
                  </pic:nvPicPr>
                  <pic:blipFill>
                    <a:blip r:embed="rId8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55.0% in taxi fleet utilization rate trips. On a year-over-year (YoY) basis, the taxi fleet utilization rate trips was -16.82%while on a year-to-date (YTD) basis it was +8.68% relative to the same period in 2024. On a month-over-month (MoM) basis, taxi fleet utilization changed by -26.32%.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bookmarkEnd w:id="86"/>
    <w:bookmarkEnd w:id="87"/>
    <w:bookmarkStart w:id="95"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28"/>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28"/>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28"/>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28"/>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28"/>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28"/>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88"/>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taxis.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89"/>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90"/>
      </w:r>
      <w:r>
        <w:t xml:space="preserve">.</w:t>
      </w:r>
    </w:p>
    <w:bookmarkStart w:id="94" w:name="Xa4bdb6880cb0c9dbd9e02a7eed4631e10bf0a0c"/>
    <w:p>
      <w:pPr>
        <w:pStyle w:val="Heading4"/>
      </w:pPr>
      <w:r>
        <w:t xml:space="preserve">Metro Vancouver Regional District Taxi and TNS Vehicle Occupancy Rate Findings</w:t>
      </w:r>
    </w:p>
    <w:p>
      <w:pPr>
        <w:pStyle w:val="FirstParagraph"/>
      </w:pPr>
      <w:r>
        <w:t xml:space="preserve">Table 12: Metro Vancouver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9: Metro Vancouver Regional District Taxi and TNS Vehicle Occupancy Rate Findings</w:t>
      </w:r>
    </w:p>
    <w:p>
      <w:pPr>
        <w:pStyle w:val="BodyText"/>
      </w:pPr>
      <w:r>
        <w:drawing>
          <wp:inline>
            <wp:extent cx="5334000" cy="2667000"/>
            <wp:effectExtent b="0" l="0" r="0" t="0"/>
            <wp:docPr descr="" title="" id="92" name="Picture"/>
            <a:graphic>
              <a:graphicData uri="http://schemas.openxmlformats.org/drawingml/2006/picture">
                <pic:pic>
                  <pic:nvPicPr>
                    <pic:cNvPr descr="0_master_peter_files/figure-docx/unnamed-chunk-28-1.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40.7% in Vehicle Occupancy Rate Findings for taxi trips. On a year-over-year (YoY) basis, the Vehicle Occupancy Rate Findings for taxi trips was +1.88%while on a year-to-date (YTD) basis it was -0.08% relative to the same period in 2024. On a month-over-month (MoM) basis, vehicle occupancy for taxi trips changed by +0.89%.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53.8% in Vehicle Occupancy Rate Findings for TNS trips. Compared with November 2024, the Vehicle Occupancy Rate Findings for TNS trips was -3.39% (YoY). Year-to-date through r end_label, the Vehicle Occupancy Rate Findings for TNS trips was -3.90% relative to the same period in 2024. On a month-over-month (MoM) basis, vehicle occupancy for TNS trips changed by -2.34%.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bookmarkEnd w:id="94"/>
    <w:bookmarkEnd w:id="95"/>
    <w:bookmarkStart w:id="100"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median[1] of the total fare[2]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bookmarkStart w:id="99" w:name="Xa5376e013b641401ff4b7dfc0eafc755e262161"/>
    <w:p>
      <w:pPr>
        <w:pStyle w:val="Heading4"/>
      </w:pPr>
      <w:r>
        <w:t xml:space="preserve">Metro Vancouver Regional District Taxi and TNS Driver hourly revenue Findings</w:t>
      </w:r>
    </w:p>
    <w:p>
      <w:pPr>
        <w:pStyle w:val="FirstParagraph"/>
      </w:pPr>
      <w:r>
        <w:t xml:space="preserve">Table 13: Metro Vancouver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$35.28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$43.95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$41.10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$40.60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$42.00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$38.74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$38.52</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$37.42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$37.81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$38.38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$39.75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$39.07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10: Metro Vancouver Regional District Taxi and TNS Driver hourly revenue Findings</w:t>
      </w:r>
    </w:p>
    <w:p>
      <w:pPr>
        <w:pStyle w:val="BodyText"/>
      </w:pPr>
      <w:r>
        <w:drawing>
          <wp:inline>
            <wp:extent cx="5334000" cy="2667000"/>
            <wp:effectExtent b="0" l="0" r="0" t="0"/>
            <wp:docPr descr="" title="" id="97" name="Picture"/>
            <a:graphic>
              <a:graphicData uri="http://schemas.openxmlformats.org/drawingml/2006/picture">
                <pic:pic>
                  <pic:nvPicPr>
                    <pic:cNvPr descr="0_master_peter_files/figure-docx/unnamed-chunk-30-1.png" id="98" name="Picture"/>
                    <pic:cNvPicPr>
                      <a:picLocks noChangeArrowheads="1" noChangeAspect="1"/>
                    </pic:cNvPicPr>
                  </pic:nvPicPr>
                  <pic:blipFill>
                    <a:blip r:embed="rId9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In November 2025, Metro Vancouver Regional District recorded a total of $35 in driver earnings for taxi services. On a year-over-year (YoY) basis, average driver earnings for taxi services were -2.74%while on a year-to-date (YTD) basis it was -2.50% relative to the same period in 2024. On a month-over-month (MoM) basis, driver earnings for taxi trips changed by +1.13%.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$39 in driver earnings for TNS services. Compared with November 2024, average driver earnings for TNS services were +5.53% (YoY). Year-to-date through November 2025, earnings for TNS services were +0.01% relative to the same period in 2024. On a month-over-month (MoM) basis, driver earnings for TNS trips changed by +2.25%.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p>
    <w:bookmarkEnd w:id="99"/>
    <w:bookmarkEnd w:id="100"/>
    <w:bookmarkEnd w:id="101"/>
    <w:bookmarkStart w:id="102" w:name="variety-factor-sec"/>
    <w:p>
      <w:pPr>
        <w:pStyle w:val="Heading2"/>
      </w:pPr>
      <w:r>
        <w:t xml:space="preserve">Variety Factor (SEC)</w:t>
      </w:r>
    </w:p>
    <w:p>
      <w:pPr>
        <w:pStyle w:val="FirstParagraph"/>
      </w:pPr>
      <w:r>
        <w:t xml:space="preserve">There is no analysis related to this factor.</w:t>
      </w:r>
    </w:p>
    <w:bookmarkEnd w:id="102"/>
    <w:bookmarkStart w:id="159"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bookmarkStart w:id="107" w:name="demand-factor"/>
    <w:p>
      <w:pPr>
        <w:pStyle w:val="Heading3"/>
      </w:pPr>
      <w:r>
        <w:t xml:space="preserve">Demand Factor</w:t>
      </w:r>
    </w:p>
    <w:bookmarkStart w:id="104" w:name="trip-volume-1"/>
    <w:p>
      <w:pPr>
        <w:pStyle w:val="Heading4"/>
      </w:pPr>
      <w:r>
        <w:t xml:space="preserve">Trip Volume</w:t>
      </w:r>
    </w:p>
    <w:p>
      <w:pPr>
        <w:pStyle w:val="FirstParagraph"/>
      </w:pPr>
      <w:r>
        <w:t xml:space="preserve">Trip volume is the total count of trip IDs of completed trips.</w:t>
      </w:r>
    </w:p>
    <w:p>
      <w:pPr>
        <w:pStyle w:val="BodyText"/>
      </w:pPr>
      <w:bookmarkStart w:id="103" w:name="eq-tv"/>
      <m:oMathPara>
        <m:oMathParaPr>
          <m:jc m:val="center"/>
        </m:oMathParaPr>
        <m:oMath>
          <m:r>
            <m:t>T</m:t>
          </m:r>
          <m:sSub>
            <m:e>
              <m:r>
                <m:t>V</m:t>
              </m:r>
            </m:e>
            <m:sub>
              <m:r>
                <m:t>j</m:t>
              </m:r>
              <m:r>
                <m:rPr>
                  <m:sty m:val="p"/>
                </m:rPr>
                <m:t>,</m:t>
              </m:r>
              <m:r>
                <m:t>t</m:t>
              </m:r>
            </m:sub>
          </m:sSub>
          <m:r>
            <m:rPr>
              <m:sty m:val="p"/>
            </m:rPr>
            <m:t>=</m:t>
          </m:r>
          <m:r>
            <m:rPr>
              <m:sty m:val="p"/>
            </m:rPr>
            <m:t>|</m:t>
          </m:r>
          <m:sSub>
            <m:e>
              <m:r>
                <m:t>T</m:t>
              </m:r>
            </m:e>
            <m:sub>
              <m:r>
                <m:t>j</m:t>
              </m:r>
              <m:r>
                <m:rPr>
                  <m:sty m:val="p"/>
                </m:rPr>
                <m:t>,</m:t>
              </m:r>
              <m:r>
                <m:t>t</m:t>
              </m:r>
            </m:sub>
          </m:sSub>
          <m:r>
            <m:rPr>
              <m:sty m:val="p"/>
            </m:rPr>
            <m:t>|</m:t>
          </m:r>
          <m:r>
            <m:t>  </m:t>
          </m:r>
          <m:d>
            <m:dPr>
              <m:begChr m:val="("/>
              <m:sepChr m:val=""/>
              <m:endChr m:val=")"/>
              <m:grow/>
            </m:dPr>
            <m:e>
              <m:r>
                <m:t>1</m:t>
              </m:r>
            </m:e>
          </m:d>
        </m:oMath>
      </m:oMathPara>
      <w:bookmarkEnd w:id="103"/>
    </w:p>
    <w:p>
      <w:pPr>
        <w:pStyle w:val="FirstParagraph"/>
      </w:pPr>
      <w:r>
        <w:t xml:space="preserve">where |∙| counts the number of elements in the set.</w:t>
      </w:r>
    </w:p>
    <w:bookmarkEnd w:id="104"/>
    <w:bookmarkStart w:id="106" w:name="trip-revenue-1"/>
    <w:p>
      <w:pPr>
        <w:pStyle w:val="Heading4"/>
      </w:pPr>
      <w:r>
        <w:t xml:space="preserve">Trip Revenue</w:t>
      </w:r>
    </w:p>
    <w:p>
      <w:pPr>
        <w:pStyle w:val="FirstParagraph"/>
      </w:pPr>
      <w:r>
        <w:t xml:space="preserve">Total trip revenue is:</w:t>
      </w:r>
    </w:p>
    <w:p>
      <w:pPr>
        <w:pStyle w:val="BodyText"/>
      </w:pPr>
      <w:bookmarkStart w:id="105" w:name="eq-tv"/>
      <m:oMathPara>
        <m:oMathParaPr>
          <m:jc m:val="center"/>
        </m:oMathParaPr>
        <m:oMath>
          <m:r>
            <m:t>T</m:t>
          </m:r>
          <m:sSub>
            <m:e>
              <m:r>
                <m:t>R</m:t>
              </m:r>
            </m:e>
            <m:sub>
              <m:r>
                <m:t>j</m:t>
              </m:r>
              <m:r>
                <m:rPr>
                  <m:sty m:val="p"/>
                </m:rPr>
                <m:t>,</m:t>
              </m:r>
              <m:r>
                <m:t>t</m:t>
              </m:r>
            </m:sub>
          </m:sSub>
          <m:r>
            <m:rPr>
              <m:sty m:val="p"/>
            </m:rPr>
            <m:t>=</m:t>
          </m:r>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r>
            <m:t>  </m:t>
          </m:r>
          <m:d>
            <m:dPr>
              <m:begChr m:val="("/>
              <m:sepChr m:val=""/>
              <m:endChr m:val=")"/>
              <m:grow/>
            </m:dPr>
            <m:e>
              <m:r>
                <m:t>2</m:t>
              </m:r>
            </m:e>
          </m:d>
        </m:oMath>
      </m:oMathPara>
      <w:bookmarkEnd w:id="105"/>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trip revenue and</w:t>
      </w:r>
      <w:r>
        <w:t xml:space="preserve"> </w:t>
      </w:r>
      <m:oMath>
        <m:sSub>
          <m:e>
            <m:r>
              <m:t>r</m:t>
            </m:r>
          </m:e>
          <m:sub>
            <m:r>
              <m:t>i</m:t>
            </m:r>
          </m:sub>
        </m:sSub>
      </m:oMath>
      <w:r>
        <w:t xml:space="preserve"> </w:t>
      </w:r>
      <w:r>
        <w:t xml:space="preserve">is the fare amount of the trip</w:t>
      </w:r>
      <w:r>
        <w:t xml:space="preserve"> </w:t>
      </w:r>
      <m:oMath>
        <m:r>
          <m:t>i</m:t>
        </m:r>
      </m:oMath>
      <w:r>
        <w:t xml:space="preserve">.</w:t>
      </w:r>
    </w:p>
    <w:bookmarkEnd w:id="106"/>
    <w:bookmarkEnd w:id="107"/>
    <w:bookmarkStart w:id="115" w:name="accessibility-factor"/>
    <w:p>
      <w:pPr>
        <w:pStyle w:val="Heading3"/>
      </w:pPr>
      <w:r>
        <w:t xml:space="preserve">Accessibility Factor</w:t>
      </w:r>
    </w:p>
    <w:bookmarkStart w:id="112" w:name="X3f01986ff74be165f184185d370c44b7c5ee626"/>
    <w:p>
      <w:pPr>
        <w:pStyle w:val="Heading4"/>
      </w:pPr>
      <w:r>
        <w:t xml:space="preserve">Number of Wheelchair Accessible Vehicles (WAVs)</w:t>
      </w:r>
    </w:p>
    <w:p>
      <w:pPr>
        <w:pStyle w:val="FirstParagraph"/>
      </w:pPr>
      <w:r>
        <w:t xml:space="preserve">Number of WAVs has two sub-metrics: (1) the number of active wheelchair accessible and (2) the number of active wheelchair accessible providing accessible trips.</w:t>
      </w:r>
      <w:r>
        <w:t xml:space="preserve"> </w:t>
      </w:r>
      <w:r>
        <w:t xml:space="preserve">The number of active wheelchair accessible vehicles is determined by identifying a set of unique vehicle IDs denoted by</w:t>
      </w:r>
      <w:r>
        <w:t xml:space="preserve"> </w:t>
      </w:r>
      <m:oMath>
        <m:sSub>
          <m:e>
            <m:r>
              <m:t>V</m:t>
            </m:r>
          </m:e>
          <m:sub>
            <m:r>
              <m:t>j</m:t>
            </m:r>
            <m:r>
              <m:rPr>
                <m:sty m:val="p"/>
              </m:rPr>
              <m:t>,</m:t>
            </m:r>
            <m:r>
              <m:t>t</m:t>
            </m:r>
          </m:sub>
        </m:sSub>
      </m:oMath>
      <w:r>
        <w:t xml:space="preserve"> </w:t>
      </w:r>
      <w:r>
        <w:t xml:space="preserve">from completed trips in the Trip Database and cross-referencing them with a set of the registry of accessible vehicles denoted by R.</w:t>
      </w:r>
    </w:p>
    <w:p>
      <w:pPr>
        <w:pStyle w:val="BodyText"/>
      </w:pPr>
      <w:bookmarkStart w:id="108" w:name="eq-tv"/>
      <m:oMathPara>
        <m:oMathParaPr>
          <m:jc m:val="center"/>
        </m:oMathParaPr>
        <m:oMath>
          <m:r>
            <m:t>W</m:t>
          </m:r>
          <m:r>
            <m:t>A</m:t>
          </m:r>
          <m:sSubSup>
            <m:e>
              <m:r>
                <m:t>V</m:t>
              </m:r>
            </m:e>
            <m:sub>
              <m:r>
                <m:t>j</m:t>
              </m:r>
              <m:r>
                <m:rPr>
                  <m:sty m:val="p"/>
                </m:rPr>
                <m:t>,</m:t>
              </m:r>
              <m:r>
                <m:t>t</m:t>
              </m:r>
            </m:sub>
            <m:sup>
              <m:r>
                <m:t>1</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e>
          </m:d>
          <m:r>
            <m:t>  </m:t>
          </m:r>
          <m:d>
            <m:dPr>
              <m:begChr m:val="("/>
              <m:sepChr m:val=""/>
              <m:endChr m:val=")"/>
              <m:grow/>
            </m:dPr>
            <m:e>
              <m:r>
                <m:t>3</m:t>
              </m:r>
            </m:e>
          </m:d>
        </m:oMath>
      </m:oMathPara>
      <w:bookmarkEnd w:id="108"/>
    </w:p>
    <w:p>
      <w:pPr>
        <w:pStyle w:val="FirstParagraph"/>
      </w:pPr>
      <w:r>
        <w:t xml:space="preserve">where |∙| counts the number of elements in the set, and</w:t>
      </w:r>
      <w:r>
        <w:t xml:space="preserve"> </w:t>
      </w:r>
      <m:oMath>
        <m:sSub>
          <m:e>
            <m:r>
              <m:t>V</m:t>
            </m:r>
          </m:e>
          <m:sub>
            <m:r>
              <m:t>j</m:t>
            </m:r>
            <m:r>
              <m:rPr>
                <m:sty m:val="p"/>
              </m:rPr>
              <m:t>,</m:t>
            </m:r>
            <m:r>
              <m:t>t</m:t>
            </m:r>
          </m:sub>
        </m:sSub>
        <m:r>
          <m:rPr>
            <m:sty m:val="p"/>
          </m:rPr>
          <m:t>∩</m:t>
        </m:r>
        <m:sSub>
          <m:e>
            <m:r>
              <m:t>R</m:t>
            </m:r>
          </m:e>
          <m:sub>
            <m:r>
              <m:t>j</m:t>
            </m:r>
            <m:r>
              <m:rPr>
                <m:sty m:val="p"/>
              </m:rPr>
              <m:t>,</m:t>
            </m:r>
            <m:r>
              <m:t>t</m:t>
            </m:r>
          </m:sub>
        </m:sSub>
      </m:oMath>
      <w:r>
        <w:t xml:space="preserve"> </w:t>
      </w:r>
      <w:r>
        <w:t xml:space="preserve">represents the set of active vehicles that are also registered as accessible.</w:t>
      </w:r>
    </w:p>
    <w:p>
      <w:pPr>
        <w:pStyle w:val="BodyText"/>
      </w:pPr>
      <w:r>
        <w:t xml:space="preserve">The number of active wheelchair accessible vehicles providing acceptable trips is determined by limiting the list of active WAVs to those reported as having provided accessible trips.</w:t>
      </w:r>
    </w:p>
    <w:p>
      <w:pPr>
        <w:pStyle w:val="BodyText"/>
      </w:pPr>
      <w:bookmarkStart w:id="109" w:name="eq-tv"/>
      <m:oMathPara>
        <m:oMathParaPr>
          <m:jc m:val="center"/>
        </m:oMathParaPr>
        <m:oMath>
          <m:r>
            <m:t>W</m:t>
          </m:r>
          <m:r>
            <m:t>A</m:t>
          </m:r>
          <m:sSubSup>
            <m:e>
              <m:r>
                <m:t>V</m:t>
              </m:r>
            </m:e>
            <m:sub>
              <m:r>
                <m:t>j</m:t>
              </m:r>
              <m:r>
                <m:rPr>
                  <m:sty m:val="p"/>
                </m:rPr>
                <m:t>,</m:t>
              </m:r>
              <m:r>
                <m:t>t</m:t>
              </m:r>
            </m:sub>
            <m:sup>
              <m:r>
                <m:t>2</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e>
          </m:d>
          <m:r>
            <m:t>  </m:t>
          </m:r>
          <m:d>
            <m:dPr>
              <m:begChr m:val="("/>
              <m:sepChr m:val=""/>
              <m:endChr m:val=")"/>
              <m:grow/>
            </m:dPr>
            <m:e>
              <m:r>
                <m:t>4</m:t>
              </m:r>
            </m:e>
          </m:d>
        </m:oMath>
      </m:oMathPara>
      <w:bookmarkEnd w:id="109"/>
    </w:p>
    <w:p>
      <w:pPr>
        <w:pStyle w:val="FirstParagraph"/>
      </w:pPr>
      <w:r>
        <w:t xml:space="preserve">where |∙| counts the number of elements in the set, and</w:t>
      </w:r>
      <w:r>
        <w:t xml:space="preserve"> </w:t>
      </w:r>
      <m:oMath>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oMath>
      <w:r>
        <w:t xml:space="preserve"> </w:t>
      </w:r>
      <w:r>
        <w:t xml:space="preserve">represents the set of active WAVs that are also providing accessible trips.</w:t>
      </w:r>
    </w:p>
    <w:p>
      <w:pPr>
        <w:pStyle w:val="BodyText"/>
      </w:pPr>
      <w:r>
        <w:t xml:space="preserve">The number of active wheelchair accessible vehicles per 1,000 person is the ratio of</w:t>
      </w:r>
      <w:r>
        <w:t xml:space="preserve"> </w:t>
      </w:r>
      <m:oMath>
        <m:r>
          <m:t>W</m:t>
        </m:r>
        <m:r>
          <m:t>A</m:t>
        </m:r>
        <m:sSubSup>
          <m:e>
            <m:r>
              <m:t>V</m:t>
            </m:r>
          </m:e>
          <m:sub>
            <m:r>
              <m:t>j</m:t>
            </m:r>
            <m:r>
              <m:rPr>
                <m:sty m:val="p"/>
              </m:rPr>
              <m:t>,</m:t>
            </m:r>
            <m:r>
              <m:t>t</m:t>
            </m:r>
          </m:sub>
          <m:sup>
            <m:r>
              <m:t>1</m:t>
            </m:r>
          </m:sup>
        </m:sSubSup>
      </m:oMath>
      <w:r>
        <w:t xml:space="preserve"> </w:t>
      </w:r>
      <w:r>
        <w:t xml:space="preserve">to the area’s population denoted by P_(j,t), multiplied by 1,000.</w:t>
      </w:r>
    </w:p>
    <w:p>
      <w:pPr>
        <w:pStyle w:val="BodyText"/>
      </w:pPr>
      <w:bookmarkStart w:id="110" w:name="eq-tv"/>
      <m:oMathPara>
        <m:oMathParaPr>
          <m:jc m:val="center"/>
        </m:oMathParaPr>
        <m:oMath>
          <m:r>
            <m:t>W</m:t>
          </m:r>
          <m:r>
            <m:t>A</m:t>
          </m:r>
          <m:sSubSup>
            <m:e>
              <m:r>
                <m:t>V</m:t>
              </m:r>
            </m:e>
            <m:sub>
              <m:r>
                <m:t>j</m:t>
              </m:r>
              <m:r>
                <m:rPr>
                  <m:sty m:val="p"/>
                </m:rPr>
                <m:t>,</m:t>
              </m:r>
              <m:r>
                <m:t>t</m:t>
              </m:r>
            </m:sub>
            <m:sup>
              <m:r>
                <m:rPr>
                  <m:nor/>
                  <m:sty m:val="p"/>
                </m:rPr>
                <m:t>per1</m:t>
              </m:r>
            </m:sup>
          </m:sSubSup>
          <m:r>
            <m:rPr>
              <m:sty m:val="p"/>
            </m:rPr>
            <m:t>=</m:t>
          </m:r>
          <m:f>
            <m:fPr>
              <m:type m:val="bar"/>
            </m:fPr>
            <m:num>
              <m:r>
                <m:t>W</m:t>
              </m:r>
              <m:r>
                <m:t>A</m:t>
              </m:r>
              <m:sSubSup>
                <m:e>
                  <m:r>
                    <m:t>V</m:t>
                  </m:r>
                </m:e>
                <m:sub>
                  <m:r>
                    <m:t>j</m:t>
                  </m:r>
                  <m:r>
                    <m:rPr>
                      <m:sty m:val="p"/>
                    </m:rPr>
                    <m:t>,</m:t>
                  </m:r>
                  <m:r>
                    <m:t>t</m:t>
                  </m:r>
                </m:sub>
                <m:sup>
                  <m:r>
                    <m:t>1</m:t>
                  </m:r>
                </m:sup>
              </m:sSubSup>
            </m:num>
            <m:den>
              <m:sSub>
                <m:e>
                  <m:r>
                    <m:t>P</m:t>
                  </m:r>
                </m:e>
                <m:sub>
                  <m:r>
                    <m:t>j</m:t>
                  </m:r>
                  <m:r>
                    <m:rPr>
                      <m:sty m:val="p"/>
                    </m:rPr>
                    <m:t>,</m:t>
                  </m:r>
                  <m:r>
                    <m:t>t</m:t>
                  </m:r>
                </m:sub>
              </m:sSub>
            </m:den>
          </m:f>
          <m:r>
            <m:rPr>
              <m:sty m:val="p"/>
            </m:rPr>
            <m:t>×</m:t>
          </m:r>
          <m:r>
            <m:t>1000</m:t>
          </m:r>
          <m:r>
            <m:t>  </m:t>
          </m:r>
          <m:d>
            <m:dPr>
              <m:begChr m:val="("/>
              <m:sepChr m:val=""/>
              <m:endChr m:val=")"/>
              <m:grow/>
            </m:dPr>
            <m:e>
              <m:r>
                <m:t>5</m:t>
              </m:r>
            </m:e>
          </m:d>
        </m:oMath>
      </m:oMathPara>
      <w:bookmarkEnd w:id="110"/>
    </w:p>
    <w:p>
      <w:pPr>
        <w:pStyle w:val="FirstParagraph"/>
      </w:pPr>
      <w:r>
        <w:t xml:space="preserve">The number of active wheelchair accessible vehicles providing accessible trips per 1,000 person is the ratio of</w:t>
      </w:r>
      <w:r>
        <w:t xml:space="preserve"> </w:t>
      </w:r>
      <m:oMath>
        <m:r>
          <m:t>W</m:t>
        </m:r>
        <m:r>
          <m:t>A</m:t>
        </m:r>
        <m:sSubSup>
          <m:e>
            <m:r>
              <m:t>V</m:t>
            </m:r>
          </m:e>
          <m:sub>
            <m:r>
              <m:t>j</m:t>
            </m:r>
            <m:r>
              <m:rPr>
                <m:sty m:val="p"/>
              </m:rPr>
              <m:t>,</m:t>
            </m:r>
            <m:r>
              <m:t>t</m:t>
            </m:r>
          </m:sub>
          <m:sup>
            <m:r>
              <m:t>2</m:t>
            </m:r>
          </m:sup>
        </m:sSubSup>
      </m:oMath>
      <w:r>
        <w:t xml:space="preserve"> </w:t>
      </w:r>
      <w:r>
        <w:t xml:space="preserve">to the area’s population denoted by</w:t>
      </w:r>
      <w:r>
        <w:t xml:space="preserve"> </w:t>
      </w:r>
      <m:oMath>
        <m:sSub>
          <m:e>
            <m:r>
              <m:t>P</m:t>
            </m:r>
          </m:e>
          <m:sub>
            <m:r>
              <m:t>j</m:t>
            </m:r>
            <m:r>
              <m:rPr>
                <m:sty m:val="p"/>
              </m:rPr>
              <m:t>,</m:t>
            </m:r>
            <m:r>
              <m:t>t</m:t>
            </m:r>
          </m:sub>
        </m:sSub>
      </m:oMath>
      <w:r>
        <w:t xml:space="preserve">, multiplied by 1,000.</w:t>
      </w:r>
    </w:p>
    <w:p>
      <w:pPr>
        <w:pStyle w:val="BodyText"/>
      </w:pPr>
      <w:bookmarkStart w:id="111" w:name="eq-tv"/>
      <m:oMathPara>
        <m:oMathParaPr>
          <m:jc m:val="center"/>
        </m:oMathParaPr>
        <m:oMath>
          <m:r>
            <m:t>W</m:t>
          </m:r>
          <m:r>
            <m:t>A</m:t>
          </m:r>
          <m:sSubSup>
            <m:e>
              <m:r>
                <m:t>V</m:t>
              </m:r>
            </m:e>
            <m:sub>
              <m:r>
                <m:t>j</m:t>
              </m:r>
              <m:r>
                <m:rPr>
                  <m:sty m:val="p"/>
                </m:rPr>
                <m:t>,</m:t>
              </m:r>
              <m:r>
                <m:t>t</m:t>
              </m:r>
            </m:sub>
            <m:sup>
              <m:r>
                <m:rPr>
                  <m:nor/>
                  <m:sty m:val="p"/>
                </m:rPr>
                <m:t>per2</m:t>
              </m:r>
            </m:sup>
          </m:sSubSup>
          <m:r>
            <m:rPr>
              <m:sty m:val="p"/>
            </m:rPr>
            <m:t>=</m:t>
          </m:r>
          <m:f>
            <m:fPr>
              <m:type m:val="bar"/>
            </m:fPr>
            <m:num>
              <m:r>
                <m:t>W</m:t>
              </m:r>
              <m:r>
                <m:t>A</m:t>
              </m:r>
              <m:sSubSup>
                <m:e>
                  <m:r>
                    <m:t>V</m:t>
                  </m:r>
                </m:e>
                <m:sub>
                  <m:r>
                    <m:t>j</m:t>
                  </m:r>
                  <m:r>
                    <m:rPr>
                      <m:sty m:val="p"/>
                    </m:rPr>
                    <m:t>,</m:t>
                  </m:r>
                  <m:r>
                    <m:t>t</m:t>
                  </m:r>
                </m:sub>
                <m:sup>
                  <m:r>
                    <m:t>2</m:t>
                  </m:r>
                </m:sup>
              </m:sSubSup>
            </m:num>
            <m:den>
              <m:sSub>
                <m:e>
                  <m:r>
                    <m:t>P</m:t>
                  </m:r>
                </m:e>
                <m:sub>
                  <m:r>
                    <m:t>j</m:t>
                  </m:r>
                  <m:r>
                    <m:rPr>
                      <m:sty m:val="p"/>
                    </m:rPr>
                    <m:t>,</m:t>
                  </m:r>
                  <m:r>
                    <m:t>t</m:t>
                  </m:r>
                </m:sub>
              </m:sSub>
            </m:den>
          </m:f>
          <m:r>
            <m:rPr>
              <m:sty m:val="p"/>
            </m:rPr>
            <m:t>×</m:t>
          </m:r>
          <m:r>
            <m:t>1000</m:t>
          </m:r>
          <m:r>
            <m:t>  </m:t>
          </m:r>
          <m:d>
            <m:dPr>
              <m:begChr m:val="("/>
              <m:sepChr m:val=""/>
              <m:endChr m:val=")"/>
              <m:grow/>
            </m:dPr>
            <m:e>
              <m:r>
                <m:t>6</m:t>
              </m:r>
            </m:e>
          </m:d>
        </m:oMath>
      </m:oMathPara>
      <w:bookmarkEnd w:id="111"/>
    </w:p>
    <w:bookmarkEnd w:id="112"/>
    <w:bookmarkStart w:id="114" w:name="active-vehicles-per-1000-persons"/>
    <w:p>
      <w:pPr>
        <w:pStyle w:val="Heading4"/>
      </w:pPr>
      <w:r>
        <w:t xml:space="preserve">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d>
          <m:dPr>
            <m:begChr m:val="("/>
            <m:sepChr m:val=""/>
            <m:endChr m:val=")"/>
            <m:grow/>
          </m:dPr>
          <m:e>
            <m:sSub>
              <m:e>
                <m:r>
                  <m:t>V</m:t>
                </m:r>
              </m:e>
              <m:sub>
                <m:r>
                  <m:t>j</m:t>
                </m:r>
                <m:r>
                  <m:rPr>
                    <m:sty m:val="p"/>
                  </m:rPr>
                  <m:t>,</m:t>
                </m:r>
                <m:r>
                  <m:t>t</m:t>
                </m:r>
              </m:sub>
            </m:sSub>
            <m:r>
              <m:rPr>
                <m:sty m:val="p"/>
              </m:rPr>
              <m:t>=</m:t>
            </m:r>
            <m:sSub>
              <m:e>
                <m:r>
                  <m:t>v</m:t>
                </m:r>
              </m:e>
              <m:sub>
                <m:r>
                  <m:t>i</m:t>
                </m:r>
              </m:sub>
            </m:sSub>
            <m:r>
              <m:rPr>
                <m:sty m:val="p"/>
              </m:rPr>
              <m:t>|</m:t>
            </m:r>
            <m:r>
              <m:t>i</m:t>
            </m:r>
            <m:r>
              <m:rPr>
                <m:sty m:val="p"/>
              </m:rPr>
              <m:t>∈</m:t>
            </m:r>
            <m:sSub>
              <m:e>
                <m:r>
                  <m:t>T</m:t>
                </m:r>
              </m:e>
              <m:sub>
                <m:r>
                  <m:t>j</m:t>
                </m:r>
                <m:r>
                  <m:rPr>
                    <m:sty m:val="p"/>
                  </m:rPr>
                  <m:t>,</m:t>
                </m:r>
                <m:r>
                  <m:t>t</m:t>
                </m:r>
              </m:sub>
            </m:sSub>
          </m:e>
        </m:d>
      </m:oMath>
      <w:r>
        <w:t xml:space="preserve"> </w:t>
      </w:r>
      <w:r>
        <w:t xml:space="preserve">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w:bookmarkStart w:id="113" w:name="eq-tv"/>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r>
            <m:t>  </m:t>
          </m:r>
          <m:d>
            <m:dPr>
              <m:begChr m:val="("/>
              <m:sepChr m:val=""/>
              <m:endChr m:val=")"/>
              <m:grow/>
            </m:dPr>
            <m:e>
              <m:r>
                <m:t>7</m:t>
              </m:r>
            </m:e>
          </m:d>
        </m:oMath>
      </m:oMathPara>
      <w:bookmarkEnd w:id="113"/>
    </w:p>
    <w:bookmarkEnd w:id="114"/>
    <w:bookmarkEnd w:id="115"/>
    <w:bookmarkStart w:id="118" w:name="affordability-factor"/>
    <w:p>
      <w:pPr>
        <w:pStyle w:val="Heading3"/>
      </w:pPr>
      <w:r>
        <w:t xml:space="preserve">Affordability Factor</w:t>
      </w:r>
    </w:p>
    <w:bookmarkStart w:id="117" w:name="fare-per-kilometre"/>
    <w:p>
      <w:pPr>
        <w:pStyle w:val="Heading4"/>
      </w:pPr>
      <w:r>
        <w:t xml:space="preserve">Fare per Kilometre</w:t>
      </w:r>
    </w:p>
    <w:p>
      <w:pPr>
        <w:pStyle w:val="FirstParagraph"/>
      </w:pPr>
      <w:r>
        <w:t xml:space="preserve">For each trip i, the fare per kilometre denoted by</w:t>
      </w:r>
      <w:r>
        <w:t xml:space="preserve"> </w:t>
      </w:r>
      <m:oMath>
        <m:sSub>
          <m:e>
            <m:r>
              <m:t>f</m:t>
            </m:r>
          </m:e>
          <m:sub>
            <m:r>
              <m:t>i</m:t>
            </m:r>
          </m:sub>
        </m:sSub>
      </m:oMath>
      <w:r>
        <w:t xml:space="preserve"> </w:t>
      </w:r>
      <w:r>
        <w:t xml:space="preserve">is calculated as the ratio of its fare denoted by</w:t>
      </w:r>
      <w:r>
        <w:t xml:space="preserve"> </w:t>
      </w:r>
      <m:oMath>
        <m:sSub>
          <m:e>
            <m:r>
              <m:t>r</m:t>
            </m:r>
          </m:e>
          <m:sub>
            <m:r>
              <m:t>i</m:t>
            </m:r>
          </m:sub>
        </m:sSub>
      </m:oMath>
      <w:r>
        <w:t xml:space="preserve"> </w:t>
      </w:r>
      <w:r>
        <w:t xml:space="preserve">to its trip length in kilometres denoted by</w:t>
      </w:r>
      <w:r>
        <w:t xml:space="preserve"> </w:t>
      </w:r>
      <m:oMath>
        <m:sSub>
          <m:e>
            <m:r>
              <m:t>d</m:t>
            </m:r>
          </m:e>
          <m:sub>
            <m:r>
              <m:t>i</m:t>
            </m:r>
          </m:sub>
        </m:sSub>
      </m:oMath>
      <w:r>
        <w:t xml:space="preserve">.</w:t>
      </w:r>
    </w:p>
    <w:p>
      <w:pPr>
        <w:pStyle w:val="BodyText"/>
      </w:pPr>
      <w:bookmarkStart w:id="116" w:name="eq-tv"/>
      <m:oMathPara>
        <m:oMathParaPr>
          <m:jc m:val="center"/>
        </m:oMathParaPr>
        <m:oMath>
          <m:sSub>
            <m:e>
              <m:r>
                <m:t>f</m:t>
              </m:r>
            </m:e>
            <m:sub>
              <m:r>
                <m:t>i</m:t>
              </m:r>
            </m:sub>
          </m:sSub>
          <m:r>
            <m:rPr>
              <m:sty m:val="p"/>
            </m:rPr>
            <m:t>=</m:t>
          </m:r>
          <m:f>
            <m:fPr>
              <m:type m:val="bar"/>
            </m:fPr>
            <m:num>
              <m:sSub>
                <m:e>
                  <m:r>
                    <m:t>r</m:t>
                  </m:r>
                </m:e>
                <m:sub>
                  <m:r>
                    <m:t>i</m:t>
                  </m:r>
                </m:sub>
              </m:sSub>
            </m:num>
            <m:den>
              <m:sSub>
                <m:e>
                  <m:r>
                    <m:t>d</m:t>
                  </m:r>
                </m:e>
                <m:sub>
                  <m:r>
                    <m:t>i</m:t>
                  </m:r>
                </m:sub>
              </m:sSub>
            </m:den>
          </m:f>
          <m:r>
            <m:t>  </m:t>
          </m:r>
          <m:d>
            <m:dPr>
              <m:begChr m:val="("/>
              <m:sepChr m:val=""/>
              <m:endChr m:val=")"/>
              <m:grow/>
            </m:dPr>
            <m:e>
              <m:r>
                <m:t>8</m:t>
              </m:r>
            </m:e>
          </m:d>
        </m:oMath>
      </m:oMathPara>
      <w:bookmarkEnd w:id="116"/>
    </w:p>
    <w:p>
      <w:pPr>
        <w:pStyle w:val="FirstParagraph"/>
      </w:pPr>
      <w:r>
        <w:t xml:space="preserve">The 10th, 50th, and the 90th percentiles of the fare per kilometre distribution are reported. Only trips recorded with a fare of at least $2.50 were included, in line with the minimum flag rate of $2.50.</w:t>
      </w:r>
    </w:p>
    <w:bookmarkEnd w:id="117"/>
    <w:bookmarkEnd w:id="118"/>
    <w:bookmarkStart w:id="119" w:name="safety-factor"/>
    <w:p>
      <w:pPr>
        <w:pStyle w:val="Heading3"/>
      </w:pPr>
      <w:r>
        <w:t xml:space="preserve">Safety Factor</w:t>
      </w:r>
    </w:p>
    <w:p>
      <w:pPr>
        <w:pStyle w:val="FirstParagraph"/>
      </w:pPr>
      <w:r>
        <w:t xml:space="preserve">There is no analysis related to this factor.</w:t>
      </w:r>
    </w:p>
    <w:bookmarkEnd w:id="119"/>
    <w:bookmarkStart w:id="122" w:name="service-quality-factor"/>
    <w:p>
      <w:pPr>
        <w:pStyle w:val="Heading3"/>
      </w:pPr>
      <w:r>
        <w:t xml:space="preserve">Service Quality Factor</w:t>
      </w:r>
    </w:p>
    <w:bookmarkStart w:id="121" w:name="wait-time-1"/>
    <w:p>
      <w:pPr>
        <w:pStyle w:val="Heading4"/>
      </w:pPr>
      <w:r>
        <w:t xml:space="preserve">Wait Time</w:t>
      </w:r>
    </w:p>
    <w:p>
      <w:pPr>
        <w:pStyle w:val="FirstParagraph"/>
      </w:pPr>
      <w:r>
        <w:t xml:space="preserve">For each trip, wait time, denoted by</w:t>
      </w:r>
      <w:r>
        <w:t xml:space="preserve"> </w:t>
      </w:r>
      <m:oMath>
        <m:sSub>
          <m:e>
            <m:r>
              <m:t>w</m:t>
            </m:r>
          </m:e>
          <m:sub>
            <m:r>
              <m:t>i</m:t>
            </m:r>
          </m:sub>
        </m:sSub>
      </m:oMath>
      <w:r>
        <w:t xml:space="preserve">, is defined as the difference between the pickup arrival time, denoted by</w:t>
      </w:r>
      <w:r>
        <w:t xml:space="preserve"> </w:t>
      </w:r>
      <m:oMath>
        <m:sSubSup>
          <m:e>
            <m:r>
              <m:t>t</m:t>
            </m:r>
          </m:e>
          <m:sub>
            <m:r>
              <m:t>i</m:t>
            </m:r>
          </m:sub>
          <m:sup>
            <m:r>
              <m:t>p</m:t>
            </m:r>
          </m:sup>
        </m:sSubSup>
      </m:oMath>
      <w:r>
        <w:t xml:space="preserve"> </w:t>
      </w:r>
      <w:r>
        <w:t xml:space="preserve">and the hail time, denoted by</w:t>
      </w:r>
      <w:r>
        <w:t xml:space="preserve"> </w:t>
      </w:r>
      <m:oMath>
        <m:sSubSup>
          <m:e>
            <m:r>
              <m:t>t</m:t>
            </m:r>
          </m:e>
          <m:sub>
            <m:r>
              <m:t>i</m:t>
            </m:r>
          </m:sub>
          <m:sup>
            <m:r>
              <m:t>h</m:t>
            </m:r>
          </m:sup>
        </m:sSubSup>
      </m:oMath>
      <w:r>
        <w:t xml:space="preserve">, measured in minutes.</w:t>
      </w:r>
    </w:p>
    <w:p>
      <w:pPr>
        <w:pStyle w:val="BodyText"/>
      </w:pPr>
      <w:bookmarkStart w:id="120" w:name="eq-tv"/>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r>
            <m:t>  </m:t>
          </m:r>
          <m:d>
            <m:dPr>
              <m:begChr m:val="("/>
              <m:sepChr m:val=""/>
              <m:endChr m:val=")"/>
              <m:grow/>
            </m:dPr>
            <m:e>
              <m:r>
                <m:t>9</m:t>
              </m:r>
            </m:e>
          </m:d>
        </m:oMath>
      </m:oMathPara>
      <w:bookmarkEnd w:id="120"/>
    </w:p>
    <w:p>
      <w:pPr>
        <w:pStyle w:val="FirstParagraph"/>
      </w:pPr>
      <w:r>
        <w:t xml:space="preserve">The median of the wait time distribution is reported. The median, when compared to the average, is less affected by outliers or extreme values, providing a more accurate representation of the central tendency (i.e., typical wait times). Pre-booked and street hail trips were excluded, as they were not the focus of what the wait time indicator is intended to capture.</w:t>
      </w:r>
    </w:p>
    <w:bookmarkEnd w:id="121"/>
    <w:bookmarkEnd w:id="122"/>
    <w:bookmarkStart w:id="128" w:name="sec-competition"/>
    <w:p>
      <w:pPr>
        <w:pStyle w:val="Heading3"/>
      </w:pPr>
      <w:r>
        <w:t xml:space="preserve">Competition Factor</w:t>
      </w:r>
    </w:p>
    <w:bookmarkStart w:id="127" w:name="concentration-indices"/>
    <w:p>
      <w:pPr>
        <w:pStyle w:val="Heading4"/>
      </w:pPr>
      <w:r>
        <w:t xml:space="preserve">Concentration Indices</w:t>
      </w:r>
    </w:p>
    <w:p>
      <w:pPr>
        <w:pStyle w:val="FirstParagraph"/>
      </w:pPr>
      <w:r>
        <w:t xml:space="preserve">Herfindahl-Hirschman Index (HHI) and Theil Index are both measures of market concentration.</w:t>
      </w:r>
      <w:r>
        <w:t xml:space="preserve"> </w:t>
      </w:r>
      <w:r>
        <w:t xml:space="preserve">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w:bookmarkStart w:id="123" w:name="eq-tv"/>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r>
            <m:t>  </m:t>
          </m:r>
          <m:d>
            <m:dPr>
              <m:begChr m:val="("/>
              <m:sepChr m:val=""/>
              <m:endChr m:val=")"/>
              <m:grow/>
            </m:dPr>
            <m:e>
              <m:r>
                <m:t>10</m:t>
              </m:r>
            </m:e>
          </m:d>
        </m:oMath>
      </m:oMathPara>
      <w:bookmarkEnd w:id="123"/>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w:bookmarkStart w:id="124" w:name="eq-tv"/>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r>
            <m:t>  </m:t>
          </m:r>
          <m:d>
            <m:dPr>
              <m:begChr m:val="("/>
              <m:sepChr m:val=""/>
              <m:endChr m:val=")"/>
              <m:grow/>
            </m:dPr>
            <m:e>
              <m:r>
                <m:t>11</m:t>
              </m:r>
            </m:e>
          </m:d>
        </m:oMath>
      </m:oMathPara>
      <w:bookmarkEnd w:id="124"/>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w:bookmarkStart w:id="125" w:name="eq-tv"/>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r>
            <m:t>  </m:t>
          </m:r>
          <m:d>
            <m:dPr>
              <m:begChr m:val="("/>
              <m:sepChr m:val=""/>
              <m:endChr m:val=")"/>
              <m:grow/>
            </m:dPr>
            <m:e>
              <m:r>
                <m:t>12</m:t>
              </m:r>
            </m:e>
          </m:d>
        </m:oMath>
      </m:oMathPara>
      <w:bookmarkEnd w:id="125"/>
    </w:p>
    <w:p>
      <w:pPr>
        <w:pStyle w:val="FirstParagraph"/>
      </w:pPr>
      <w:r>
        <w:t xml:space="preserve">where n_j 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6"/>
      </w:r>
      <w:r>
        <w:t xml:space="preserve">.</w:t>
      </w:r>
    </w:p>
    <w:bookmarkEnd w:id="127"/>
    <w:bookmarkEnd w:id="128"/>
    <w:bookmarkStart w:id="129" w:name="innovation-factor"/>
    <w:p>
      <w:pPr>
        <w:pStyle w:val="Heading3"/>
      </w:pPr>
      <w:r>
        <w:t xml:space="preserve">Innovation Factor</w:t>
      </w:r>
    </w:p>
    <w:p>
      <w:pPr>
        <w:pStyle w:val="FirstParagraph"/>
      </w:pPr>
      <w:r>
        <w:t xml:space="preserve">There is no analysis related to this factor.</w:t>
      </w:r>
    </w:p>
    <w:bookmarkEnd w:id="129"/>
    <w:bookmarkStart w:id="136" w:name="sustainability-factor"/>
    <w:p>
      <w:pPr>
        <w:pStyle w:val="Heading3"/>
      </w:pPr>
      <w:r>
        <w:t xml:space="preserve">Sustainability Factor</w:t>
      </w:r>
    </w:p>
    <w:bookmarkStart w:id="131" w:name="revenue-per-active-vehicle-1"/>
    <w:p>
      <w:pPr>
        <w:pStyle w:val="Heading4"/>
      </w:pPr>
      <w:r>
        <w:t xml:space="preserve">Revenue per Active Vehicle</w:t>
      </w:r>
    </w:p>
    <w:p>
      <w:pPr>
        <w:pStyle w:val="FirstParagraph"/>
      </w:pPr>
      <w:r>
        <w:t xml:space="preserve">Trip revenue per active vehicle is calculated by dividing the sum of the total fare amount by the total number of active vehicles:</w:t>
      </w:r>
    </w:p>
    <w:p>
      <w:pPr>
        <w:pStyle w:val="BodyText"/>
      </w:pPr>
      <w:bookmarkStart w:id="130" w:name="eq-tv"/>
      <m:oMathPara>
        <m:oMathParaPr>
          <m:jc m:val="center"/>
        </m:oMathParaPr>
        <m:oMath>
          <m:r>
            <m:t>R</m:t>
          </m:r>
          <m:r>
            <m:t>e</m:t>
          </m:r>
          <m:r>
            <m:t>v</m:t>
          </m:r>
          <m:r>
            <m:t>P</m:t>
          </m:r>
          <m:r>
            <m:t>e</m:t>
          </m:r>
          <m:r>
            <m:t>r</m:t>
          </m:r>
          <m:r>
            <m:t>V</m:t>
          </m:r>
          <m:r>
            <m:t>e</m:t>
          </m:r>
          <m:r>
            <m:t>h</m:t>
          </m:r>
          <m:r>
            <m:t>i</m:t>
          </m:r>
          <m:r>
            <m:t>c</m:t>
          </m:r>
          <m:r>
            <m:t>l</m:t>
          </m:r>
          <m:sSub>
            <m:e>
              <m:r>
                <m:t>e</m:t>
              </m:r>
            </m:e>
            <m:sub>
              <m:r>
                <m:t>j</m:t>
              </m:r>
              <m:r>
                <m:rPr>
                  <m:sty m:val="p"/>
                </m:rPr>
                <m:t>,</m:t>
              </m:r>
              <m:r>
                <m:t>t</m:t>
              </m:r>
            </m:sub>
          </m:sSub>
          <m:r>
            <m:rPr>
              <m:sty m:val="p"/>
            </m:rPr>
            <m:t>=</m:t>
          </m:r>
          <m:f>
            <m:fPr>
              <m:type m:val="bar"/>
            </m:fPr>
            <m:num>
              <m:r>
                <m:t>T</m:t>
              </m:r>
              <m:sSub>
                <m:e>
                  <m:r>
                    <m:t>R</m:t>
                  </m:r>
                </m:e>
                <m:sub>
                  <m:r>
                    <m:t>j</m:t>
                  </m:r>
                  <m:r>
                    <m:rPr>
                      <m:sty m:val="p"/>
                    </m:rPr>
                    <m:t>,</m:t>
                  </m:r>
                  <m:r>
                    <m:t>t</m:t>
                  </m:r>
                </m:sub>
              </m:sSub>
            </m:num>
            <m:den>
              <m:r>
                <m:rPr>
                  <m:sty m:val="p"/>
                </m:rPr>
                <m:t>|</m:t>
              </m:r>
              <m:sSub>
                <m:e>
                  <m:r>
                    <m:t>V</m:t>
                  </m:r>
                </m:e>
                <m:sub>
                  <m:r>
                    <m:t>j</m:t>
                  </m:r>
                  <m:r>
                    <m:rPr>
                      <m:sty m:val="p"/>
                    </m:rPr>
                    <m:t>,</m:t>
                  </m:r>
                  <m:r>
                    <m:t>t</m:t>
                  </m:r>
                </m:sub>
              </m:sSub>
              <m:r>
                <m:rPr>
                  <m:sty m:val="p"/>
                </m:rPr>
                <m:t>|</m:t>
              </m:r>
            </m:den>
          </m:f>
          <m:r>
            <m:t>  </m:t>
          </m:r>
          <m:d>
            <m:dPr>
              <m:begChr m:val="("/>
              <m:sepChr m:val=""/>
              <m:endChr m:val=")"/>
              <m:grow/>
            </m:dPr>
            <m:e>
              <m:r>
                <m:t>13</m:t>
              </m:r>
            </m:e>
          </m:d>
        </m:oMath>
      </m:oMathPara>
      <w:bookmarkEnd w:id="130"/>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total trip revenue, and</w:t>
      </w:r>
      <w:r>
        <w:t xml:space="preserve"> </w:t>
      </w:r>
      <m:oMath>
        <m:d>
          <m:dPr>
            <m:begChr m:val="|"/>
            <m:sepChr m:val=""/>
            <m:endChr m:val="|"/>
            <m:grow/>
          </m:dPr>
          <m:e>
            <m:sSub>
              <m:e>
                <m:r>
                  <m:t>V</m:t>
                </m:r>
              </m:e>
              <m:sub>
                <m:r>
                  <m:t>j</m:t>
                </m:r>
                <m:r>
                  <m:rPr>
                    <m:sty m:val="p"/>
                  </m:rPr>
                  <m:t>,</m:t>
                </m:r>
                <m:r>
                  <m:t>t</m:t>
                </m:r>
              </m:sub>
            </m:sSub>
          </m:e>
        </m:d>
      </m:oMath>
      <w:r>
        <w:t xml:space="preserve"> </w:t>
      </w:r>
      <w:r>
        <w:t xml:space="preserve">is the number of active vehicles.</w:t>
      </w:r>
    </w:p>
    <w:bookmarkEnd w:id="131"/>
    <w:bookmarkStart w:id="133" w:name="taxi-fleet-utilization"/>
    <w:p>
      <w:pPr>
        <w:pStyle w:val="Heading4"/>
      </w:pPr>
      <w:r>
        <w:t xml:space="preserve">Taxi Fleet Utilization</w:t>
      </w:r>
    </w:p>
    <w:p>
      <w:pPr>
        <w:pStyle w:val="FirstParagraph"/>
      </w:pPr>
      <w:r>
        <w:t xml:space="preserve">Taxi fleet utilization is calculated as the ratio of the total number of active taxi vehicles denoted by</w:t>
      </w:r>
      <w:r>
        <w:t xml:space="preserve"> </w:t>
      </w:r>
      <m:oMath>
        <m:r>
          <m:t>A</m:t>
        </m:r>
        <m:sSub>
          <m:e>
            <m:r>
              <m:t>V</m:t>
            </m:r>
          </m:e>
          <m:sub>
            <m:r>
              <m:t>i</m:t>
            </m:r>
            <m:r>
              <m:rPr>
                <m:sty m:val="p"/>
              </m:rPr>
              <m:t>,</m:t>
            </m:r>
            <m:r>
              <m:t>t</m:t>
            </m:r>
          </m:sub>
        </m:sSub>
      </m:oMath>
      <w:r>
        <w:t xml:space="preserve"> </w:t>
      </w:r>
      <w:r>
        <w:t xml:space="preserve">to the total number of approved taxi vehicles denoted by</w:t>
      </w:r>
      <w:r>
        <w:t xml:space="preserve"> </w:t>
      </w:r>
      <m:oMath>
        <m:r>
          <m:t>C</m:t>
        </m:r>
        <m:r>
          <m:t>a</m:t>
        </m:r>
        <m:r>
          <m:t>p</m:t>
        </m:r>
        <m:r>
          <m:t>i</m:t>
        </m:r>
        <m:r>
          <m:t>c</m:t>
        </m:r>
        <m:r>
          <m:t>i</m:t>
        </m:r>
        <m:r>
          <m:t>t</m:t>
        </m:r>
        <m:sSub>
          <m:e>
            <m:r>
              <m:t>y</m:t>
            </m:r>
          </m:e>
          <m:sub>
            <m:r>
              <m:t>i</m:t>
            </m:r>
            <m:r>
              <m:rPr>
                <m:sty m:val="p"/>
              </m:rPr>
              <m:t>,</m:t>
            </m:r>
            <m:r>
              <m:t>t</m:t>
            </m:r>
          </m:sub>
        </m:sSub>
      </m:oMath>
      <w:r>
        <w:t xml:space="preserve">, multiplied by 100 to express it as a percentage.</w:t>
      </w:r>
    </w:p>
    <w:p>
      <w:pPr>
        <w:pStyle w:val="BodyText"/>
      </w:pPr>
      <w:bookmarkStart w:id="132" w:name="eq-tv"/>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t>  </m:t>
          </m:r>
          <m:d>
            <m:dPr>
              <m:begChr m:val="("/>
              <m:sepChr m:val=""/>
              <m:endChr m:val=")"/>
              <m:grow/>
            </m:dPr>
            <m:e>
              <m:r>
                <m:t>14</m:t>
              </m:r>
            </m:e>
          </m:d>
        </m:oMath>
      </m:oMathPara>
      <w:bookmarkEnd w:id="132"/>
    </w:p>
    <w:bookmarkEnd w:id="133"/>
    <w:bookmarkStart w:id="135" w:name="taxi-vehicle-occupancy-rate"/>
    <w:p>
      <w:pPr>
        <w:pStyle w:val="Heading4"/>
      </w:pPr>
      <w:r>
        <w:t xml:space="preserve">Taxi Vehicle Occupancy Rate</w:t>
      </w:r>
    </w:p>
    <w:p>
      <w:pPr>
        <w:pStyle w:val="FirstParagraph"/>
      </w:pPr>
      <w:r>
        <w:t xml:space="preserve">Taxi Vehicle Occupancy Rate (VOR) is calculated as the ratio of the sum of all trip durations denoted by</w:t>
      </w:r>
      <w:r>
        <w:t xml:space="preserve"> </w:t>
      </w:r>
      <m:oMath>
        <m:sSub>
          <m:e>
            <m:r>
              <m:t>D</m:t>
            </m:r>
          </m:e>
          <m:sub>
            <m:r>
              <m:t>i</m:t>
            </m:r>
            <m:r>
              <m:rPr>
                <m:sty m:val="p"/>
              </m:rPr>
              <m:t>,</m:t>
            </m:r>
            <m:r>
              <m:t>t</m:t>
            </m:r>
          </m:sub>
        </m:sSub>
      </m:oMath>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34" w:name="eq-tv"/>
      <m:oMathPara>
        <m:oMathParaPr>
          <m:jc m:val="center"/>
        </m:oMathParaPr>
        <m:oMath>
          <m:r>
            <m:t>V</m:t>
          </m:r>
          <m:r>
            <m:t>O</m:t>
          </m:r>
          <m:sSub>
            <m:e>
              <m:r>
                <m:t>R</m:t>
              </m:r>
            </m:e>
            <m:sub>
              <m:r>
                <m:t>i</m:t>
              </m:r>
              <m:r>
                <m:rPr>
                  <m:sty m:val="p"/>
                </m:rPr>
                <m:t>,</m:t>
              </m:r>
              <m:r>
                <m:t>t</m:t>
              </m:r>
            </m:sub>
          </m:sSub>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15</m:t>
              </m:r>
            </m:e>
          </m:d>
        </m:oMath>
      </m:oMathPara>
      <w:bookmarkEnd w:id="134"/>
    </w:p>
    <w:p>
      <w:pPr>
        <w:pStyle w:val="FirstParagraph"/>
      </w:pPr>
      <w:r>
        <w:t xml:space="preserve">The shift length is determined by the difference between the shift end time and the shift start time.</w:t>
      </w:r>
      <w:r>
        <w:t xml:space="preserve"> </w:t>
      </w:r>
      <w:r>
        <w:t xml:space="preserve">TNS trips are not included, as the start time for TNS shifts recorded in the Trip Database corresponds to the driver’s first ride request rather than the actual beginning of their work shift.</w:t>
      </w:r>
    </w:p>
    <w:bookmarkEnd w:id="135"/>
    <w:bookmarkEnd w:id="136"/>
    <w:bookmarkStart w:id="143" w:name="new-vehicle-occupancy-rate"/>
    <w:p>
      <w:pPr>
        <w:pStyle w:val="Heading3"/>
      </w:pPr>
      <w:r>
        <w:t xml:space="preserve">New 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bookmarkStart w:id="138" w:name="shift-start-time"/>
    <w:p>
      <w:pPr>
        <w:pStyle w:val="Heading4"/>
      </w:pPr>
      <w:r>
        <w:t xml:space="preserve">Shift Start Time</w:t>
      </w:r>
    </w:p>
    <w:p>
      <w:pPr>
        <w:pStyle w:val="FirstParagraph"/>
      </w:pPr>
      <w:r>
        <w:t xml:space="preserve">(Denoted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pStyle w:val="BodyText"/>
      </w:pPr>
      <w:bookmarkStart w:id="137" w:name="eq-tv"/>
      <m:oMathPara>
        <m:oMathParaPr>
          <m:jc m:val="center"/>
        </m:oMathParaPr>
        <m:oMath>
          <m:sSubSup>
            <m:e>
              <m:r>
                <m:t>t</m:t>
              </m:r>
            </m:e>
            <m:sub>
              <m:r>
                <m:rPr>
                  <m:nor/>
                  <m:sty m:val="p"/>
                </m:rPr>
                <m:t>start</m:t>
              </m:r>
            </m:sub>
            <m:sup>
              <m:r>
                <m:rPr>
                  <m:nor/>
                  <m:sty m:val="p"/>
                </m:rPr>
                <m:t>shift</m:t>
              </m:r>
            </m:sup>
          </m:sSubSup>
          <m:r>
            <m:rPr>
              <m:sty m:val="p"/>
            </m:rPr>
            <m:t>=</m:t>
          </m:r>
          <m:limLow>
            <m:e>
              <m:r>
                <m:rPr>
                  <m:sty m:val="p"/>
                </m:rPr>
                <m:t>min</m:t>
              </m:r>
            </m:e>
            <m:lim>
              <m:r>
                <m:t>i</m:t>
              </m:r>
            </m:lim>
          </m:limLow>
          <m:d>
            <m:dPr>
              <m:begChr m:val="("/>
              <m:sepChr m:val=""/>
              <m:endChr m:val=")"/>
              <m:grow/>
            </m:dPr>
            <m:e>
              <m:sSubSup>
                <m:e>
                  <m:r>
                    <m:t>t</m:t>
                  </m:r>
                </m:e>
                <m:sub>
                  <m:r>
                    <m:rPr>
                      <m:nor/>
                      <m:sty m:val="p"/>
                    </m:rPr>
                    <m:t>assign</m:t>
                  </m:r>
                  <m:r>
                    <m:rPr>
                      <m:sty m:val="p"/>
                    </m:rPr>
                    <m:t>,</m:t>
                  </m:r>
                  <m:r>
                    <m:t>i</m:t>
                  </m:r>
                </m:sub>
                <m:sup>
                  <m:r>
                    <m:rPr>
                      <m:nor/>
                      <m:sty m:val="p"/>
                    </m:rPr>
                    <m:t>vehicle</m:t>
                  </m:r>
                </m:sup>
              </m:sSubSup>
            </m:e>
          </m:d>
          <m:r>
            <m:t>  </m:t>
          </m:r>
          <m:d>
            <m:dPr>
              <m:begChr m:val="("/>
              <m:sepChr m:val=""/>
              <m:endChr m:val=")"/>
              <m:grow/>
            </m:dPr>
            <m:e>
              <m:r>
                <m:t>16</m:t>
              </m:r>
            </m:e>
          </m:d>
        </m:oMath>
      </m:oMathPara>
      <w:bookmarkEnd w:id="137"/>
    </w:p>
    <w:bookmarkEnd w:id="138"/>
    <w:bookmarkStart w:id="140" w:name="shift-end-time"/>
    <w:p>
      <w:pPr>
        <w:pStyle w:val="Heading4"/>
      </w:pPr>
      <w:r>
        <w:t xml:space="preserve">Shift End Time</w:t>
      </w:r>
    </w:p>
    <w:p>
      <w:pPr>
        <w:pStyle w:val="FirstParagraph"/>
      </w:pPr>
      <w:r>
        <w:t xml:space="preserve">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w:t>
      </w:r>
    </w:p>
    <w:p>
      <w:pPr>
        <w:pStyle w:val="BodyText"/>
      </w:pPr>
      <w:bookmarkStart w:id="139" w:name="eq-tv"/>
      <m:oMathPara>
        <m:oMathParaPr>
          <m:jc m:val="center"/>
        </m:oMathParaPr>
        <m:oMath>
          <m:sSubSup>
            <m:e>
              <m:r>
                <m:t>t</m:t>
              </m:r>
            </m:e>
            <m:sub>
              <m:r>
                <m:rPr>
                  <m:nor/>
                  <m:sty m:val="p"/>
                </m:rPr>
                <m:t>end</m:t>
              </m:r>
            </m:sub>
            <m:sup>
              <m:r>
                <m:rPr>
                  <m:nor/>
                  <m:sty m:val="p"/>
                </m:rPr>
                <m:t>shift</m:t>
              </m:r>
            </m:sup>
          </m:sSubSup>
          <m:r>
            <m:rPr>
              <m:sty m:val="p"/>
            </m:rPr>
            <m:t>=</m:t>
          </m:r>
          <m:limLow>
            <m:e>
              <m:r>
                <m:rPr>
                  <m:sty m:val="p"/>
                </m:rPr>
                <m:t>max</m:t>
              </m:r>
            </m:e>
            <m:lim>
              <m:r>
                <m:t>i</m:t>
              </m:r>
            </m:lim>
          </m:limLow>
          <m:d>
            <m:dPr>
              <m:begChr m:val="("/>
              <m:sepChr m:val=""/>
              <m:endChr m:val=")"/>
              <m:grow/>
            </m:dPr>
            <m:e>
              <m:sSubSup>
                <m:e>
                  <m:r>
                    <m:t>t</m:t>
                  </m:r>
                </m:e>
                <m:sub>
                  <m:r>
                    <m:rPr>
                      <m:nor/>
                      <m:sty m:val="p"/>
                    </m:rPr>
                    <m:t>arrive</m:t>
                  </m:r>
                  <m:r>
                    <m:rPr>
                      <m:sty m:val="p"/>
                    </m:rPr>
                    <m:t>,</m:t>
                  </m:r>
                  <m:r>
                    <m:t>i</m:t>
                  </m:r>
                </m:sub>
                <m:sup>
                  <m:r>
                    <m:rPr>
                      <m:nor/>
                      <m:sty m:val="p"/>
                    </m:rPr>
                    <m:t>dropoff</m:t>
                  </m:r>
                </m:sup>
              </m:sSubSup>
            </m:e>
          </m:d>
          <m:r>
            <m:t>  </m:t>
          </m:r>
          <m:d>
            <m:dPr>
              <m:begChr m:val="("/>
              <m:sepChr m:val=""/>
              <m:endChr m:val=")"/>
              <m:grow/>
            </m:dPr>
            <m:e>
              <m:r>
                <m:t>17</m:t>
              </m:r>
            </m:e>
          </m:d>
        </m:oMath>
      </m:oMathPara>
      <w:bookmarkEnd w:id="139"/>
    </w:p>
    <w:bookmarkEnd w:id="140"/>
    <w:bookmarkStart w:id="142" w:name="shift-length"/>
    <w:p>
      <w:pPr>
        <w:pStyle w:val="Heading4"/>
      </w:pPr>
      <w:r>
        <w:t xml:space="preserve">Shift Length</w:t>
      </w:r>
    </w:p>
    <w:p>
      <w:pPr>
        <w:pStyle w:val="FirstParagraph"/>
      </w:pPr>
      <w:r>
        <w:t xml:space="preserve">Denoted as (</w:t>
      </w:r>
      <w:r>
        <w:t xml:space="preserve"> </w:t>
      </w:r>
      <m:oMath>
        <m:sSup>
          <m:e>
            <m:r>
              <m:t>L</m:t>
            </m:r>
          </m:e>
          <m:sup>
            <m:r>
              <m:rPr>
                <m:nor/>
                <m:sty m:val="p"/>
              </m:rPr>
              <m:t>shift</m:t>
            </m:r>
          </m:sup>
        </m:sSup>
      </m:oMath>
      <w:r>
        <w:t xml:space="preserve"> </w:t>
      </w:r>
      <w:r>
        <w:t xml:space="preserve">):</w:t>
      </w:r>
    </w:p>
    <w:p>
      <w:pPr>
        <w:pStyle w:val="BodyText"/>
      </w:pPr>
      <w:bookmarkStart w:id="141" w:name="eq-tv"/>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r>
            <m:t>  </m:t>
          </m:r>
          <m:d>
            <m:dPr>
              <m:begChr m:val="("/>
              <m:sepChr m:val=""/>
              <m:endChr m:val=")"/>
              <m:grow/>
            </m:dPr>
            <m:e>
              <m:r>
                <m:t>18</m:t>
              </m:r>
            </m:e>
          </m:d>
        </m:oMath>
      </m:oMathPara>
      <w:bookmarkEnd w:id="141"/>
    </w:p>
    <w:bookmarkEnd w:id="142"/>
    <w:bookmarkEnd w:id="143"/>
    <w:bookmarkStart w:id="148" w:name="shift-occupancy"/>
    <w:p>
      <w:pPr>
        <w:pStyle w:val="Heading3"/>
      </w:pPr>
      <w:r>
        <w:t xml:space="preserve">Shift Occupancy</w:t>
      </w:r>
    </w:p>
    <w:p>
      <w:pPr>
        <w:pStyle w:val="FirstParagraph"/>
      </w:pPr>
      <w:r>
        <w:t xml:space="preserve">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BodyText"/>
      </w:pPr>
      <w:bookmarkStart w:id="144" w:name="eq-tv"/>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r>
            <m:t>  </m:t>
          </m:r>
          <m:d>
            <m:dPr>
              <m:begChr m:val="("/>
              <m:sepChr m:val=""/>
              <m:endChr m:val=")"/>
              <m:grow/>
            </m:dPr>
            <m:e>
              <m:r>
                <m:t>19</m:t>
              </m:r>
            </m:e>
          </m:d>
        </m:oMath>
      </m:oMathPara>
      <w:bookmarkEnd w:id="144"/>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45" w:name="eq-tv"/>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20</m:t>
              </m:r>
            </m:e>
          </m:d>
        </m:oMath>
      </m:oMathPara>
      <w:bookmarkEnd w:id="145"/>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w:bookmarkStart w:id="146" w:name="eq-tv"/>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r>
            <m:t>  </m:t>
          </m:r>
          <m:d>
            <m:dPr>
              <m:begChr m:val="("/>
              <m:sepChr m:val=""/>
              <m:endChr m:val=")"/>
              <m:grow/>
            </m:dPr>
            <m:e>
              <m:r>
                <m:t>21</m:t>
              </m:r>
            </m:e>
          </m:d>
        </m:oMath>
      </m:oMathPara>
      <w:bookmarkEnd w:id="146"/>
    </w:p>
    <w:p>
      <w:pPr>
        <w:pStyle w:val="FirstParagraph"/>
      </w:pPr>
      <w:r>
        <w:t xml:space="preserve">The Operating time includes the time between vehicle assignment time and drop-off time.</w:t>
      </w:r>
    </w:p>
    <w:p>
      <w:pPr>
        <w:pStyle w:val="BodyText"/>
      </w:pPr>
      <w:bookmarkStart w:id="147" w:name="eq-tv"/>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r>
            <m:t>  </m:t>
          </m:r>
          <m:d>
            <m:dPr>
              <m:begChr m:val="("/>
              <m:sepChr m:val=""/>
              <m:endChr m:val=")"/>
              <m:grow/>
            </m:dPr>
            <m:e>
              <m:r>
                <m:t>22</m:t>
              </m:r>
            </m:e>
          </m:d>
        </m:oMath>
      </m:oMathPara>
      <w:bookmarkEnd w:id="147"/>
    </w:p>
    <w:bookmarkEnd w:id="148"/>
    <w:bookmarkStart w:id="150" w:name="drivers-gross-hourly-earnings"/>
    <w:p>
      <w:pPr>
        <w:pStyle w:val="Heading3"/>
      </w:pPr>
      <w:r>
        <w:t xml:space="preserve">Drivers’ Gross Hourly Earnings</w:t>
      </w:r>
    </w:p>
    <w:p>
      <w:pPr>
        <w:pStyle w:val="FirstParagraph"/>
      </w:pPr>
      <w:r>
        <w:t xml:space="preserve">Drivers’ Gross Hourly Earnings are calculated as:</w:t>
      </w:r>
    </w:p>
    <w:p>
      <w:pPr>
        <w:pStyle w:val="BodyText"/>
      </w:pPr>
      <w:bookmarkStart w:id="149" w:name="eq-tv"/>
      <m:oMathPara>
        <m:oMathParaPr>
          <m:jc m:val="center"/>
        </m:oMathParaPr>
        <m:oMath>
          <m:r>
            <m:t>G</m:t>
          </m:r>
          <m:r>
            <m:t>H</m:t>
          </m:r>
          <m:sSub>
            <m:e>
              <m:r>
                <m:t>E</m:t>
              </m:r>
            </m:e>
            <m:sub>
              <m:r>
                <m:t>j</m:t>
              </m:r>
              <m:r>
                <m:rPr>
                  <m:sty m:val="p"/>
                </m:rPr>
                <m:t>,</m:t>
              </m:r>
              <m:r>
                <m:t>t</m:t>
              </m:r>
            </m:sub>
          </m:sSub>
          <m:r>
            <m:rPr>
              <m:sty m:val="p"/>
            </m:rPr>
            <m:t>=</m:t>
          </m:r>
          <m:r>
            <m:rPr>
              <m:sty m:val="p"/>
            </m:rPr>
            <m:t>Median</m:t>
          </m:r>
          <m:d>
            <m:dPr>
              <m:begChr m:val="("/>
              <m:sepChr m:val=""/>
              <m:endChr m:val=")"/>
              <m:grow/>
            </m:dPr>
            <m:e>
              <m:f>
                <m:fPr>
                  <m:type m:val="bar"/>
                </m:fPr>
                <m:num>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num>
                <m:den>
                  <m:nary>
                    <m:naryPr>
                      <m:chr m:val="∑"/>
                      <m:limLoc m:val="undOvr"/>
                      <m:subHide m:val="off"/>
                      <m:supHide m:val="on"/>
                    </m:naryPr>
                    <m:sub>
                      <m:r>
                        <m:t>i</m:t>
                      </m:r>
                      <m:r>
                        <m:rPr>
                          <m:sty m:val="p"/>
                        </m:rPr>
                        <m:t>∈</m:t>
                      </m:r>
                      <m:sSub>
                        <m:e>
                          <m:r>
                            <m:t>T</m:t>
                          </m:r>
                        </m:e>
                        <m:sub>
                          <m:r>
                            <m:t>j</m:t>
                          </m:r>
                          <m:r>
                            <m:rPr>
                              <m:sty m:val="p"/>
                            </m:rPr>
                            <m:t>,</m:t>
                          </m:r>
                          <m:r>
                            <m:t>t</m:t>
                          </m:r>
                        </m:sub>
                      </m:sSub>
                    </m:sub>
                    <m:sup>
                      <m:r>
                        <m:t>​</m:t>
                      </m:r>
                    </m:sup>
                    <m:e>
                      <m:sSub>
                        <m:e>
                          <m:r>
                            <m:t>h</m:t>
                          </m:r>
                        </m:e>
                        <m:sub>
                          <m:r>
                            <m:t>i</m:t>
                          </m:r>
                        </m:sub>
                      </m:sSub>
                    </m:e>
                  </m:nary>
                </m:den>
              </m:f>
            </m:e>
          </m:d>
          <m:r>
            <m:t>  </m:t>
          </m:r>
          <m:d>
            <m:dPr>
              <m:begChr m:val="("/>
              <m:sepChr m:val=""/>
              <m:endChr m:val=")"/>
              <m:grow/>
            </m:dPr>
            <m:e>
              <m:r>
                <m:t>23</m:t>
              </m:r>
            </m:e>
          </m:d>
        </m:oMath>
      </m:oMathPara>
      <w:bookmarkEnd w:id="149"/>
    </w:p>
    <w:p>
      <w:pPr>
        <w:pStyle w:val="FirstParagraph"/>
      </w:pPr>
      <w:r>
        <w:t xml:space="preserve">where:</w:t>
      </w:r>
      <w:r>
        <w:t xml:space="preserve"> </w:t>
      </w:r>
      <w:r>
        <w:t xml:space="preserve">-</w:t>
      </w:r>
      <w:r>
        <w:t xml:space="preserve"> </w:t>
      </w:r>
      <m:oMath>
        <m:r>
          <m:t>G</m:t>
        </m:r>
        <m:r>
          <m:t>H</m:t>
        </m:r>
        <m:sSub>
          <m:e>
            <m:r>
              <m:t>E</m:t>
            </m:r>
          </m:e>
          <m:sub>
            <m:d>
              <m:dPr>
                <m:begChr m:val="("/>
                <m:sepChr m:val=""/>
                <m:endChr m:val=")"/>
                <m:grow/>
              </m:dPr>
              <m:e>
                <m:r>
                  <m:t>j</m:t>
                </m:r>
                <m:r>
                  <m:rPr>
                    <m:sty m:val="p"/>
                  </m:rPr>
                  <m:t>,</m:t>
                </m:r>
                <m:r>
                  <m:t>t</m:t>
                </m:r>
              </m:e>
            </m:d>
          </m:sub>
        </m:sSub>
      </m:oMath>
      <w:r>
        <w:t xml:space="preserve"> </w:t>
      </w:r>
      <w:r>
        <w:t xml:space="preserve">represents the drivers’ gross hourly earnings in area j during period t.</w:t>
      </w:r>
      <w:r>
        <w:t xml:space="preserve"> </w:t>
      </w:r>
      <w:r>
        <w:t xml:space="preserve">-</w:t>
      </w:r>
      <w:r>
        <w:t xml:space="preserve"> </w:t>
      </w:r>
      <m:oMath>
        <m:sSub>
          <m:e>
            <m:r>
              <m:t>r</m:t>
            </m:r>
          </m:e>
          <m:sub>
            <m:r>
              <m:t>i</m:t>
            </m:r>
          </m:sub>
        </m:sSub>
      </m:oMath>
      <w:r>
        <w:t xml:space="preserve"> </w:t>
      </w:r>
      <w:r>
        <w:t xml:space="preserve">is the fare revenue for trip i.</w:t>
      </w:r>
      <w:r>
        <w:t xml:space="preserve"> </w:t>
      </w:r>
      <w:r>
        <w:t xml:space="preserve">-</w:t>
      </w:r>
      <w:r>
        <w:t xml:space="preserve"> </w:t>
      </w:r>
      <m:oMath>
        <m:sSub>
          <m:e>
            <m:r>
              <m:t>h</m:t>
            </m:r>
          </m:e>
          <m:sub>
            <m:r>
              <m:t>i</m:t>
            </m:r>
          </m:sub>
        </m:sSub>
      </m:oMath>
      <w:r>
        <w:t xml:space="preserve"> </w:t>
      </w:r>
      <w:r>
        <w:t xml:space="preserve">is the total working hours of the driver associated with trip i.</w:t>
      </w:r>
      <w:r>
        <w:t xml:space="preserve"> </w:t>
      </w:r>
      <w:r>
        <w:t xml:space="preserve">-</w:t>
      </w:r>
      <w:r>
        <w:t xml:space="preserve"> </w:t>
      </w:r>
      <m:oMath>
        <m:sSub>
          <m:e>
            <m:r>
              <m:t>T</m:t>
            </m:r>
          </m:e>
          <m:sub>
            <m:r>
              <m:t>j</m:t>
            </m:r>
            <m:r>
              <m:rPr>
                <m:sty m:val="p"/>
              </m:rPr>
              <m:t>,</m:t>
            </m:r>
            <m:r>
              <m:t>t</m:t>
            </m:r>
          </m:sub>
        </m:sSub>
      </m:oMath>
      <w:r>
        <w:t xml:space="preserve"> </w:t>
      </w:r>
      <w:r>
        <w:t xml:space="preserve">is the set of completed trips in area j during period t.</w:t>
      </w:r>
    </w:p>
    <w:bookmarkEnd w:id="150"/>
    <w:bookmarkStart w:id="152" w:name="sec-drivers"/>
    <w:p>
      <w:pPr>
        <w:pStyle w:val="Heading3"/>
      </w:pPr>
      <w:r>
        <w:t xml:space="preserve">Number of Active Drivers</w:t>
      </w:r>
    </w:p>
    <w:p>
      <w:pPr>
        <w:pStyle w:val="FirstParagraph"/>
      </w:pPr>
      <w:r>
        <w:t xml:space="preserve">The number of active drivers is determined by identifying a set of unique driver IDs, denoted by</w:t>
      </w:r>
      <w:r>
        <w:t xml:space="preserve"> </w:t>
      </w:r>
      <m:oMath>
        <m:r>
          <m:t>D</m:t>
        </m:r>
        <m:sSub>
          <m:e>
            <m:r>
              <m:t>R</m:t>
            </m:r>
          </m:e>
          <m:sub>
            <m:r>
              <m:t>j</m:t>
            </m:r>
            <m:r>
              <m:rPr>
                <m:sty m:val="p"/>
              </m:rPr>
              <m:t>,</m:t>
            </m:r>
            <m:r>
              <m:t>t</m:t>
            </m:r>
          </m:sub>
        </m:sSub>
      </m:oMath>
      <w:r>
        <w:t xml:space="preserve"> </w:t>
      </w:r>
      <w:r>
        <w:t xml:space="preserve">, from completed trips in the Trip Database.</w:t>
      </w:r>
    </w:p>
    <w:p>
      <w:pPr>
        <w:pStyle w:val="BodyText"/>
      </w:pPr>
      <w:bookmarkStart w:id="151" w:name="eq-tv"/>
      <m:oMathPara>
        <m:oMathParaPr>
          <m:jc m:val="center"/>
        </m:oMathParaPr>
        <m:oMath>
          <m:r>
            <m:t>D</m:t>
          </m:r>
          <m:sSub>
            <m:e>
              <m:r>
                <m:t>R</m:t>
              </m:r>
            </m:e>
            <m:sub>
              <m:r>
                <m:t>j</m:t>
              </m:r>
              <m:r>
                <m:rPr>
                  <m:sty m:val="p"/>
                </m:rPr>
                <m:t>,</m:t>
              </m:r>
              <m:r>
                <m:t>t</m:t>
              </m:r>
            </m:sub>
          </m:sSub>
          <m:r>
            <m:rPr>
              <m:sty m:val="p"/>
            </m:rPr>
            <m:t>=</m:t>
          </m:r>
          <m:d>
            <m:dPr>
              <m:begChr m:val="|"/>
              <m:sepChr m:val=""/>
              <m:endChr m:val="|"/>
              <m:grow/>
            </m:dPr>
            <m:e>
              <m:r>
                <m:rPr>
                  <m:sty m:val="p"/>
                </m:rPr>
                <m:t>{</m:t>
              </m:r>
              <m:r>
                <m:t>d</m:t>
              </m:r>
              <m:sSub>
                <m:e>
                  <m:r>
                    <m:t>r</m:t>
                  </m:r>
                </m:e>
                <m:sub>
                  <m:r>
                    <m:t>i</m:t>
                  </m:r>
                </m:sub>
              </m:sSub>
              <m:r>
                <m:rPr>
                  <m:sty m:val="p"/>
                </m:rPr>
                <m:t>∣</m:t>
              </m:r>
              <m:r>
                <m:t>i</m:t>
              </m:r>
              <m:r>
                <m:rPr>
                  <m:sty m:val="p"/>
                </m:rPr>
                <m:t>∈</m:t>
              </m:r>
              <m:sSub>
                <m:e>
                  <m:r>
                    <m:t>T</m:t>
                  </m:r>
                </m:e>
                <m:sub>
                  <m:r>
                    <m:t>j</m:t>
                  </m:r>
                  <m:r>
                    <m:rPr>
                      <m:sty m:val="p"/>
                    </m:rPr>
                    <m:t>,</m:t>
                  </m:r>
                  <m:r>
                    <m:t>t</m:t>
                  </m:r>
                </m:sub>
              </m:sSub>
              <m:r>
                <m:rPr>
                  <m:sty m:val="p"/>
                </m:rPr>
                <m:t>}</m:t>
              </m:r>
            </m:e>
          </m:d>
          <m:r>
            <m:t>  </m:t>
          </m:r>
          <m:d>
            <m:dPr>
              <m:begChr m:val="("/>
              <m:sepChr m:val=""/>
              <m:endChr m:val=")"/>
              <m:grow/>
            </m:dPr>
            <m:e>
              <m:r>
                <m:t>24</m:t>
              </m:r>
            </m:e>
          </m:d>
        </m:oMath>
      </m:oMathPara>
      <w:bookmarkEnd w:id="151"/>
    </w:p>
    <w:p>
      <w:pPr>
        <w:pStyle w:val="FirstParagraph"/>
      </w:pPr>
      <w:r>
        <w:t xml:space="preserve">here:</w:t>
      </w:r>
      <w:r>
        <w:t xml:space="preserve"> </w:t>
      </w:r>
      <m:oMath>
        <m:r>
          <m:t>D</m:t>
        </m:r>
        <m:sSub>
          <m:e>
            <m:r>
              <m:t>R</m:t>
            </m:r>
          </m:e>
          <m:sub>
            <m:r>
              <m:t>j</m:t>
            </m:r>
            <m:r>
              <m:rPr>
                <m:sty m:val="p"/>
              </m:rPr>
              <m:t>,</m:t>
            </m:r>
            <m:r>
              <m:t>t</m:t>
            </m:r>
          </m:sub>
        </m:sSub>
      </m:oMath>
      <w:r>
        <w:t xml:space="preserve"> </w:t>
      </w:r>
      <w:r>
        <w:t xml:space="preserve">represents the number of active drivers in area j during period t.</w:t>
      </w:r>
      <w:r>
        <w:t xml:space="preserve"> </w:t>
      </w:r>
      <m:oMath>
        <m:r>
          <m:t>d</m:t>
        </m:r>
        <m:sSub>
          <m:e>
            <m:r>
              <m:t>r</m:t>
            </m:r>
          </m:e>
          <m:sub>
            <m:r>
              <m:t>i</m:t>
            </m:r>
          </m:sub>
        </m:sSub>
      </m:oMath>
      <w:r>
        <w:t xml:space="preserve"> </w:t>
      </w:r>
      <w:r>
        <w:t xml:space="preserve">is the unique driver associated with trip i.</w:t>
      </w:r>
      <w:r>
        <w:t xml:space="preserve"> </w:t>
      </w:r>
      <m:oMath>
        <m:sSub>
          <m:e>
            <m:r>
              <m:t>T</m:t>
            </m:r>
          </m:e>
          <m:sub>
            <m:r>
              <m:t>j</m:t>
            </m:r>
            <m:r>
              <m:rPr>
                <m:sty m:val="p"/>
              </m:rPr>
              <m:t>,</m:t>
            </m:r>
            <m:r>
              <m:t>t</m:t>
            </m:r>
          </m:sub>
        </m:sSub>
      </m:oMath>
      <w:r>
        <w:t xml:space="preserve"> </w:t>
      </w:r>
      <w:r>
        <w:t xml:space="preserve">is the set of completed trips in area j during period t.</w:t>
      </w:r>
    </w:p>
    <w:bookmarkEnd w:id="152"/>
    <w:bookmarkStart w:id="157" w:name="peak-hour-taxi-vehicle-occupancy-rate"/>
    <w:p>
      <w:pPr>
        <w:pStyle w:val="Heading3"/>
      </w:pPr>
      <w:r>
        <w:t xml:space="preserve">Peak-Hour Taxi Vehicle Occupancy Rate</w:t>
      </w:r>
    </w:p>
    <w:p>
      <w:pPr>
        <w:pStyle w:val="FirstParagraph"/>
      </w:pPr>
      <w:r>
        <w:t xml:space="preserve">Peak Hour Taxi Vehicle Occupancy Rate is calculated by identifying the peak hours, which are determined by examining the trip volume for each hour throughout the day.</w:t>
      </w:r>
      <w:r>
        <w:t xml:space="preserve"> </w:t>
      </w:r>
      <w:r>
        <w:t xml:space="preserve">The hour with the highest trip volume, relative to other hours, is designated as the peak hour. An example is shown below.</w:t>
      </w:r>
      <w:r>
        <w:t xml:space="preserve"> </w:t>
      </w:r>
      <w:r>
        <w:rPr>
          <w:i/>
          <w:iCs/>
        </w:rPr>
        <w:t xml:space="preserve">Figure 11: Metro Vancouver Identification of Peak Hours</w:t>
      </w:r>
    </w:p>
    <w:p>
      <w:pPr>
        <w:pStyle w:val="BodyText"/>
      </w:pPr>
      <w:r>
        <w:drawing>
          <wp:inline>
            <wp:extent cx="5334000" cy="1679526"/>
            <wp:effectExtent b="0" l="0" r="0" t="0"/>
            <wp:docPr descr="" title="" id="154" name="Picture"/>
            <a:graphic>
              <a:graphicData uri="http://schemas.openxmlformats.org/drawingml/2006/picture">
                <pic:pic>
                  <pic:nvPicPr>
                    <pic:cNvPr descr="img-cache/peak.png" id="155" name="Picture"/>
                    <pic:cNvPicPr>
                      <a:picLocks noChangeArrowheads="1" noChangeAspect="1"/>
                    </pic:cNvPicPr>
                  </pic:nvPicPr>
                  <pic:blipFill>
                    <a:blip r:embed="rId153"/>
                    <a:stretch>
                      <a:fillRect/>
                    </a:stretch>
                  </pic:blipFill>
                  <pic:spPr bwMode="auto">
                    <a:xfrm>
                      <a:off x="0" y="0"/>
                      <a:ext cx="5334000" cy="1679526"/>
                    </a:xfrm>
                    <a:prstGeom prst="rect">
                      <a:avLst/>
                    </a:prstGeom>
                    <a:noFill/>
                    <a:ln w="9525">
                      <a:noFill/>
                      <a:headEnd/>
                      <a:tailEnd/>
                    </a:ln>
                  </pic:spPr>
                </pic:pic>
              </a:graphicData>
            </a:graphic>
          </wp:inline>
        </w:drawing>
      </w:r>
    </w:p>
    <w:p>
      <w:pPr>
        <w:pStyle w:val="BodyText"/>
      </w:pPr>
      <w:r>
        <w:t xml:space="preserve">Once the peak hours are identified, the Peak-Hour Taxi Vehicle Occupancy Rate is then calculated by dividing the total trip duration during peak hours, denoted by</w:t>
      </w:r>
      <w:r>
        <w:t xml:space="preserve"> </w:t>
      </w:r>
      <m:oMath>
        <m:sSubSup>
          <m:e>
            <m:r>
              <m:t>D</m:t>
            </m:r>
          </m:e>
          <m:sub>
            <m:r>
              <m:t>i</m:t>
            </m:r>
            <m:r>
              <m:rPr>
                <m:sty m:val="p"/>
              </m:rPr>
              <m:t>,</m:t>
            </m:r>
            <m:r>
              <m:t>t</m:t>
            </m:r>
          </m:sub>
          <m:sup>
            <m:r>
              <m:t>p</m:t>
            </m:r>
            <m:r>
              <m:t>e</m:t>
            </m:r>
            <m:r>
              <m:t>a</m:t>
            </m:r>
            <m:r>
              <m:t>k</m:t>
            </m:r>
          </m:sup>
        </m:sSubSup>
      </m:oMath>
      <w:r>
        <w:t xml:space="preserve">, by the total working hours of all vehicles during the peak hours, denoted by</w:t>
      </w:r>
      <w:r>
        <w:t xml:space="preserve"> </w:t>
      </w:r>
      <m:oMath>
        <m:sSubSup>
          <m:e>
            <m:r>
              <m:t>L</m:t>
            </m:r>
          </m:e>
          <m:sub>
            <m:r>
              <m:t>i</m:t>
            </m:r>
            <m:r>
              <m:rPr>
                <m:sty m:val="p"/>
              </m:rPr>
              <m:t>,</m:t>
            </m:r>
            <m:r>
              <m:t>t</m:t>
            </m:r>
          </m:sub>
          <m:sup>
            <m:r>
              <m:t>p</m:t>
            </m:r>
            <m:r>
              <m:t>e</m:t>
            </m:r>
            <m:r>
              <m:t>a</m:t>
            </m:r>
            <m:r>
              <m:t>k</m:t>
            </m:r>
          </m:sup>
        </m:sSubSup>
      </m:oMath>
      <w:r>
        <w:t xml:space="preserve">.</w:t>
      </w:r>
    </w:p>
    <w:p>
      <w:pPr>
        <w:pStyle w:val="BodyText"/>
      </w:pPr>
      <w:bookmarkStart w:id="156" w:name="eq-tv"/>
      <m:oMathPara>
        <m:oMathParaPr>
          <m:jc m:val="center"/>
        </m:oMathParaPr>
        <m:oMath>
          <m:r>
            <m:t>P</m:t>
          </m:r>
          <m:r>
            <m:t>e</m:t>
          </m:r>
          <m:r>
            <m:t>a</m:t>
          </m:r>
          <m:r>
            <m:t>k</m:t>
          </m:r>
          <m:r>
            <m:t>V</m:t>
          </m:r>
          <m:r>
            <m:t>O</m:t>
          </m:r>
          <m:sSub>
            <m:e>
              <m:r>
                <m:t>R</m:t>
              </m:r>
            </m:e>
            <m:sub>
              <m:r>
                <m:t>i</m:t>
              </m:r>
              <m:r>
                <m:rPr>
                  <m:sty m:val="p"/>
                </m:rPr>
                <m:t>,</m:t>
              </m:r>
              <m:r>
                <m:t>t</m:t>
              </m:r>
            </m:sub>
          </m:sSub>
          <m:r>
            <m:rPr>
              <m:sty m:val="p"/>
            </m:rPr>
            <m:t>=</m:t>
          </m:r>
          <m:f>
            <m:fPr>
              <m:type m:val="bar"/>
            </m:fPr>
            <m:num>
              <m:sSubSup>
                <m:e>
                  <m:r>
                    <m:t>D</m:t>
                  </m:r>
                </m:e>
                <m:sub>
                  <m:r>
                    <m:t>i</m:t>
                  </m:r>
                  <m:r>
                    <m:rPr>
                      <m:sty m:val="p"/>
                    </m:rPr>
                    <m:t>,</m:t>
                  </m:r>
                  <m:r>
                    <m:t>t</m:t>
                  </m:r>
                </m:sub>
                <m:sup>
                  <m:r>
                    <m:rPr>
                      <m:nor/>
                      <m:sty m:val="p"/>
                    </m:rPr>
                    <m:t>peak</m:t>
                  </m:r>
                </m:sup>
              </m:sSubSup>
            </m:num>
            <m:den>
              <m:sSubSup>
                <m:e>
                  <m:r>
                    <m:t>L</m:t>
                  </m:r>
                </m:e>
                <m:sub>
                  <m:r>
                    <m:t>i</m:t>
                  </m:r>
                  <m:r>
                    <m:rPr>
                      <m:sty m:val="p"/>
                    </m:rPr>
                    <m:t>,</m:t>
                  </m:r>
                  <m:r>
                    <m:t>t</m:t>
                  </m:r>
                </m:sub>
                <m:sup>
                  <m:r>
                    <m:rPr>
                      <m:nor/>
                      <m:sty m:val="p"/>
                    </m:rPr>
                    <m:t>peak</m:t>
                  </m:r>
                </m:sup>
              </m:sSubSup>
            </m:den>
          </m:f>
          <m:r>
            <m:t>  </m:t>
          </m:r>
          <m:d>
            <m:dPr>
              <m:begChr m:val="("/>
              <m:sepChr m:val=""/>
              <m:endChr m:val=")"/>
              <m:grow/>
            </m:dPr>
            <m:e>
              <m:r>
                <m:t>25</m:t>
              </m:r>
            </m:e>
          </m:d>
        </m:oMath>
      </m:oMathPara>
      <w:bookmarkEnd w:id="156"/>
    </w:p>
    <w:bookmarkEnd w:id="157"/>
    <w:bookmarkStart w:id="158" w:name="variety-factor"/>
    <w:p>
      <w:pPr>
        <w:pStyle w:val="Heading3"/>
      </w:pPr>
      <w:r>
        <w:t xml:space="preserve">Variety Factor</w:t>
      </w:r>
    </w:p>
    <w:p>
      <w:pPr>
        <w:pStyle w:val="FirstParagraph"/>
      </w:pPr>
      <w:r>
        <w:t xml:space="preserve">No analysis conducted.</w:t>
      </w:r>
    </w:p>
    <w:bookmarkEnd w:id="158"/>
    <w:bookmarkEnd w:id="159"/>
    <w:bookmarkStart w:id="164" w:name="appendix-2-technical-methodology"/>
    <w:p>
      <w:pPr>
        <w:pStyle w:val="Heading2"/>
      </w:pPr>
      <w:r>
        <w:t xml:space="preserve">Appendix 2: Technical Methodology</w:t>
      </w:r>
    </w:p>
    <w:bookmarkStart w:id="163" w:name="new-vehicle-occupancy-rate-1"/>
    <w:p>
      <w:pPr>
        <w:pStyle w:val="Heading3"/>
      </w:pPr>
      <w:r>
        <w:t xml:space="preserve">New Vehicle Occupancy Rate</w:t>
      </w:r>
    </w:p>
    <w:p>
      <w:pPr>
        <w:pStyle w:val="FirstParagraph"/>
      </w:pPr>
      <w:r>
        <w:rPr>
          <w:i/>
          <w:iCs/>
        </w:rPr>
        <w:t xml:space="preserve">Figure 12: Metro Vancouver New York City VOR (2023 and 2024)</w:t>
      </w:r>
    </w:p>
    <w:p>
      <w:pPr>
        <w:pStyle w:val="BodyText"/>
      </w:pPr>
      <w:r>
        <w:drawing>
          <wp:inline>
            <wp:extent cx="5334000" cy="2667000"/>
            <wp:effectExtent b="0" l="0" r="0" t="0"/>
            <wp:docPr descr="" title="" id="161" name="Picture"/>
            <a:graphic>
              <a:graphicData uri="http://schemas.openxmlformats.org/drawingml/2006/picture">
                <pic:pic>
                  <pic:nvPicPr>
                    <pic:cNvPr descr="img-cache/VOR.png" id="162" name="Picture"/>
                    <pic:cNvPicPr>
                      <a:picLocks noChangeArrowheads="1" noChangeAspect="1"/>
                    </pic:cNvPicPr>
                  </pic:nvPicPr>
                  <pic:blipFill>
                    <a:blip r:embed="rId160"/>
                    <a:stretch>
                      <a:fillRect/>
                    </a:stretch>
                  </pic:blipFill>
                  <pic:spPr bwMode="auto">
                    <a:xfrm>
                      <a:off x="0" y="0"/>
                      <a:ext cx="5334000" cy="2667000"/>
                    </a:xfrm>
                    <a:prstGeom prst="rect">
                      <a:avLst/>
                    </a:prstGeom>
                    <a:noFill/>
                    <a:ln w="9525">
                      <a:noFill/>
                      <a:headEnd/>
                      <a:tailEnd/>
                    </a:ln>
                  </pic:spPr>
                </pic:pic>
              </a:graphicData>
            </a:graphic>
          </wp:inline>
        </w:drawing>
      </w:r>
    </w:p>
    <w:bookmarkEnd w:id="163"/>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56">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63">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88">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89">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90">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6">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91" Target="media/rId91.png" /><Relationship Type="http://schemas.openxmlformats.org/officeDocument/2006/relationships/image" Id="rId96" Target="media/rId96.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160" Target="media/rId160.png" /><Relationship Type="http://schemas.openxmlformats.org/officeDocument/2006/relationships/image" Id="rId153" Target="media/rId15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2026-01-13T23:53:11Z</dcterms:created>
  <dcterms:modified xsi:type="dcterms:W3CDTF">2026-01-13T23:53:11Z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