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7.png" ContentType="image/png"/>
  <Override PartName="/word/media/rId60.png" ContentType="image/png"/>
  <Override PartName="/word/media/rId68.png" ContentType="image/png"/>
  <Override PartName="/word/media/rId71.png" ContentType="image/png"/>
  <Override PartName="/word/media/rId78.png" ContentType="image/png"/>
  <Override PartName="/word/media/rId83.png" ContentType="image/png"/>
  <Override PartName="/word/media/rId91.png" ContentType="image/png"/>
  <Override PartName="/word/media/rId96.png" ContentType="image/png"/>
  <Override PartName="/word/media/rId33.png" ContentType="image/png"/>
  <Override PartName="/word/media/rId39.png" ContentType="image/png"/>
  <Override PartName="/word/media/rId160.png" ContentType="image/png"/>
  <Override PartName="/word/media/rId15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5"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4"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Start w:id="43"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0"/>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If the proposed service attracts current taxi or TNS users, it will result in a redistribution of market share as measured by trip revenue among existing providers.</w:t>
      </w:r>
    </w:p>
    <w:p>
      <w:pPr>
        <w:pStyle w:val="Compact"/>
        <w:numPr>
          <w:ilvl w:val="1"/>
          <w:numId w:val="1011"/>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4"/>
      </w:pPr>
      <w:r>
        <w:t xml:space="preserve">Metro Vancouver Regional District Trip Revenue Findings</w:t>
      </w:r>
    </w:p>
    <w:p>
      <w:pPr>
        <w:pStyle w:val="FirstParagraph"/>
      </w:pPr>
      <w:r>
        <w:t xml:space="preserve">Table 2: Metro Vancouver Regional District Trip Revenue(thousands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Revenue</w:t>
      </w:r>
    </w:p>
    <w:p>
      <w:pPr>
        <w:pStyle w:val="BodyText"/>
      </w:pPr>
      <w:r>
        <w:drawing>
          <wp:inline>
            <wp:extent cx="5334000" cy="2667000"/>
            <wp:effectExtent b="0" l="0" r="0" t="0"/>
            <wp:docPr descr="" title="" id="40" name="Picture"/>
            <a:graphic>
              <a:graphicData uri="http://schemas.openxmlformats.org/drawingml/2006/picture">
                <pic:pic>
                  <pic:nvPicPr>
                    <pic:cNvPr descr="0_master_peter_files/figure-docx/unnamed-chunk-9-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$6,558,869 taxi trips revenue. On a year-over-year (YoY) basis, the total taxi trip revenue was -33.90%, while on a year-to-date (YTD) basis it was -2.36%. relative to the same period in 2024. These results indicate strong momentum in demand for TAXI services in the region. On a month-over-month (MoM) basis, taxi trip revenue was -37.08%. Looking over the past two years, statistical analysis of the long-term trend suggests that there is no meaningful change in direction.</w:t>
      </w:r>
      <w:r>
        <w:t xml:space="preserve"> </w:t>
      </w:r>
      <w:r>
        <w:t xml:space="preserve">Statistical analysis of the short-term trend suggests that there is downward shift in market direction.</w:t>
      </w:r>
    </w:p>
    <w:p>
      <w:pPr>
        <w:pStyle w:val="BodyText"/>
      </w:pPr>
      <w:r>
        <w:t xml:space="preserve">In November 2025, Metro Vancouver Regional District recorded $42,985,969 TNS trips. Compared with November 2024, TNS trip revenue was +0.61% (YoY). Year-to-date through November 2025, TNS trip revenue was +12.03% relative to the same period in 2024. These results indicate strong momentum in demand for TNS services in the region. On a month-over-month (MoM) basis, TNS trip revenue was -24.44%. Looking over the past two years, statistical analysis of the long-term trend suggests that a upward trajectory is evident.</w:t>
      </w:r>
      <w:r>
        <w:t xml:space="preserve"> </w:t>
      </w:r>
      <w:r>
        <w:t xml:space="preserve">Statistical analysis of the short-term trend suggests that there is downward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2"/>
    <w:bookmarkEnd w:id="43"/>
    <w:bookmarkEnd w:id="44"/>
    <w:bookmarkStart w:id="55" w:name="accessibility-factor-pn"/>
    <w:p>
      <w:pPr>
        <w:pStyle w:val="Heading2"/>
      </w:pPr>
      <w:r>
        <w:t xml:space="preserve">Accessibility Factor (PN)</w:t>
      </w:r>
    </w:p>
    <w:bookmarkStart w:id="49"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2"/>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3"/>
        </w:numPr>
      </w:pPr>
      <w:r>
        <w:t xml:space="preserve">The number of WAVs on the road directly and positively correlates with the extent and quality of service provided to individuals with mobility disabilities.</w:t>
      </w:r>
    </w:p>
    <w:bookmarkStart w:id="48" w:name="X24a69f827e9cd6e48cb5d469d6597abece18c51"/>
    <w:p>
      <w:pPr>
        <w:pStyle w:val="Heading4"/>
      </w:pPr>
      <w:r>
        <w:t xml:space="preserve">Metro Vancouver Regional District Number of Wheelchair Accessible Vehicles Findings</w:t>
      </w:r>
    </w:p>
    <w:p>
      <w:pPr>
        <w:pStyle w:val="FirstParagraph"/>
      </w:pPr>
      <w:r>
        <w:t xml:space="preserve">Table 3: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4: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3: Metro Vancouver Regional District Trip Volume</w:t>
      </w:r>
    </w:p>
    <w:p>
      <w:pPr>
        <w:pStyle w:val="BodyText"/>
      </w:pPr>
      <w:r>
        <w:drawing>
          <wp:inline>
            <wp:extent cx="5334000" cy="2667000"/>
            <wp:effectExtent b="0" l="0" r="0" t="0"/>
            <wp:docPr descr="" title="" id="46" name="Picture"/>
            <a:graphic>
              <a:graphicData uri="http://schemas.openxmlformats.org/drawingml/2006/picture">
                <pic:pic>
                  <pic:nvPicPr>
                    <pic:cNvPr descr="0_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8"/>
    <w:bookmarkEnd w:id="49"/>
    <w:bookmarkStart w:id="54"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53" w:name="X201896f4c2701693f879679843d8733c283f179"/>
    <w:p>
      <w:pPr>
        <w:pStyle w:val="Heading4"/>
      </w:pPr>
      <w:r>
        <w:t xml:space="preserve">Metro Vancouver Regional District Active Vehicles per 1,000 Persons Findings</w:t>
      </w:r>
    </w:p>
    <w:p>
      <w:pPr>
        <w:pStyle w:val="FirstParagraph"/>
      </w:pPr>
      <w:r>
        <w:t xml:space="preserve">Table 7: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4: Metro Vancouver Regional District Active Vehicles per 1,000 Persons</w:t>
      </w:r>
    </w:p>
    <w:p>
      <w:pPr>
        <w:pStyle w:val="BodyText"/>
      </w:pPr>
      <w:r>
        <w:drawing>
          <wp:inline>
            <wp:extent cx="5334000" cy="2667000"/>
            <wp:effectExtent b="0" l="0" r="0" t="0"/>
            <wp:docPr descr="" title="" id="51" name="Picture"/>
            <a:graphic>
              <a:graphicData uri="http://schemas.openxmlformats.org/drawingml/2006/picture">
                <pic:pic>
                  <pic:nvPicPr>
                    <pic:cNvPr descr="0_master_peter_files/figure-docx/unnamed-chunk-14-1.pn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53"/>
    <w:bookmarkEnd w:id="54"/>
    <w:bookmarkEnd w:id="55"/>
    <w:bookmarkStart w:id="66" w:name="affordability-factor-pn"/>
    <w:p>
      <w:pPr>
        <w:pStyle w:val="Heading2"/>
      </w:pPr>
      <w:r>
        <w:t xml:space="preserve">Affordability Factor (PN)</w:t>
      </w:r>
    </w:p>
    <w:bookmarkStart w:id="65"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6"/>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4"/>
        </w:numPr>
      </w:pPr>
      <w:r>
        <w:t xml:space="preserve">The proposed service provides more affordable options or services for consumers.</w:t>
      </w:r>
    </w:p>
    <w:p>
      <w:pPr>
        <w:pStyle w:val="Compact"/>
        <w:numPr>
          <w:ilvl w:val="1"/>
          <w:numId w:val="1015"/>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64" w:name="X4b6293a75f4186221f0d2c78a85c769c3c3f387"/>
    <w:p>
      <w:pPr>
        <w:pStyle w:val="Heading4"/>
      </w:pPr>
      <w:r>
        <w:t xml:space="preserve">Metro Vancouver Regional District Fare for a 5-Kilometre Trip Findings</w:t>
      </w:r>
    </w:p>
    <w:p>
      <w:pPr>
        <w:pStyle w:val="FirstParagraph"/>
      </w:pPr>
      <w:r>
        <w:t xml:space="preserve">Table 8: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Fare for a 5-Kilometre Trips</w:t>
      </w:r>
    </w:p>
    <w:p>
      <w:pPr>
        <w:pStyle w:val="BodyText"/>
      </w:pPr>
      <w:r>
        <w:drawing>
          <wp:inline>
            <wp:extent cx="5334000" cy="2667000"/>
            <wp:effectExtent b="0" l="0" r="0" t="0"/>
            <wp:docPr descr="" title="" id="58" name="Picture"/>
            <a:graphic>
              <a:graphicData uri="http://schemas.openxmlformats.org/drawingml/2006/picture">
                <pic:pic>
                  <pic:nvPicPr>
                    <pic:cNvPr descr="0_master_peter_files/figure-docx/unnamed-chunk-16-1.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61" name="Picture"/>
            <a:graphic>
              <a:graphicData uri="http://schemas.openxmlformats.org/drawingml/2006/picture">
                <pic:pic>
                  <pic:nvPicPr>
                    <pic:cNvPr descr="0_master_peter_files/figure-docx/unnamed-chunk-18-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63"/>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64"/>
    <w:bookmarkEnd w:id="65"/>
    <w:bookmarkEnd w:id="66"/>
    <w:bookmarkStart w:id="67" w:name="safety-factor-pn"/>
    <w:p>
      <w:pPr>
        <w:pStyle w:val="Heading2"/>
      </w:pPr>
      <w:r>
        <w:t xml:space="preserve">Safety Factor (PN)</w:t>
      </w:r>
    </w:p>
    <w:p>
      <w:pPr>
        <w:pStyle w:val="FirstParagraph"/>
      </w:pPr>
      <w:r>
        <w:t xml:space="preserve">There is no analysis related to this factor.</w:t>
      </w:r>
    </w:p>
    <w:bookmarkEnd w:id="67"/>
    <w:bookmarkStart w:id="76" w:name="service-quality-factor-pn"/>
    <w:p>
      <w:pPr>
        <w:pStyle w:val="Heading2"/>
      </w:pPr>
      <w:r>
        <w:t xml:space="preserve">Service Quality Factor (PN)</w:t>
      </w:r>
    </w:p>
    <w:bookmarkStart w:id="75"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6"/>
        </w:numPr>
      </w:pPr>
      <w:r>
        <w:t xml:space="preserve">The proposed service provides more or improved service where there is currently inadequate service.</w:t>
      </w:r>
    </w:p>
    <w:p>
      <w:pPr>
        <w:pStyle w:val="Compact"/>
        <w:numPr>
          <w:ilvl w:val="1"/>
          <w:numId w:val="1017"/>
        </w:numPr>
      </w:pPr>
      <w:r>
        <w:t xml:space="preserve">A long wait time suggests an inadequate level of service supplied.</w:t>
      </w:r>
    </w:p>
    <w:p>
      <w:pPr>
        <w:pStyle w:val="Compact"/>
        <w:numPr>
          <w:ilvl w:val="0"/>
          <w:numId w:val="1016"/>
        </w:numPr>
      </w:pPr>
      <w:r>
        <w:t xml:space="preserve">The proposed service provides more reliable service.</w:t>
      </w:r>
    </w:p>
    <w:p>
      <w:pPr>
        <w:pStyle w:val="Compact"/>
        <w:numPr>
          <w:ilvl w:val="1"/>
          <w:numId w:val="1018"/>
        </w:numPr>
      </w:pPr>
      <w:r>
        <w:t xml:space="preserve">Consistent short wait times suggest that the service is reliable.</w:t>
      </w:r>
    </w:p>
    <w:p>
      <w:pPr>
        <w:pStyle w:val="Compact"/>
        <w:numPr>
          <w:ilvl w:val="1"/>
          <w:numId w:val="1018"/>
        </w:numPr>
      </w:pPr>
      <w:r>
        <w:t xml:space="preserve">Significant changes in wait times can suggest that the service is not reliable.</w:t>
      </w:r>
    </w:p>
    <w:p>
      <w:pPr>
        <w:pStyle w:val="Compact"/>
        <w:numPr>
          <w:ilvl w:val="1"/>
          <w:numId w:val="1018"/>
        </w:numPr>
      </w:pPr>
      <w:r>
        <w:t xml:space="preserve">Consistently long wait times suggest that the service is not reliable.</w:t>
      </w:r>
    </w:p>
    <w:p>
      <w:pPr>
        <w:pStyle w:val="Compact"/>
        <w:numPr>
          <w:ilvl w:val="0"/>
          <w:numId w:val="1016"/>
        </w:numPr>
      </w:pPr>
      <w:r>
        <w:t xml:space="preserve">The proposed service encourages more efficient service to the public, including trip speed.</w:t>
      </w:r>
    </w:p>
    <w:p>
      <w:pPr>
        <w:pStyle w:val="Compact"/>
        <w:numPr>
          <w:ilvl w:val="1"/>
          <w:numId w:val="1019"/>
        </w:numPr>
      </w:pPr>
      <w:r>
        <w:t xml:space="preserve">A long wait time suggests an inadequate level of service supplied.</w:t>
      </w:r>
    </w:p>
    <w:p>
      <w:pPr>
        <w:pStyle w:val="Compact"/>
        <w:numPr>
          <w:ilvl w:val="0"/>
          <w:numId w:val="1016"/>
        </w:numPr>
      </w:pPr>
      <w:r>
        <w:t xml:space="preserve">The proposed service provides a service that is comfortable and convenient.</w:t>
      </w:r>
    </w:p>
    <w:p>
      <w:pPr>
        <w:pStyle w:val="Compact"/>
        <w:numPr>
          <w:ilvl w:val="1"/>
          <w:numId w:val="1020"/>
        </w:numPr>
      </w:pPr>
      <w:r>
        <w:t xml:space="preserve">A short wait time contributes to a more comfortable and convenient service.</w:t>
      </w:r>
    </w:p>
    <w:p>
      <w:pPr>
        <w:pStyle w:val="Compact"/>
        <w:numPr>
          <w:ilvl w:val="1"/>
          <w:numId w:val="1020"/>
        </w:numPr>
      </w:pPr>
      <w:r>
        <w:t xml:space="preserve">The proposed service supports better customer service and customer satisfaction. A short wait time contributes to better customer service and customer satisfaction.</w:t>
      </w:r>
    </w:p>
    <w:bookmarkStart w:id="74" w:name="X00e9c8a2ebc321646cec739b8e223543be46e34"/>
    <w:p>
      <w:pPr>
        <w:pStyle w:val="Heading4"/>
      </w:pPr>
      <w:r>
        <w:t xml:space="preserve">Metro Vancouver Regional District Wait Time Findings</w:t>
      </w:r>
    </w:p>
    <w:p>
      <w:pPr>
        <w:pStyle w:val="FirstParagraph"/>
      </w:pPr>
      <w:r>
        <w:t xml:space="preserve">Table 9: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Wait Time (minutes)</w:t>
      </w:r>
    </w:p>
    <w:p>
      <w:pPr>
        <w:pStyle w:val="BodyText"/>
      </w:pPr>
      <w:r>
        <w:drawing>
          <wp:inline>
            <wp:extent cx="5334000" cy="2667000"/>
            <wp:effectExtent b="0" l="0" r="0" t="0"/>
            <wp:docPr descr="" title="" id="69" name="Picture"/>
            <a:graphic>
              <a:graphicData uri="http://schemas.openxmlformats.org/drawingml/2006/picture">
                <pic:pic>
                  <pic:nvPicPr>
                    <pic:cNvPr descr="0_master_peter_files/figure-docx/unnamed-chunk-20-1.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2" name="Picture"/>
            <a:graphic>
              <a:graphicData uri="http://schemas.openxmlformats.org/drawingml/2006/picture">
                <pic:pic>
                  <pic:nvPicPr>
                    <pic:cNvPr descr="0_master_peter_files/figure-docx/unnamed-chunk-22-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74"/>
    <w:bookmarkEnd w:id="75"/>
    <w:bookmarkEnd w:id="76"/>
    <w:bookmarkStart w:id="77" w:name="innovation-factor-sec"/>
    <w:p>
      <w:pPr>
        <w:pStyle w:val="Heading2"/>
      </w:pPr>
      <w:r>
        <w:t xml:space="preserve">Innovation Factor (SEC)</w:t>
      </w:r>
    </w:p>
    <w:p>
      <w:pPr>
        <w:pStyle w:val="FirstParagraph"/>
      </w:pPr>
      <w:r>
        <w:t xml:space="preserve">There is no analysis related to this factor.</w:t>
      </w:r>
    </w:p>
    <w:bookmarkEnd w:id="77"/>
    <w:bookmarkStart w:id="101" w:name="sustainability-factor-sec"/>
    <w:p>
      <w:pPr>
        <w:pStyle w:val="Heading2"/>
      </w:pPr>
      <w:r>
        <w:t xml:space="preserve">Sustainability Factor (SEC)</w:t>
      </w:r>
    </w:p>
    <w:bookmarkStart w:id="82"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1"/>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1"/>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1"/>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1"/>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81" w:name="Xdd0b28b92eeff0b1227b2c82ac8eaab478a9996"/>
    <w:p>
      <w:pPr>
        <w:pStyle w:val="Heading4"/>
      </w:pPr>
      <w:r>
        <w:t xml:space="preserve">Metro Vancouver Regional District Revenue per Active Vehicle Findings</w:t>
      </w:r>
    </w:p>
    <w:p>
      <w:pPr>
        <w:pStyle w:val="FirstParagraph"/>
      </w:pPr>
      <w:r>
        <w:t xml:space="preserve">Table 10: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Revenue per Active Vehicle</w:t>
      </w:r>
    </w:p>
    <w:p>
      <w:pPr>
        <w:pStyle w:val="BodyText"/>
      </w:pPr>
      <w:r>
        <w:drawing>
          <wp:inline>
            <wp:extent cx="5334000" cy="2667000"/>
            <wp:effectExtent b="0" l="0" r="0" t="0"/>
            <wp:docPr descr="" title="" id="79" name="Picture"/>
            <a:graphic>
              <a:graphicData uri="http://schemas.openxmlformats.org/drawingml/2006/picture">
                <pic:pic>
                  <pic:nvPicPr>
                    <pic:cNvPr descr="0_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81"/>
    <w:bookmarkEnd w:id="82"/>
    <w:bookmarkStart w:id="87"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2"/>
        </w:numPr>
      </w:pPr>
      <w:r>
        <w:t xml:space="preserve">The proposed service promotes long-term stability for the passenger transportation industry.</w:t>
      </w:r>
    </w:p>
    <w:p>
      <w:pPr>
        <w:pStyle w:val="Compact"/>
        <w:numPr>
          <w:ilvl w:val="1"/>
          <w:numId w:val="1023"/>
        </w:numPr>
      </w:pPr>
      <w:r>
        <w:t xml:space="preserve">Stability in taxi fleet utilization rate can indicate the long-term stability of the industry.</w:t>
      </w:r>
    </w:p>
    <w:p>
      <w:pPr>
        <w:numPr>
          <w:ilvl w:val="0"/>
          <w:numId w:val="1022"/>
        </w:numPr>
      </w:pPr>
      <w:r>
        <w:t xml:space="preserve">A higher taxi fleet utilization rate indicates greater resiliency in the passenger transportation industry.</w:t>
      </w:r>
    </w:p>
    <w:p>
      <w:pPr>
        <w:pStyle w:val="Compact"/>
        <w:numPr>
          <w:ilvl w:val="1"/>
          <w:numId w:val="1024"/>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2"/>
        </w:numPr>
      </w:pPr>
      <w:r>
        <w:t xml:space="preserve">The proposed service minimizes significant market disruption.</w:t>
      </w:r>
    </w:p>
    <w:p>
      <w:pPr>
        <w:pStyle w:val="Compact"/>
        <w:numPr>
          <w:ilvl w:val="1"/>
          <w:numId w:val="1025"/>
        </w:numPr>
      </w:pPr>
      <w:r>
        <w:t xml:space="preserve">A low taxi fleet utilization rate increases the risk of market oversupply.</w:t>
      </w:r>
    </w:p>
    <w:p>
      <w:pPr>
        <w:numPr>
          <w:ilvl w:val="0"/>
          <w:numId w:val="1022"/>
        </w:numPr>
      </w:pPr>
      <w:r>
        <w:t xml:space="preserve">The proposed service protects the taxi sector from rapid disruption to ensure its long-term stability as an essential service.</w:t>
      </w:r>
    </w:p>
    <w:p>
      <w:pPr>
        <w:pStyle w:val="Compact"/>
        <w:numPr>
          <w:ilvl w:val="1"/>
          <w:numId w:val="1026"/>
        </w:numPr>
      </w:pPr>
      <w:r>
        <w:t xml:space="preserve">A low taxi fleet utilization rate increases the risk of rapid disruption in the taxi sector.</w:t>
      </w:r>
    </w:p>
    <w:p>
      <w:pPr>
        <w:numPr>
          <w:ilvl w:val="0"/>
          <w:numId w:val="1022"/>
        </w:numPr>
      </w:pPr>
      <w:r>
        <w:t xml:space="preserve">The proposed service promotes overall profitability and economic sustainability of the industry.</w:t>
      </w:r>
    </w:p>
    <w:p>
      <w:pPr>
        <w:pStyle w:val="Compact"/>
        <w:numPr>
          <w:ilvl w:val="1"/>
          <w:numId w:val="1027"/>
        </w:numPr>
      </w:pPr>
      <w:r>
        <w:t xml:space="preserve">A low taxi fleet utilization rate suggests lower profitability or economic unsustainability in the market.</w:t>
      </w:r>
    </w:p>
    <w:bookmarkStart w:id="86" w:name="X2fb25ee8862283160288ffb670bcc128db13db2"/>
    <w:p>
      <w:pPr>
        <w:pStyle w:val="Heading4"/>
      </w:pPr>
      <w:r>
        <w:t xml:space="preserve">Metro Vancouver Regional District Taxi Fleet Utilization Rate Findings</w:t>
      </w:r>
    </w:p>
    <w:p>
      <w:pPr>
        <w:pStyle w:val="FirstParagraph"/>
      </w:pPr>
      <w:r>
        <w:t xml:space="preserve">Table 11: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fleet utilization rate</w:t>
      </w:r>
    </w:p>
    <w:p>
      <w:pPr>
        <w:pStyle w:val="BodyText"/>
      </w:pPr>
      <w:r>
        <w:drawing>
          <wp:inline>
            <wp:extent cx="5334000" cy="2667000"/>
            <wp:effectExtent b="0" l="0" r="0" t="0"/>
            <wp:docPr descr="" title="" id="84" name="Picture"/>
            <a:graphic>
              <a:graphicData uri="http://schemas.openxmlformats.org/drawingml/2006/picture">
                <pic:pic>
                  <pic:nvPicPr>
                    <pic:cNvPr descr="0_master_peter_files/figure-docx/unnamed-chunk-26-1.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6"/>
    <w:bookmarkEnd w:id="87"/>
    <w:bookmarkStart w:id="95"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8"/>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8"/>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8"/>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8"/>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8"/>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8"/>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8"/>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9"/>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0"/>
      </w:r>
      <w:r>
        <w:t xml:space="preserve">.</w:t>
      </w:r>
    </w:p>
    <w:bookmarkStart w:id="94" w:name="Xa4bdb6880cb0c9dbd9e02a7eed4631e10bf0a0c"/>
    <w:p>
      <w:pPr>
        <w:pStyle w:val="Heading4"/>
      </w:pPr>
      <w:r>
        <w:t xml:space="preserve">Metro Vancouver Regional District Taxi and TNS Vehicle Occupancy Rate Findings</w:t>
      </w:r>
    </w:p>
    <w:p>
      <w:pPr>
        <w:pStyle w:val="FirstParagraph"/>
      </w:pPr>
      <w:r>
        <w:t xml:space="preserve">Table 12: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Vehicle Occupancy Rate Findings</w:t>
      </w:r>
    </w:p>
    <w:p>
      <w:pPr>
        <w:pStyle w:val="BodyText"/>
      </w:pPr>
      <w:r>
        <w:drawing>
          <wp:inline>
            <wp:extent cx="5334000" cy="2667000"/>
            <wp:effectExtent b="0" l="0" r="0" t="0"/>
            <wp:docPr descr="" title="" id="92" name="Picture"/>
            <a:graphic>
              <a:graphicData uri="http://schemas.openxmlformats.org/drawingml/2006/picture">
                <pic:pic>
                  <pic:nvPicPr>
                    <pic:cNvPr descr="0_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94"/>
    <w:bookmarkEnd w:id="95"/>
    <w:bookmarkStart w:id="100"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9" w:name="Xa5376e013b641401ff4b7dfc0eafc755e262161"/>
    <w:p>
      <w:pPr>
        <w:pStyle w:val="Heading4"/>
      </w:pPr>
      <w:r>
        <w:t xml:space="preserve">Metro Vancouver Regional District Taxi and TNS Driver hourly revenue Findings</w:t>
      </w:r>
    </w:p>
    <w:p>
      <w:pPr>
        <w:pStyle w:val="FirstParagraph"/>
      </w:pPr>
      <w:r>
        <w:t xml:space="preserve">Table 13: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10: Metro Vancouver Regional District Taxi and TNS Driver hourly revenue Findings</w:t>
      </w:r>
    </w:p>
    <w:p>
      <w:pPr>
        <w:pStyle w:val="BodyText"/>
      </w:pPr>
      <w:r>
        <w:drawing>
          <wp:inline>
            <wp:extent cx="5334000" cy="2667000"/>
            <wp:effectExtent b="0" l="0" r="0" t="0"/>
            <wp:docPr descr="" title="" id="97" name="Picture"/>
            <a:graphic>
              <a:graphicData uri="http://schemas.openxmlformats.org/drawingml/2006/picture">
                <pic:pic>
                  <pic:nvPicPr>
                    <pic:cNvPr descr="0_master_peter_files/figure-docx/unnamed-chunk-30-1.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9"/>
    <w:bookmarkEnd w:id="100"/>
    <w:bookmarkEnd w:id="101"/>
    <w:bookmarkStart w:id="102" w:name="variety-factor-sec"/>
    <w:p>
      <w:pPr>
        <w:pStyle w:val="Heading2"/>
      </w:pPr>
      <w:r>
        <w:t xml:space="preserve">Variety Factor (SEC)</w:t>
      </w:r>
    </w:p>
    <w:p>
      <w:pPr>
        <w:pStyle w:val="FirstParagraph"/>
      </w:pPr>
      <w:r>
        <w:t xml:space="preserve">There is no analysis related to this factor.</w:t>
      </w:r>
    </w:p>
    <w:bookmarkEnd w:id="102"/>
    <w:bookmarkStart w:id="159"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7" w:name="demand-factor"/>
    <w:p>
      <w:pPr>
        <w:pStyle w:val="Heading3"/>
      </w:pPr>
      <w:r>
        <w:t xml:space="preserve">Demand Factor</w:t>
      </w:r>
    </w:p>
    <w:bookmarkStart w:id="104" w:name="trip-volume-1"/>
    <w:p>
      <w:pPr>
        <w:pStyle w:val="Heading4"/>
      </w:pPr>
      <w:r>
        <w:t xml:space="preserve">Trip Volume</w:t>
      </w:r>
    </w:p>
    <w:p>
      <w:pPr>
        <w:pStyle w:val="FirstParagraph"/>
      </w:pPr>
      <w:r>
        <w:t xml:space="preserve">Trip volume is the total count of trip IDs of completed trips.</w:t>
      </w:r>
    </w:p>
    <w:p>
      <w:pPr>
        <w:pStyle w:val="BodyText"/>
      </w:pPr>
      <w:bookmarkStart w:id="103"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103"/>
    </w:p>
    <w:p>
      <w:pPr>
        <w:pStyle w:val="FirstParagraph"/>
      </w:pPr>
      <w:r>
        <w:t xml:space="preserve">where |∙| counts the number of elements in the set.</w:t>
      </w:r>
    </w:p>
    <w:bookmarkEnd w:id="104"/>
    <w:bookmarkStart w:id="106" w:name="trip-revenue-1"/>
    <w:p>
      <w:pPr>
        <w:pStyle w:val="Heading4"/>
      </w:pPr>
      <w:r>
        <w:t xml:space="preserve">Trip Revenue</w:t>
      </w:r>
    </w:p>
    <w:p>
      <w:pPr>
        <w:pStyle w:val="FirstParagraph"/>
      </w:pPr>
      <w:r>
        <w:t xml:space="preserve">Total trip revenue is:</w:t>
      </w:r>
    </w:p>
    <w:p>
      <w:pPr>
        <w:pStyle w:val="BodyText"/>
      </w:pPr>
      <w:bookmarkStart w:id="105"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6"/>
    <w:bookmarkEnd w:id="107"/>
    <w:bookmarkStart w:id="115" w:name="accessibility-factor"/>
    <w:p>
      <w:pPr>
        <w:pStyle w:val="Heading3"/>
      </w:pPr>
      <w:r>
        <w:t xml:space="preserve">Accessibility Factor</w:t>
      </w:r>
    </w:p>
    <w:bookmarkStart w:id="112"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8"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8"/>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9"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9"/>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10"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10"/>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11"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11"/>
    </w:p>
    <w:bookmarkEnd w:id="112"/>
    <w:bookmarkStart w:id="114"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13"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13"/>
    </w:p>
    <w:bookmarkEnd w:id="114"/>
    <w:bookmarkEnd w:id="115"/>
    <w:bookmarkStart w:id="118" w:name="affordability-factor"/>
    <w:p>
      <w:pPr>
        <w:pStyle w:val="Heading3"/>
      </w:pPr>
      <w:r>
        <w:t xml:space="preserve">Affordability Factor</w:t>
      </w:r>
    </w:p>
    <w:bookmarkStart w:id="117"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6"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6"/>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7"/>
    <w:bookmarkEnd w:id="118"/>
    <w:bookmarkStart w:id="119" w:name="safety-factor"/>
    <w:p>
      <w:pPr>
        <w:pStyle w:val="Heading3"/>
      </w:pPr>
      <w:r>
        <w:t xml:space="preserve">Safety Factor</w:t>
      </w:r>
    </w:p>
    <w:p>
      <w:pPr>
        <w:pStyle w:val="FirstParagraph"/>
      </w:pPr>
      <w:r>
        <w:t xml:space="preserve">There is no analysis related to this factor.</w:t>
      </w:r>
    </w:p>
    <w:bookmarkEnd w:id="119"/>
    <w:bookmarkStart w:id="122" w:name="service-quality-factor"/>
    <w:p>
      <w:pPr>
        <w:pStyle w:val="Heading3"/>
      </w:pPr>
      <w:r>
        <w:t xml:space="preserve">Service Quality Factor</w:t>
      </w:r>
    </w:p>
    <w:bookmarkStart w:id="121"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20"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20"/>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21"/>
    <w:bookmarkEnd w:id="122"/>
    <w:bookmarkStart w:id="128" w:name="sec-competition"/>
    <w:p>
      <w:pPr>
        <w:pStyle w:val="Heading3"/>
      </w:pPr>
      <w:r>
        <w:t xml:space="preserve">Competition Factor</w:t>
      </w:r>
    </w:p>
    <w:bookmarkStart w:id="127"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23"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23"/>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24"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24"/>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5"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5"/>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6"/>
      </w:r>
      <w:r>
        <w:t xml:space="preserve">.</w:t>
      </w:r>
    </w:p>
    <w:bookmarkEnd w:id="127"/>
    <w:bookmarkEnd w:id="128"/>
    <w:bookmarkStart w:id="129" w:name="innovation-factor"/>
    <w:p>
      <w:pPr>
        <w:pStyle w:val="Heading3"/>
      </w:pPr>
      <w:r>
        <w:t xml:space="preserve">Innovation Factor</w:t>
      </w:r>
    </w:p>
    <w:p>
      <w:pPr>
        <w:pStyle w:val="FirstParagraph"/>
      </w:pPr>
      <w:r>
        <w:t xml:space="preserve">There is no analysis related to this factor.</w:t>
      </w:r>
    </w:p>
    <w:bookmarkEnd w:id="129"/>
    <w:bookmarkStart w:id="136" w:name="sustainability-factor"/>
    <w:p>
      <w:pPr>
        <w:pStyle w:val="Heading3"/>
      </w:pPr>
      <w:r>
        <w:t xml:space="preserve">Sustainability Factor</w:t>
      </w:r>
    </w:p>
    <w:bookmarkStart w:id="131"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30"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3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31"/>
    <w:bookmarkStart w:id="133"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32"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32"/>
    </w:p>
    <w:bookmarkEnd w:id="133"/>
    <w:bookmarkStart w:id="135"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34"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34"/>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5"/>
    <w:bookmarkEnd w:id="136"/>
    <w:bookmarkStart w:id="143"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8"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7"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7"/>
    </w:p>
    <w:bookmarkEnd w:id="138"/>
    <w:bookmarkStart w:id="140"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9"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9"/>
    </w:p>
    <w:bookmarkEnd w:id="140"/>
    <w:bookmarkStart w:id="142"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41"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41"/>
    </w:p>
    <w:bookmarkEnd w:id="142"/>
    <w:bookmarkEnd w:id="143"/>
    <w:bookmarkStart w:id="148"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44"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44"/>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5"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5"/>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6"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6"/>
    </w:p>
    <w:p>
      <w:pPr>
        <w:pStyle w:val="FirstParagraph"/>
      </w:pPr>
      <w:r>
        <w:t xml:space="preserve">The Operating time includes the time between vehicle assignment time and drop-off time.</w:t>
      </w:r>
    </w:p>
    <w:p>
      <w:pPr>
        <w:pStyle w:val="BodyText"/>
      </w:pPr>
      <w:bookmarkStart w:id="147"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7"/>
    </w:p>
    <w:bookmarkEnd w:id="148"/>
    <w:bookmarkStart w:id="150"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9"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9"/>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50"/>
    <w:bookmarkStart w:id="152"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51"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51"/>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52"/>
    <w:bookmarkStart w:id="157"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11: Metro Vancouver Identification of Peak Hours</w:t>
      </w:r>
    </w:p>
    <w:p>
      <w:pPr>
        <w:pStyle w:val="BodyText"/>
      </w:pPr>
      <w:r>
        <w:drawing>
          <wp:inline>
            <wp:extent cx="5334000" cy="1679526"/>
            <wp:effectExtent b="0" l="0" r="0" t="0"/>
            <wp:docPr descr="" title="" id="154" name="Picture"/>
            <a:graphic>
              <a:graphicData uri="http://schemas.openxmlformats.org/drawingml/2006/picture">
                <pic:pic>
                  <pic:nvPicPr>
                    <pic:cNvPr descr="img-cache/peak.png" id="155" name="Picture"/>
                    <pic:cNvPicPr>
                      <a:picLocks noChangeArrowheads="1" noChangeAspect="1"/>
                    </pic:cNvPicPr>
                  </pic:nvPicPr>
                  <pic:blipFill>
                    <a:blip r:embed="rId153"/>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6"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6"/>
    </w:p>
    <w:bookmarkEnd w:id="157"/>
    <w:bookmarkStart w:id="158" w:name="variety-factor"/>
    <w:p>
      <w:pPr>
        <w:pStyle w:val="Heading3"/>
      </w:pPr>
      <w:r>
        <w:t xml:space="preserve">Variety Factor</w:t>
      </w:r>
    </w:p>
    <w:p>
      <w:pPr>
        <w:pStyle w:val="FirstParagraph"/>
      </w:pPr>
      <w:r>
        <w:t xml:space="preserve">No analysis conducted.</w:t>
      </w:r>
    </w:p>
    <w:bookmarkEnd w:id="158"/>
    <w:bookmarkEnd w:id="159"/>
    <w:bookmarkStart w:id="164" w:name="appendix-2-technical-methodology"/>
    <w:p>
      <w:pPr>
        <w:pStyle w:val="Heading2"/>
      </w:pPr>
      <w:r>
        <w:t xml:space="preserve">Appendix 2: Technical Methodology</w:t>
      </w:r>
    </w:p>
    <w:bookmarkStart w:id="163" w:name="new-vehicle-occupancy-rate-1"/>
    <w:p>
      <w:pPr>
        <w:pStyle w:val="Heading3"/>
      </w:pPr>
      <w:r>
        <w:t xml:space="preserve">New Vehicle Occupancy Rate</w:t>
      </w:r>
    </w:p>
    <w:p>
      <w:pPr>
        <w:pStyle w:val="FirstParagraph"/>
      </w:pPr>
      <w:r>
        <w:rPr>
          <w:i/>
          <w:iCs/>
        </w:rPr>
        <w:t xml:space="preserve">Figure 12: Metro Vancouver New York City VOR (2023 and 2024)</w:t>
      </w:r>
    </w:p>
    <w:p>
      <w:pPr>
        <w:pStyle w:val="BodyText"/>
      </w:pPr>
      <w:r>
        <w:drawing>
          <wp:inline>
            <wp:extent cx="5334000" cy="2667000"/>
            <wp:effectExtent b="0" l="0" r="0" t="0"/>
            <wp:docPr descr="" title="" id="161" name="Picture"/>
            <a:graphic>
              <a:graphicData uri="http://schemas.openxmlformats.org/drawingml/2006/picture">
                <pic:pic>
                  <pic:nvPicPr>
                    <pic:cNvPr descr="img-cache/VOR.png" id="162" name="Picture"/>
                    <pic:cNvPicPr>
                      <a:picLocks noChangeArrowheads="1" noChangeAspect="1"/>
                    </pic:cNvPicPr>
                  </pic:nvPicPr>
                  <pic:blipFill>
                    <a:blip r:embed="rId160"/>
                    <a:stretch>
                      <a:fillRect/>
                    </a:stretch>
                  </pic:blipFill>
                  <pic:spPr bwMode="auto">
                    <a:xfrm>
                      <a:off x="0" y="0"/>
                      <a:ext cx="5334000" cy="2667000"/>
                    </a:xfrm>
                    <a:prstGeom prst="rect">
                      <a:avLst/>
                    </a:prstGeom>
                    <a:noFill/>
                    <a:ln w="9525">
                      <a:noFill/>
                      <a:headEnd/>
                      <a:tailEnd/>
                    </a:ln>
                  </pic:spPr>
                </pic:pic>
              </a:graphicData>
            </a:graphic>
          </wp:inline>
        </w:drawing>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6">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3">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8">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9">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0">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6">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160" Target="media/rId160.png" /><Relationship Type="http://schemas.openxmlformats.org/officeDocument/2006/relationships/image" Id="rId153" Target="media/rId15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2026-01-14T17:54:52Z</dcterms:created>
  <dcterms:modified xsi:type="dcterms:W3CDTF">2026-01-14T17:54:52Z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