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27.png" ContentType="image/png"/>
  <Override PartName="/word/media/rId46.png" ContentType="image/png"/>
  <Override PartName="/word/media/rId52.png" ContentType="image/png"/>
  <Override PartName="/word/media/rId59.png" ContentType="image/png"/>
  <Override PartName="/word/media/rId62.png" ContentType="image/png"/>
  <Override PartName="/word/media/rId70.png" ContentType="image/png"/>
  <Override PartName="/word/media/rId73.png" ContentType="image/png"/>
  <Override PartName="/word/media/rId80.png" ContentType="image/png"/>
  <Override PartName="/word/media/rId85.png" ContentType="image/png"/>
  <Override PartName="/word/media/rId93.png" ContentType="image/png"/>
  <Override PartName="/word/media/rId98.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introduction"/>
    <w:p>
      <w:pPr>
        <w:pStyle w:val="Heading1"/>
      </w:pPr>
      <w:r>
        <w:t xml:space="preserve">Introduction</w:t>
      </w:r>
    </w:p>
    <w:bookmarkStart w:id="21" w:name="commencing-investigation"/>
    <w:p>
      <w:pPr>
        <w:pStyle w:val="Heading2"/>
      </w:pPr>
      <w:r>
        <w:t xml:space="preserve">Commencing Investigation</w:t>
      </w:r>
    </w:p>
    <w:p>
      <w:pPr>
        <w:pStyle w:val="FirstParagraph"/>
      </w:pPr>
      <w:r>
        <w:t xml:space="preserve">This economics report has been produced pursuant to a Board investigation under section 27 of the Act (</w:t>
      </w:r>
      <w:hyperlink r:id="rId20">
        <w:r>
          <w:rPr>
            <w:rStyle w:val="Hyperlink"/>
          </w:rPr>
          <w:t xml:space="preserve">Policy Manual</w:t>
        </w:r>
      </w:hyperlink>
      <w:r>
        <w:t xml:space="preserve">). The Board investigation was commenced on (DATE???????), with respect to application #(???????????????).</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1"/>
    <w:bookmarkStart w:id="22" w:name="application-details"/>
    <w:p>
      <w:pPr>
        <w:pStyle w:val="Heading2"/>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w:t>
      </w:r>
      <w:r>
        <w:t xml:space="preserve">, which is doing business as MS Taxi. The application summary states the following:</w:t>
      </w:r>
    </w:p>
    <w:p>
      <w:pPr>
        <w:pStyle w:val="BodyText"/>
      </w:pPr>
      <w:r>
        <w:t xml:space="preserve">This is just a template:(edit this part)</w:t>
      </w:r>
      <w:r>
        <w:t xml:space="preserve"> </w:t>
      </w:r>
      <w:r>
        <w:t xml:space="preserve">There is a need for an additional taxi company servicing West Vancouver, North Vancouver, Vancouver, and YVR. It will positively affect transportation services. As MS Taxi, we will attract new taxi users that will increase the trip volume of all existing and new companies.</w:t>
      </w:r>
    </w:p>
    <w:p>
      <w:pPr>
        <w:pStyle w:val="BodyText"/>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(MoTI).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6</w:t>
      </w:r>
    </w:p>
    <w:p>
      <w:pPr>
        <w:pStyle w:val="Compact"/>
        <w:numPr>
          <w:ilvl w:val="1"/>
          <w:numId w:val="1003"/>
        </w:numPr>
      </w:pPr>
      <w:r>
        <w:t xml:space="preserve">Combined Board-approved maximum fleet size: 1,012</w:t>
      </w:r>
    </w:p>
    <w:p>
      <w:pPr>
        <w:pStyle w:val="Compact"/>
        <w:numPr>
          <w:ilvl w:val="0"/>
          <w:numId w:val="1002"/>
        </w:numPr>
      </w:pPr>
      <w:r>
        <w:t xml:space="preserve">At the Regional District level,</w:t>
      </w:r>
    </w:p>
    <w:p>
      <w:pPr>
        <w:pStyle w:val="Compact"/>
        <w:numPr>
          <w:ilvl w:val="1"/>
          <w:numId w:val="1004"/>
        </w:numPr>
      </w:pPr>
      <w:r>
        <w:t xml:space="preserve">Number of taxi licensees operating: 28</w:t>
      </w:r>
    </w:p>
    <w:p>
      <w:pPr>
        <w:pStyle w:val="Compact"/>
        <w:numPr>
          <w:ilvl w:val="1"/>
          <w:numId w:val="1004"/>
        </w:numPr>
      </w:pPr>
      <w:r>
        <w:t xml:space="preserve">Combined Board-approved maximum fleet size: 2,416</w:t>
      </w:r>
    </w:p>
    <w:p>
      <w:pPr>
        <w:pStyle w:val="Compact"/>
        <w:numPr>
          <w:ilvl w:val="0"/>
          <w:numId w:val="1002"/>
        </w:numPr>
      </w:pPr>
      <w:r>
        <w:t xml:space="preserve">At the Region level,</w:t>
      </w:r>
    </w:p>
    <w:p>
      <w:pPr>
        <w:pStyle w:val="Compact"/>
        <w:numPr>
          <w:ilvl w:val="1"/>
          <w:numId w:val="1005"/>
        </w:numPr>
      </w:pPr>
      <w:r>
        <w:t xml:space="preserve">Number of taxi licensees operating: 43</w:t>
      </w:r>
    </w:p>
    <w:p>
      <w:pPr>
        <w:pStyle w:val="Compact"/>
        <w:numPr>
          <w:ilvl w:val="1"/>
          <w:numId w:val="1005"/>
        </w:numPr>
      </w:pPr>
      <w:r>
        <w:t xml:space="preserve">Combined Board-approved maximum fleet size: 2,642</w:t>
      </w:r>
    </w:p>
    <w:bookmarkEnd w:id="24"/>
    <w:bookmarkEnd w:id="25"/>
    <w:bookmarkStart w:id="33" w:name="background"/>
    <w:p>
      <w:pPr>
        <w:pStyle w:val="Heading1"/>
      </w:pPr>
      <w:r>
        <w:t xml:space="preserve">Background</w:t>
      </w:r>
    </w:p>
    <w:bookmarkStart w:id="26" w:name="section-28-criteria"/>
    <w:p>
      <w:pPr>
        <w:pStyle w:val="Heading2"/>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6"/>
    <w:bookmarkStart w:id="30" w:name="pn-and-sec-factors"/>
    <w:p>
      <w:pPr>
        <w:pStyle w:val="Heading2"/>
      </w:pPr>
      <w:r>
        <w:t xml:space="preserve">PN and SEC Factors</w:t>
      </w:r>
    </w:p>
    <w:p>
      <w:pPr>
        <w:pStyle w:val="FirstParagraph"/>
      </w:pPr>
      <w:r>
        <w:t xml:space="preserve">The Board’s Policy Manual 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 Policy Manual,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 Policy Manual, SEC is divided into the following factors:</w:t>
      </w:r>
    </w:p>
    <w:p>
      <w:pPr>
        <w:numPr>
          <w:ilvl w:val="0"/>
          <w:numId w:val="1008"/>
        </w:numPr>
      </w:pPr>
      <w:r>
        <w:t xml:space="preserve">Sustainability</w:t>
      </w:r>
    </w:p>
    <w:p>
      <w:pPr>
        <w:numPr>
          <w:ilvl w:val="0"/>
          <w:numId w:val="1008"/>
        </w:numPr>
      </w:pPr>
      <w:r>
        <w:t xml:space="preserve">Competition</w:t>
      </w:r>
    </w:p>
    <w:p>
      <w:pPr>
        <w:numPr>
          <w:ilvl w:val="0"/>
          <w:numId w:val="1008"/>
        </w:numPr>
      </w:pPr>
      <w:r>
        <w:t xml:space="preserve">Innovation</w:t>
      </w:r>
    </w:p>
    <w:p>
      <w:pPr>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drawing>
          <wp:inline>
            <wp:extent cx="5334000" cy="3189458"/>
            <wp:effectExtent b="0" l="0" r="0" t="0"/>
            <wp:docPr descr="" title="" id="28" name="Picture"/>
            <a:graphic>
              <a:graphicData uri="http://schemas.openxmlformats.org/drawingml/2006/picture">
                <pic:pic>
                  <pic:nvPicPr>
                    <pic:cNvPr descr="img-cache/table_image.png" id="29" name="Picture"/>
                    <pic:cNvPicPr>
                      <a:picLocks noChangeArrowheads="1" noChangeAspect="1"/>
                    </pic:cNvPicPr>
                  </pic:nvPicPr>
                  <pic:blipFill>
                    <a:blip r:embed="rId27"/>
                    <a:stretch>
                      <a:fillRect/>
                    </a:stretch>
                  </pic:blipFill>
                  <pic:spPr bwMode="auto">
                    <a:xfrm>
                      <a:off x="0" y="0"/>
                      <a:ext cx="5334000" cy="3189458"/>
                    </a:xfrm>
                    <a:prstGeom prst="rect">
                      <a:avLst/>
                    </a:prstGeom>
                    <a:noFill/>
                    <a:ln w="9525">
                      <a:noFill/>
                      <a:headEnd/>
                      <a:tailEnd/>
                    </a:ln>
                  </pic:spPr>
                </pic:pic>
              </a:graphicData>
            </a:graphic>
          </wp:inline>
        </w:drawing>
      </w:r>
    </w:p>
    <w:p>
      <w:pPr>
        <w:pStyle w:val="BodyText"/>
      </w:pPr>
      <w:r>
        <w:t xml:space="preserve">Please note that this economics report does not provide an analysis of the</w:t>
      </w:r>
      <w:r>
        <w:t xml:space="preserve"> </w:t>
      </w:r>
      <w:r>
        <w:t xml:space="preserve">“innovation”</w:t>
      </w:r>
      <w:r>
        <w:t xml:space="preserve"> </w:t>
      </w:r>
      <w:r>
        <w:t xml:space="preserve">or</w:t>
      </w:r>
      <w:r>
        <w:t xml:space="preserve"> </w:t>
      </w:r>
      <w:r>
        <w:t xml:space="preserve">“variety”</w:t>
      </w:r>
      <w:r>
        <w:t xml:space="preserve"> </w:t>
      </w:r>
      <w:r>
        <w:t xml:space="preserve">factors under SEC.</w:t>
      </w:r>
    </w:p>
    <w:bookmarkEnd w:id="30"/>
    <w:bookmarkStart w:id="31"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 data requirements 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 at this time.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31"/>
    <w:bookmarkStart w:id="32"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32"/>
    <w:bookmarkEnd w:id="33"/>
    <w:bookmarkStart w:id="149" w:name="factors-and-their-indicators"/>
    <w:p>
      <w:pPr>
        <w:pStyle w:val="Heading1"/>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45" w:name="demand-factor-pn"/>
    <w:p>
      <w:pPr>
        <w:pStyle w:val="Heading2"/>
      </w:pPr>
      <w:r>
        <w:t xml:space="preserve">Demand Factor (PN)</w:t>
      </w:r>
    </w:p>
    <w:bookmarkStart w:id="39" w:name="trip-volume"/>
    <w:p>
      <w:pPr>
        <w:pStyle w:val="Heading3"/>
      </w:pPr>
      <w:r>
        <w:t xml:space="preserve">Trip Volume</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odyText"/>
      </w:pPr>
      <w: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BodyText"/>
      </w:pPr>
      <w:r>
        <w:t xml:space="preserve">The Board’s public need policy in the Policy Manual lists examples of the demand factor, which are set out below alongside their corresponding implications on trip volume:</w:t>
      </w:r>
      <w:r>
        <w:t xml:space="preserve"> </w:t>
      </w:r>
      <w:r>
        <w:t xml:space="preserve">- There are people who require access to, or are seeking access to, or would likely access a new, expanded, or improved passenger transportation service.</w:t>
      </w:r>
      <w:r>
        <w:t xml:space="preserve"> </w:t>
      </w:r>
      <w:r>
        <w:t xml:space="preserve">- When the proposed service fulfills previously unmet demand and brings new users into the market, it will result in an overall increase in trip volume.</w:t>
      </w:r>
      <w:r>
        <w:t xml:space="preserve"> </w:t>
      </w:r>
      <w:r>
        <w:t xml:space="preserve">- 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pStyle w:val="Compact"/>
        <w:numPr>
          <w:ilvl w:val="0"/>
          <w:numId w:val="1010"/>
        </w:numPr>
      </w:pPr>
      <w:r>
        <w:t xml:space="preserve">There are people who would use the proposed service:</w:t>
      </w:r>
    </w:p>
    <w:p>
      <w:pPr>
        <w:pStyle w:val="Compact"/>
        <w:numPr>
          <w:ilvl w:val="1"/>
          <w:numId w:val="1011"/>
        </w:numPr>
      </w:pPr>
      <w:r>
        <w:t xml:space="preserve">If the proposed service attracts current users of taxis or TNS, it will result in a redistribution of market share measured by trip volume among existing providers.</w:t>
      </w:r>
    </w:p>
    <w:p>
      <w:pPr>
        <w:pStyle w:val="Compact"/>
        <w:numPr>
          <w:ilvl w:val="1"/>
          <w:numId w:val="1011"/>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Start w:id="38" w:name="Xc775df737be167d1d889a18c2b7de24b8ba130d"/>
    <w:p>
      <w:pPr>
        <w:pStyle w:val="Heading4"/>
      </w:pPr>
      <w:r>
        <w:t xml:space="preserve">Metro Vancouver Regional District Trip Volume Findings</w:t>
      </w:r>
    </w:p>
    <w:p>
      <w:pPr>
        <w:pStyle w:val="FirstParagraph"/>
      </w:pPr>
      <w:r>
        <w:t xml:space="preserve">Table 1: Metro Vancouver Regional District Trip Volume(thousands of trips)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525</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498</w:t>
            </w:r>
          </w:p>
        </w:tc>
      </w:tr>
      <w:tr>
        <w:trPr>
          <w:trHeight w:val="52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4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2,310</w:t>
            </w:r>
          </w:p>
        </w:tc>
      </w:tr>
      <w:tr>
        <w:trPr>
          <w:trHeight w:val="54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2,791</w:t>
            </w:r>
          </w:p>
        </w:tc>
      </w:tr>
      <w:tr>
        <w:trPr>
          <w:trHeight w:val="54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1: Metro Vancouver Regional District Trip Volume</w:t>
      </w:r>
    </w:p>
    <w:p>
      <w:pPr>
        <w:pStyle w:val="BodyText"/>
      </w:pPr>
      <w:r>
        <w:drawing>
          <wp:inline>
            <wp:extent cx="5334000" cy="2667000"/>
            <wp:effectExtent b="0" l="0" r="0" t="0"/>
            <wp:docPr descr="" title="" id="35" name="Picture"/>
            <a:graphic>
              <a:graphicData uri="http://schemas.openxmlformats.org/drawingml/2006/picture">
                <pic:pic>
                  <pic:nvPicPr>
                    <pic:cNvPr descr="main_output_files/figure-docx/unnamed-chunk-5-1.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saw a total of 443,443 taxi trips. On a year-over-year (YoY) basis, the total taxi trip volume was -4.80%, while on a year-to-date (YTD) basis it was -2.57%. relative to the same period in 2024.</w:t>
      </w:r>
      <w:r>
        <w:rPr>
          <w:rStyle w:val="FootnoteReference"/>
        </w:rPr>
        <w:footnoteReference w:id="37"/>
      </w:r>
      <w:r>
        <w:t xml:space="preserve"> </w:t>
      </w:r>
      <w:r>
        <w:t xml:space="preserve">These results indicate strong momentum in demand for TAXI services in the region. On a month-over-month (MoM) basis, taxi trip volume was-5.13%. Looking over the past two years, statistical analysis of the long-term trend suggests that there is no meaningful change in direction. Statistical analysis of the short-term trend suggests that there is a downward shift in market direction.</w:t>
      </w:r>
    </w:p>
    <w:p>
      <w:pPr>
        <w:pStyle w:val="BodyText"/>
      </w:pPr>
      <w:r>
        <w:t xml:space="preserve">In November 2025, Metro Vancouver Regional District recorded 3,063,206 TNS trips. Compared with November 2024, TNS trip volume was +25.48% (YoY). Year-to-date through November 2025, TNS trip volume was +13.58% relative to the same period in 2024. These results indicate strong momentum in demand for TNS services in the region. On a month-over-month (MoM) basis, TNS trip volume was -1.84%. Looking over the past two years, statistical analysis of the long-term trend suggests that an upward trajectory is evident. Statistical analysis of the short-term trend suggests that there is a downward shift in market direction.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w:t>
      </w:r>
    </w:p>
    <w:bookmarkEnd w:id="38"/>
    <w:bookmarkEnd w:id="39"/>
    <w:bookmarkStart w:id="44" w:name="trip-revenue"/>
    <w:p>
      <w:pPr>
        <w:pStyle w:val="Heading3"/>
      </w:pPr>
      <w:r>
        <w:t xml:space="preserve">Trip Revenue</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Trip revenue represents, in nominal terms, the observed quantities demanded for trip services, reflecting the equilibrium between passenger demand and industry supply.</w:t>
      </w:r>
    </w:p>
    <w:p>
      <w:pPr>
        <w:pStyle w:val="BodyText"/>
      </w:pPr>
      <w:r>
        <w:rPr>
          <w:b/>
          <w:bCs/>
        </w:rPr>
        <w:t xml:space="preserve">Measurement:</w:t>
      </w:r>
      <w:r>
        <w:t xml:space="preserve">Trip revenue is calculated as the total fare amount of all completed trips reported to the Trip Database in an area over a month.</w:t>
      </w:r>
    </w:p>
    <w:p>
      <w:pPr>
        <w:pStyle w:val="BodyText"/>
      </w:pPr>
      <w:r>
        <w:rPr>
          <w:b/>
          <w:bCs/>
        </w:rPr>
        <w:t xml:space="preserve">Interpretations:</w:t>
      </w:r>
      <w:r>
        <w:t xml:space="preserve">Increases in taxi trip revenue or TNS trip revenue indicate growth of quantity demanded in the respective markets. Moreover, a shift in trip revenue from the taxi sector to the TNS sector can signify a structural change in market dynamics, suggesting evolving consumer preferences or competition between the two types of partially substitutable services.</w:t>
      </w:r>
    </w:p>
    <w:p>
      <w:pPr>
        <w:pStyle w:val="BodyText"/>
      </w:pPr>
      <w:r>
        <w:t xml:space="preserve">As stated previously, it is helpful to note that although taxis and TNS are similar, they are not the same. taxis and TNS, while partially interchangeable, ultimately serve distinct consumer needs and preferences, reflecting their roles as separate yet complementary services in the transportation market. Any higher combined revenue of taxi and TNS trips can result from offering passengers greater choice, not the inherent superiority of one service over the other.</w:t>
      </w:r>
    </w:p>
    <w:p>
      <w:pPr>
        <w:pStyle w:val="BodyText"/>
      </w:pPr>
      <w:r>
        <w:t xml:space="preserve">Policy Context: Public Need and Demand Factor</w:t>
      </w:r>
    </w:p>
    <w:p>
      <w:pPr>
        <w:pStyle w:val="BodyText"/>
      </w:pPr>
      <w:r>
        <w:t xml:space="preserve">The Board’s Public Need Policy in the</w:t>
      </w:r>
      <w:r>
        <w:t xml:space="preserve"> </w:t>
      </w:r>
      <w:r>
        <w:rPr>
          <w:b/>
          <w:bCs/>
        </w:rPr>
        <w:t xml:space="preserve">Policy Manual</w:t>
      </w:r>
      <w:r>
        <w:t xml:space="preserve"> </w:t>
      </w:r>
      <w:r>
        <w:t xml:space="preserve">lists examples of the demand factor, which are set out below alongside their corresponding implications on trip revenue:</w:t>
      </w:r>
    </w:p>
    <w:p>
      <w:pPr>
        <w:pStyle w:val="Compact"/>
        <w:numPr>
          <w:ilvl w:val="0"/>
          <w:numId w:val="1012"/>
        </w:numPr>
      </w:pPr>
      <w:r>
        <w:rPr>
          <w:b/>
          <w:bCs/>
        </w:rPr>
        <w:t xml:space="preserve">There are people who would use the proposed service.</w:t>
      </w:r>
      <w:r>
        <w:br/>
      </w:r>
      <w:r>
        <w:t xml:space="preserve">There are people who require access to, or are seeking access to, or would likely access a new, expanded, or improved passenger transportation service.</w:t>
      </w:r>
    </w:p>
    <w:p>
      <w:pPr>
        <w:pStyle w:val="Compact"/>
        <w:numPr>
          <w:ilvl w:val="1"/>
          <w:numId w:val="1013"/>
        </w:numPr>
      </w:pPr>
      <w:r>
        <w:t xml:space="preserve">If the proposed service attracts current taxi or TNS users, it will result in a redistribution of market share as measured by trip revenue among existing providers.</w:t>
      </w:r>
    </w:p>
    <w:p>
      <w:pPr>
        <w:pStyle w:val="Compact"/>
        <w:numPr>
          <w:ilvl w:val="1"/>
          <w:numId w:val="1013"/>
        </w:numPr>
      </w:pPr>
      <w:r>
        <w:t xml:space="preserve">The redistribution can only be observed after the proposed service is introduced. However, historical trends can provide valuable indications. For instance, ongoing shifts in market shares of sectors can indicate changes in customer preference.</w:t>
      </w:r>
    </w:p>
    <w:bookmarkStart w:id="43" w:name="X33d61c3e470eb2f9d5ae5ed2da08a29436fccc5"/>
    <w:p>
      <w:pPr>
        <w:pStyle w:val="Heading4"/>
      </w:pPr>
      <w:r>
        <w:t xml:space="preserve">Metro Vancouver Regional District Trip Revenue Findings</w:t>
      </w:r>
    </w:p>
    <w:p>
      <w:pPr>
        <w:pStyle w:val="FirstParagraph"/>
      </w:pPr>
      <w:r>
        <w:t xml:space="preserve">Table 2: Metro Vancouver Regional District Trip Revenue(thousands of dollars)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5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$9,755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$11,310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$11,273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$10,976</w:t>
            </w:r>
          </w:p>
        </w:tc>
      </w:tr>
      <w:tr>
        <w:trPr>
          <w:trHeight w:val="55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$11,029</w:t>
            </w:r>
          </w:p>
        </w:tc>
      </w:tr>
      <w:tr>
        <w:trPr>
          <w:trHeight w:val="55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$9,619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$10,949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$10,787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$9,705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5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$45,254</w:t>
            </w:r>
          </w:p>
        </w:tc>
      </w:tr>
      <w:tr>
        <w:trPr>
          <w:trHeight w:val="55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w:t>
            </w:r>
          </w:p>
        </w:tc>
      </w:tr>
      <w:tr>
        <w:trPr>
          <w:trHeight w:val="55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$48,504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$55,465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$60,781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$56,891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2: Metro Vancouver Regional District Trip Revenue</w:t>
      </w:r>
    </w:p>
    <w:p>
      <w:pPr>
        <w:pStyle w:val="BodyText"/>
      </w:pPr>
      <w:r>
        <w:drawing>
          <wp:inline>
            <wp:extent cx="5334000" cy="2667000"/>
            <wp:effectExtent b="0" l="0" r="0" t="0"/>
            <wp:docPr descr="" title="" id="41" name="Picture"/>
            <a:graphic>
              <a:graphicData uri="http://schemas.openxmlformats.org/drawingml/2006/picture">
                <pic:pic>
                  <pic:nvPicPr>
                    <pic:cNvPr descr="main_output_files/figure-docx/unnamed-chunk-7-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saw a total of $9,704,805 taxi trips revenue. On a year-over-year (YoY) basis, the total taxi trip revenue was -2.20%, while on a year-to-date (YTD) basis it was +0.40%. relative to the same period in 2024. These results indicate strong momentum in demand for taxi services in the region. On a month-over-month (MoM) basis, taxi trip revenue was -6.90%. Looking over the past two years, statistical analysis of the long-term trend suggests that there is no meaningful change in direction.</w:t>
      </w:r>
      <w:r>
        <w:t xml:space="preserve"> </w:t>
      </w:r>
      <w:r>
        <w:t xml:space="preserve">Statistical analysis of the short-term trend suggests that there is a downward shift in market direction.</w:t>
      </w:r>
    </w:p>
    <w:p>
      <w:pPr>
        <w:pStyle w:val="BodyText"/>
      </w:pPr>
      <w:r>
        <w:t xml:space="preserve">In November 2025, Metro Vancouver Regional District recorded $56,319,486 TNS trips. Compared with November 2024, TNS trip revenue was +31.82% (YoY). Year-to-date through November 2025, TNS trip revenue was +14.72% relative to the same period in 2024. These results indicate strong momentum in demand for TNS services in the region. On a month-over-month (MoM) basis, TNS trip revenue was -1.00%. Looking over the past two years, statistical analysis of the long-term trend suggests that an upward trajectory is evident.</w:t>
      </w:r>
      <w:r>
        <w:t xml:space="preserve"> </w:t>
      </w:r>
      <w:r>
        <w:t xml:space="preserve">Statistical analysis of the short-term trend suggests that there is a downward shift in market direction.</w:t>
      </w:r>
    </w:p>
    <w:p>
      <w:pPr>
        <w:pStyle w:val="BodyText"/>
      </w:pPr>
      <w:r>
        <w:rPr>
          <w:b/>
          <w:bCs/>
        </w:rPr>
        <w:t xml:space="preserve">Limitations:</w:t>
      </w:r>
      <w:r>
        <w:t xml:space="preserve"> </w:t>
      </w:r>
      <w:r>
        <w:t xml:space="preserve">Quantity demanded does not amount to demand. Quantity demanded refers to the actual trip revenue observed, whereas demand includes all potential trip revenue if there are no constraints. There can still be unmet demand due to limited vehicle availability preventing some customers from using the service.</w:t>
      </w:r>
    </w:p>
    <w:bookmarkEnd w:id="43"/>
    <w:bookmarkEnd w:id="44"/>
    <w:bookmarkEnd w:id="45"/>
    <w:bookmarkStart w:id="57" w:name="accessibility-factor-pn"/>
    <w:p>
      <w:pPr>
        <w:pStyle w:val="Heading2"/>
      </w:pPr>
      <w:r>
        <w:t xml:space="preserve">Accessibility Factor (PN)</w:t>
      </w:r>
    </w:p>
    <w:bookmarkStart w:id="50" w:name="number-of-wheelchair-accessible-vehicles"/>
    <w:p>
      <w:pPr>
        <w:pStyle w:val="Heading3"/>
      </w:pPr>
      <w:r>
        <w:t xml:space="preserve">Number of Wheelchair Accessible Vehicles</w:t>
      </w:r>
    </w:p>
    <w:p>
      <w:pPr>
        <w:pStyle w:val="FirstParagraph"/>
      </w:pPr>
      <w:r>
        <w:rPr>
          <w:b/>
          <w:bCs/>
        </w:rPr>
        <w:t xml:space="preserve">Primary Factor:</w:t>
      </w:r>
      <w:r>
        <w:t xml:space="preserve"> </w:t>
      </w:r>
      <w:r>
        <w:t xml:space="preserve">Accessibility</w:t>
      </w:r>
    </w:p>
    <w:p>
      <w:pPr>
        <w:pStyle w:val="BodyText"/>
      </w:pPr>
      <w:r>
        <w:rPr>
          <w:b/>
          <w:bCs/>
        </w:rPr>
        <w:t xml:space="preserve">Description:</w:t>
      </w:r>
      <w:r>
        <w:t xml:space="preserve">The number of wheelchair accessible vehicles can be further divided into two sub-metrics: (1) the number of active wheelchair accessible vehicles and (2) the number of active wheelchair accessible vehicles providing at least one accessible trip. The number of active wheelchair accessible vehicles (WAVs) refers to the total number of vehicles equipped to accommodate passengers who use wheelchairs and that have been in operation in an area over a month. On the other hand, the number of active wheelchair accessible vehicles (WAVs) providing at least one accessible trip refers to the number of active WAVs that have recorded at least one accessible trip in the Trip Database.</w:t>
      </w:r>
    </w:p>
    <w:p>
      <w:pPr>
        <w:pStyle w:val="BodyText"/>
      </w:pPr>
      <w:r>
        <w:rPr>
          <w:b/>
          <w:bCs/>
        </w:rPr>
        <w:t xml:space="preserve">Measurement:</w:t>
      </w:r>
      <w:r>
        <w:t xml:space="preserve"> </w:t>
      </w:r>
      <w:r>
        <w:t xml:space="preserve">The number of active WAVs is determined by cross-referencing the list of WAVs reported to the Registrar’s Office during licence renewal with the list of active vehicles (which may not necessarily have provided accessible trips) reported to the Trip Database. Then, the number of active wheelchair accessible vehicles providing at least one accessible trip is determined by limiting the list of active WAVs to those reported as having provided accessible trips. Both metrics can be further normalized per 1,000 persons to indicate their growth relative to the population.</w:t>
      </w:r>
    </w:p>
    <w:p>
      <w:pPr>
        <w:pStyle w:val="BodyText"/>
      </w:pPr>
      <w:r>
        <w:rPr>
          <w:b/>
          <w:bCs/>
        </w:rPr>
        <w:t xml:space="preserve">Interpretations:</w:t>
      </w:r>
      <w:r>
        <w:t xml:space="preserve"> </w:t>
      </w:r>
      <w:r>
        <w:t xml:space="preserve">The number of active WAVs indicates the accessibility and inclusiveness of passenger transportation services for individuals who use wheelchairs. Generally, a higher number of active WAVs, especially compared to growth in overall demand (proxied by the number of WAVs per 1,000 persons), indicates a greater level of availability for these individuals. A lack of growth in the number of WAVs (both sub-metrics) would indicate suppliers’ unwillingness to match the demand, potentially due to the high costs associated with WAVs.</w:t>
      </w:r>
    </w:p>
    <w:p>
      <w:pPr>
        <w:pStyle w:val="BodyText"/>
      </w:pPr>
      <w:r>
        <w:t xml:space="preserve">The Board’s public need policy in the Policy Manual lists examples of the accessibility factor, which are set out below alongside their corresponding implications on the number of active wheelchair vehicles:</w:t>
      </w:r>
    </w:p>
    <w:p>
      <w:pPr>
        <w:pStyle w:val="Compact"/>
        <w:numPr>
          <w:ilvl w:val="0"/>
          <w:numId w:val="1014"/>
        </w:numPr>
      </w:pPr>
      <w:r>
        <w:rPr>
          <w:b/>
          <w:bCs/>
        </w:rPr>
        <w:t xml:space="preserve">The proposed service provides more or improved service to persons with mobility disabilities, including WAVs.</w:t>
      </w:r>
      <w:r>
        <w:br/>
      </w:r>
      <w:r>
        <w:t xml:space="preserve">-There are people who require access to, or are seeking access to, or would likely access a new, expanded, or improved passenger transportation service.</w:t>
      </w:r>
    </w:p>
    <w:p>
      <w:pPr>
        <w:pStyle w:val="Compact"/>
        <w:numPr>
          <w:ilvl w:val="1"/>
          <w:numId w:val="1015"/>
        </w:numPr>
      </w:pPr>
      <w:r>
        <w:t xml:space="preserve">The number of WAVs on the road directly and positively correlates with the extent and quality of service provided to individuals with mobility disabilities.</w:t>
      </w:r>
    </w:p>
    <w:bookmarkStart w:id="49" w:name="X24a69f827e9cd6e48cb5d469d6597abece18c51"/>
    <w:p>
      <w:pPr>
        <w:pStyle w:val="Heading4"/>
      </w:pPr>
      <w:r>
        <w:t xml:space="preserve">Metro Vancouver Regional District Number of Wheelchair Accessible Vehicles Findings</w:t>
      </w:r>
    </w:p>
    <w:p>
      <w:pPr>
        <w:pStyle w:val="FirstParagraph"/>
      </w:pPr>
      <w:r>
        <w:t xml:space="preserve">Table 3: Metro Vancouver Regional District Number of Active Wheelchair Accessible Vehicles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343</w:t>
            </w:r>
          </w:p>
        </w:tc>
      </w:tr>
      <w:tr>
        <w:trPr>
          <w:trHeight w:val="528" w:hRule="auto"/>
        </w:trPr>
        body4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332</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332</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338</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348</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343</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344</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349</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334</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Table 4: Metro Vancouver Regional District Number of Active Wheelchair Accessible Vehicles Providing at Least One Accessible Trip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249</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r>
      <w:tr>
        <w:trPr>
          <w:trHeight w:val="528" w:hRule="auto"/>
        </w:trPr>
        body4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288</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288</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306</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302</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307</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312</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3: Metro Vancouver Regional District Trip Volume</w:t>
      </w:r>
    </w:p>
    <w:p>
      <w:pPr>
        <w:pStyle w:val="BodyText"/>
      </w:pPr>
      <w:r>
        <w:drawing>
          <wp:inline>
            <wp:extent cx="5334000" cy="2667000"/>
            <wp:effectExtent b="0" l="0" r="0" t="0"/>
            <wp:docPr descr="" title="" id="47" name="Picture"/>
            <a:graphic>
              <a:graphicData uri="http://schemas.openxmlformats.org/drawingml/2006/picture">
                <pic:pic>
                  <pic:nvPicPr>
                    <pic:cNvPr descr="main_output_files/figure-docx/unnamed-chunk-10-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334 active WAVs. On a year-over-year (YoY) basis, the number of active WAVs in the taxi fleet was -0.60%while on a year-to-date (YTD) basis it was +4.50% relative to the same period in 2024. On a month-over-month (MoM) basis, the number of active WAVs in the taxi fleet changed by -4.30%. However, the number of active WAVs remained below the Board’s approved WAVs (462 vehicles in November 2025), indicating that the full potential utilization of approved WAVs in this area had yet to be realized. NA NA</w:t>
      </w:r>
    </w:p>
    <w:p>
      <w:pPr>
        <w:pStyle w:val="BodyText"/>
      </w:pPr>
      <w:r>
        <w:t xml:space="preserve">In November 2025, Metro Vancouver Regional District recorded a total of 300 active WAVs providing accessible trips. On a year-over-year (YoY) basis, the number of active WAVs providing accessible trips was +6.01%, while on a year-to-date (YTD) basis it was +9.33% relative to the same period in 2024. On a month-over-month (MoM) basis, the number of active WAVs providing accessible trips changed by -3.85%. Looking over the past two years, statistical analysis of the long-term trend suggests that an upward trajectory is evident. Statistical analysis of the short-term trend suggests that there is a downward shift in market direction.</w:t>
      </w:r>
    </w:p>
    <w:p>
      <w:pPr>
        <w:pStyle w:val="BodyText"/>
      </w:pPr>
      <w:r>
        <w:t xml:space="preserve">Limitations: The number of active WAVs does not capture the Board’s other aspects of accessibility, including accessibility for persons with other disabilities, overall availability of services, essential service levels, service to underserved groups or communities, and inclusion.</w:t>
      </w:r>
    </w:p>
    <w:bookmarkEnd w:id="49"/>
    <w:bookmarkEnd w:id="50"/>
    <w:bookmarkStart w:id="56" w:name="X84d5104dbf777e5267b2d30644871c3cbf6756b"/>
    <w:p>
      <w:pPr>
        <w:pStyle w:val="Heading3"/>
      </w:pPr>
      <w:r>
        <w:t xml:space="preserve">Number of Active Vehicles per 1,000 Persons</w:t>
      </w:r>
    </w:p>
    <w:p>
      <w:pPr>
        <w:pStyle w:val="FirstParagraph"/>
      </w:pPr>
      <w:r>
        <w:t xml:space="preserve">Primary Factor: Accessibility</w:t>
      </w:r>
    </w:p>
    <w:p>
      <w:pPr>
        <w:pStyle w:val="BodyText"/>
      </w:pPr>
      <w:r>
        <w:rPr>
          <w:b/>
          <w:bCs/>
        </w:rPr>
        <w:t xml:space="preserve">Description:</w:t>
      </w:r>
      <w:r>
        <w:t xml:space="preserve"> </w:t>
      </w:r>
      <w:r>
        <w:t xml:space="preserve">The number of active vehicles per 1,000 persons represents the total number of vehicles serving every 1,000 persons in an area over a month.</w:t>
      </w:r>
    </w:p>
    <w:p>
      <w:pPr>
        <w:pStyle w:val="BodyText"/>
      </w:pPr>
      <w:r>
        <w:rPr>
          <w:b/>
          <w:bCs/>
        </w:rPr>
        <w:t xml:space="preserve">Measurement:</w:t>
      </w:r>
      <w:r>
        <w:t xml:space="preserve"> </w:t>
      </w:r>
      <w:r>
        <w:t xml:space="preserve">The number of active vehicles per 1,000 persons is calculated as the ratio of the total number of active vehicles (including both taxis and TNS) in an area relative to its population, normalized to a per 1,000 persons basis.</w:t>
      </w:r>
    </w:p>
    <w:p>
      <w:pPr>
        <w:pStyle w:val="BodyText"/>
      </w:pPr>
      <w:r>
        <w:rPr>
          <w:b/>
          <w:bCs/>
        </w:rPr>
        <w:t xml:space="preserve">Interpretation:</w:t>
      </w:r>
      <w:r>
        <w:t xml:space="preserve"> </w:t>
      </w:r>
      <w:r>
        <w:t xml:space="preserve">A higher number of active vehicles per 1,000 persons indicates higher accessibility to services in the area, as more taxi and TNS vehicles are available to serve every 1,000 persons.</w:t>
      </w:r>
    </w:p>
    <w:p>
      <w:pPr>
        <w:pStyle w:val="BodyText"/>
      </w:pPr>
      <w:r>
        <w:t xml:space="preserve">Policy Context: Public Need and Accessibility Factor</w:t>
      </w:r>
    </w:p>
    <w:p>
      <w:pPr>
        <w:pStyle w:val="BodyText"/>
      </w:pPr>
      <w:r>
        <w:t xml:space="preserve">The Board’s Public Need Policy in the</w:t>
      </w:r>
      <w:r>
        <w:t xml:space="preserve"> </w:t>
      </w:r>
      <w:r>
        <w:rPr>
          <w:b/>
          <w:bCs/>
        </w:rPr>
        <w:t xml:space="preserve">Policy Manual</w:t>
      </w:r>
      <w:r>
        <w:t xml:space="preserve"> </w:t>
      </w:r>
      <w:r>
        <w:t xml:space="preserve">lists examples of the accessibility factor, which are set out below alongside their corresponding implications on the number of active vehicles per 1,000 persons:</w:t>
      </w:r>
    </w:p>
    <w:p>
      <w:pPr>
        <w:pStyle w:val="BodyText"/>
      </w:pPr>
      <w:r>
        <w:t xml:space="preserve">-</w:t>
      </w:r>
      <w:r>
        <w:rPr>
          <w:b/>
          <w:bCs/>
        </w:rPr>
        <w:t xml:space="preserve">The proposed service enhances availability of passenger transportation services to everyone in the province, including in low-density areas, such as rural and remote communities.</w:t>
      </w:r>
      <w:r>
        <w:t xml:space="preserve"> </w:t>
      </w:r>
      <w:r>
        <w:t xml:space="preserve">-A higher number of active vehicles per 1,000 persons directly and positively correlates with greater service availability. -The number of vehicles per 1,000 persons in low-density areas provides an area-specific assessment of overall service availability.</w:t>
      </w:r>
    </w:p>
    <w:bookmarkStart w:id="55" w:name="X201896f4c2701693f879679843d8733c283f179"/>
    <w:p>
      <w:pPr>
        <w:pStyle w:val="Heading4"/>
      </w:pPr>
      <w:r>
        <w:t xml:space="preserve">Metro Vancouver Regional District Active Vehicles per 1,000 Persons Findings</w:t>
      </w:r>
    </w:p>
    <w:p>
      <w:pPr>
        <w:pStyle w:val="FirstParagraph"/>
      </w:pPr>
      <w:r>
        <w:t xml:space="preserve">Table 7: Metro Vancouver Regional District Active Vehicles per 1,000 Persons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r>
      <w:tr>
        <w:trPr>
          <w:trHeight w:val="52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2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2.20</w:t>
            </w:r>
          </w:p>
        </w:tc>
      </w:tr>
      <w:tr>
        <w:trPr>
          <w:trHeight w:val="52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2.77</w:t>
            </w:r>
          </w:p>
        </w:tc>
      </w:tr>
      <w:tr>
        <w:trPr>
          <w:trHeight w:val="52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Note: The above table reports the number of active vehicles per 1,000 persons up to the most recent year for which annual population data is available from Statistics Canada. As of October 2024, the most recent data available is up to 2023.</w:t>
      </w:r>
      <w:r>
        <w:rPr>
          <w:rStyle w:val="FootnoteReference"/>
        </w:rPr>
        <w:footnoteReference w:id="51"/>
      </w:r>
    </w:p>
    <w:p>
      <w:pPr>
        <w:pStyle w:val="BodyText"/>
      </w:pPr>
      <w:r>
        <w:t xml:space="preserve">Figure 4: Metro Vancouver Regional District Active Vehicles per 1,000 Persons</w:t>
      </w:r>
    </w:p>
    <w:p>
      <w:pPr>
        <w:pStyle w:val="BodyText"/>
      </w:pPr>
      <w:r>
        <w:drawing>
          <wp:inline>
            <wp:extent cx="5334000" cy="2667000"/>
            <wp:effectExtent b="0" l="0" r="0" t="0"/>
            <wp:docPr descr="" title="" id="53" name="Picture"/>
            <a:graphic>
              <a:graphicData uri="http://schemas.openxmlformats.org/drawingml/2006/picture">
                <pic:pic>
                  <pic:nvPicPr>
                    <pic:cNvPr descr="main_output_files/figure-docx/unnamed-chunk-12-1.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had 0.56 active taxi vehicles per 1000 persons. On a year-over-year (YoY) basis, the active taxi vehicles per 1000 persons changed by +8.11%, while year-to-date (YTD), the figure was +9.57% compared to the same period in 2024. On a month-over-month (MoM) basis, the active taxi vehicles per 1000 persons changed by -2.93%. Looking over the past two years, statistical analysis of the long-term trend suggests that an upward trajectory is evident. Statistical analysis of the short-term trend suggests that there is a downward shift in market direction.</w:t>
      </w:r>
    </w:p>
    <w:p>
      <w:pPr>
        <w:pStyle w:val="BodyText"/>
      </w:pPr>
      <w:r>
        <w:t xml:space="preserve">In November 2025, Metro Vancouver Regional District had 3.14 active TNS vehicles per 1000 persons. Compared with November 2024, TNS active vehicles per 1000 persons changed by +18.00% (YoY). Year-to-date through November 2025, the active TNS vehicles per 1000 persons was +20.35% compared to the same period in 2024. On a month-over-month (MoM) basis, the active TNS vehicles per 1000 persons changed by -0.09%. Looking over the past two years, statistical analysis of the long-term trend suggests that an upward trajectory is evident. Statistical analysis of the short-term trend suggests that there is a downward shift in market direction.</w:t>
      </w:r>
    </w:p>
    <w:p>
      <w:pPr>
        <w:pStyle w:val="BodyText"/>
      </w:pPr>
      <w:r>
        <w:rPr>
          <w:b/>
          <w:bCs/>
        </w:rPr>
        <w:t xml:space="preserve">Limitations:</w:t>
      </w:r>
      <w:r>
        <w:t xml:space="preserve"> </w:t>
      </w:r>
      <w:r>
        <w:t xml:space="preserve">The number of active vehicles per 1,000 persons does not address the Board’s other examples of accessibility, including accessibility for people with other disabilities or underserved groups and communities. In addition, it does not reflect the reduction in the barriers to inclusion.</w:t>
      </w:r>
    </w:p>
    <w:bookmarkEnd w:id="55"/>
    <w:bookmarkEnd w:id="56"/>
    <w:bookmarkEnd w:id="57"/>
    <w:bookmarkStart w:id="68" w:name="affordability-factor-pn"/>
    <w:p>
      <w:pPr>
        <w:pStyle w:val="Heading2"/>
      </w:pPr>
      <w:r>
        <w:t xml:space="preserve">Affordability Factor (PN)</w:t>
      </w:r>
    </w:p>
    <w:bookmarkStart w:id="67" w:name="fare-for-a-5-kilometre-trip"/>
    <w:p>
      <w:pPr>
        <w:pStyle w:val="Heading3"/>
      </w:pPr>
      <w:r>
        <w:t xml:space="preserve">Fare for a 5-Kilometre Trip</w:t>
      </w:r>
    </w:p>
    <w:p>
      <w:pPr>
        <w:pStyle w:val="FirstParagraph"/>
      </w:pPr>
      <w:r>
        <w:rPr>
          <w:b/>
          <w:bCs/>
        </w:rPr>
        <w:t xml:space="preserve">Primary factor:</w:t>
      </w:r>
      <w:r>
        <w:t xml:space="preserve"> </w:t>
      </w:r>
      <w:r>
        <w:t xml:space="preserve">Affordability</w:t>
      </w:r>
    </w:p>
    <w:p>
      <w:pPr>
        <w:pStyle w:val="BodyText"/>
      </w:pPr>
      <w:r>
        <w:rPr>
          <w:b/>
          <w:bCs/>
        </w:rPr>
        <w:t xml:space="preserve">Description:</w:t>
      </w:r>
      <w:r>
        <w:t xml:space="preserve"> </w:t>
      </w:r>
      <w:r>
        <w:t xml:space="preserve">Fare for a 5-kilometre trip reflects the trip revenue that service providers earn during a trip with a length of 5 kilometres.</w:t>
      </w:r>
    </w:p>
    <w:p>
      <w:pPr>
        <w:pStyle w:val="BodyText"/>
      </w:pPr>
      <w:r>
        <w:rPr>
          <w:b/>
          <w:bCs/>
        </w:rPr>
        <w:t xml:space="preserve">Measurement:</w:t>
      </w:r>
      <w:r>
        <w:t xml:space="preserve"> </w:t>
      </w:r>
      <w:r>
        <w:t xml:space="preserve">: Fare for a 5-kilometre trip is measured by the median (i.e., the 50th percentile) of the 5-kilometre trip fare distribution in an area over a month from the Trip Database. It is also measured by operating companies’ fares for a 5-kilometer trip in an area over the most recent month. Specifically, for taxi service in an area with a common rate, an operating company’s fare for a 5-kilometre trip is calculated as the common flag rate plus the product of 5 kilometres and the common distance rate. For taxi service in an area without a common rate, an operating company’s fare for a 5-kilometre trip is measured by the median of its 5-kilometre trip fare distribution. For TNS service in any area, an operating company’s fare for a 5-kilometre trip is measured by the median of its 5-kilometre trip fare distribution.</w:t>
      </w:r>
    </w:p>
    <w:p>
      <w:pPr>
        <w:pStyle w:val="BodyText"/>
      </w:pPr>
      <w:r>
        <w:rPr>
          <w:b/>
          <w:bCs/>
        </w:rPr>
        <w:t xml:space="preserve">Interpretation:</w:t>
      </w:r>
      <w:r>
        <w:t xml:space="preserve"> </w:t>
      </w:r>
      <w:r>
        <w:t xml:space="preserve">: For some areas, the average distance of trips approximates 5 kilometres in most months. For other areas, a majority of trips are shorter than 5 kilometres in most months. Hence, fare for a 5-kilometre trip can serve as indicators of the affordability of passenger transportation services. In general, a higher fare for a 5-kilometre trip indicates reduced affordability, as it suggests higher costs for passengers. Specifically, if the fare for a 5-kilometre trip increases more rapidly than B.C.’s average hourly wage rate, affordability would decrease as the rising costs outpace the passengers’ ability to pay.</w:t>
      </w:r>
      <w:r>
        <w:rPr>
          <w:rStyle w:val="FootnoteReference"/>
        </w:rPr>
        <w:footnoteReference w:id="58"/>
      </w:r>
    </w:p>
    <w:p>
      <w:pPr>
        <w:pStyle w:val="BodyText"/>
      </w:pPr>
      <w:r>
        <w:t xml:space="preserve">The Board’s public need policy in the Policy Manual lists examples of the affordability factor, which are set out below alongside their corresponding implications on fare for a 5-kilometre trip:</w:t>
      </w:r>
    </w:p>
    <w:p>
      <w:pPr>
        <w:numPr>
          <w:ilvl w:val="0"/>
          <w:numId w:val="1016"/>
        </w:numPr>
      </w:pPr>
      <w:r>
        <w:t xml:space="preserve">The proposed service provides more affordable options or services for consumers.</w:t>
      </w:r>
    </w:p>
    <w:p>
      <w:pPr>
        <w:pStyle w:val="Compact"/>
        <w:numPr>
          <w:ilvl w:val="1"/>
          <w:numId w:val="1017"/>
        </w:numPr>
      </w:pPr>
      <w:r>
        <w:t xml:space="preserve">In general, a lower fare for a 5-kilometre trip leads to improved affordability of service. On the other hand, the ratio of fare for a 5-kilometre trip to personal hourly wage rate can more accurately reflect affordability, with a lower ratio indicating better affordability.</w:t>
      </w:r>
    </w:p>
    <w:bookmarkStart w:id="66" w:name="X4b6293a75f4186221f0d2c78a85c769c3c3f387"/>
    <w:p>
      <w:pPr>
        <w:pStyle w:val="Heading4"/>
      </w:pPr>
      <w:r>
        <w:t xml:space="preserve">Metro Vancouver Regional District Fare for a 5-Kilometre Trip Findings</w:t>
      </w:r>
    </w:p>
    <w:p>
      <w:pPr>
        <w:pStyle w:val="FirstParagraph"/>
      </w:pPr>
      <w:r>
        <w:t xml:space="preserve">Table 8: Metro Vancouver Regional District Fare for a 5-Kilometre Trip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$15.27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$15.64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$15.64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$16.73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$16.68</w:t>
            </w:r>
          </w:p>
        </w:tc>
      </w:tr>
      <w:tr>
        <w:trPr>
          <w:trHeight w:val="55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$16.86</w:t>
            </w:r>
          </w:p>
        </w:tc>
      </w:tr>
      <w:tr>
        <w:trPr>
          <w:trHeight w:val="552"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$17.22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52"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$13.58</w:t>
            </w:r>
          </w:p>
        </w:tc>
      </w:tr>
      <w:tr>
        <w:trPr>
          <w:trHeight w:val="552"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$11.76</w:t>
            </w:r>
          </w:p>
        </w:tc>
      </w:tr>
      <w:tr>
        <w:trPr>
          <w:trHeight w:val="552"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5: Metro Vancouver Regional District Fare for a 5-Kilometre Trips</w:t>
      </w:r>
    </w:p>
    <w:p>
      <w:pPr>
        <w:pStyle w:val="BodyText"/>
      </w:pPr>
      <w:r>
        <w:drawing>
          <wp:inline>
            <wp:extent cx="5334000" cy="2667000"/>
            <wp:effectExtent b="0" l="0" r="0" t="0"/>
            <wp:docPr descr="" title="" id="60" name="Picture"/>
            <a:graphic>
              <a:graphicData uri="http://schemas.openxmlformats.org/drawingml/2006/picture">
                <pic:pic>
                  <pic:nvPicPr>
                    <pic:cNvPr descr="main_output_files/figure-docx/unnamed-chunk-14-1.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5818909"/>
            <wp:effectExtent b="0" l="0" r="0" t="0"/>
            <wp:docPr descr="" title="" id="63" name="Picture"/>
            <a:graphic>
              <a:graphicData uri="http://schemas.openxmlformats.org/drawingml/2006/picture">
                <pic:pic>
                  <pic:nvPicPr>
                    <pic:cNvPr descr="main_output_files/figure-docx/unnamed-chunk-15-1.png" id="64" name="Picture"/>
                    <pic:cNvPicPr>
                      <a:picLocks noChangeArrowheads="1" noChangeAspect="1"/>
                    </pic:cNvPicPr>
                  </pic:nvPicPr>
                  <pic:blipFill>
                    <a:blip r:embed="rId62"/>
                    <a:stretch>
                      <a:fillRect/>
                    </a:stretch>
                  </pic:blipFill>
                  <pic:spPr bwMode="auto">
                    <a:xfrm>
                      <a:off x="0" y="0"/>
                      <a:ext cx="5334000" cy="5818909"/>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$17.22 in fare per 5 km for taxi trips. On a year-over-year (YoY) basis, the fare per 5 km for taxi trips was +1.55%while on a year-to-date (YTD) basis it was +1.54% relative to the same period in 2024.On a month-over-month (MoM) basis, the fare per 5 km for taxi trips changed by -0.73%. Looking over the past two years, statistical analysis of the long-term trend suggests that there is no meaningful change in direction. Statistical analysis of the short-term trend suggests that there is no active shift in market direction.</w:t>
      </w:r>
      <w:r>
        <w:rPr>
          <w:rStyle w:val="FootnoteReference"/>
        </w:rPr>
        <w:footnoteReference w:id="65"/>
      </w:r>
    </w:p>
    <w:p>
      <w:pPr>
        <w:pStyle w:val="BodyText"/>
      </w:pPr>
      <w:r>
        <w:t xml:space="preserve">In November 2025, the Metro Vancouver Regional District recorded a total of $12.68 in fare per 5 km for TNS trips. Compared with November 2024, the fare per 5 km for TNS trips was +3.21% (YoY). Year-to-date through r end_label, the fare per 5 km for TNS trips was -0.76% relative to the same period in 2024. On a month-over-month (MoM) basis, the fare per 5 km for TNS trips changed by +1.56%.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rPr>
          <w:b/>
          <w:bCs/>
        </w:rPr>
        <w:t xml:space="preserve">Limitations:</w:t>
      </w:r>
      <w:r>
        <w:t xml:space="preserve"> </w:t>
      </w:r>
      <w:r>
        <w:t xml:space="preserve">The number of Fare for a 5-Kilometre Trip does not address the Board’s other examples of accessibility, including accessibility for people with other disabilities or underserved groups and communities. In addition, it does not reflect the reduction in the barriers to inclusion.</w:t>
      </w:r>
    </w:p>
    <w:bookmarkEnd w:id="66"/>
    <w:bookmarkEnd w:id="67"/>
    <w:bookmarkEnd w:id="68"/>
    <w:bookmarkStart w:id="69" w:name="safety-factor-pn"/>
    <w:p>
      <w:pPr>
        <w:pStyle w:val="Heading2"/>
      </w:pPr>
      <w:r>
        <w:t xml:space="preserve">Safety Factor (PN)</w:t>
      </w:r>
    </w:p>
    <w:p>
      <w:pPr>
        <w:pStyle w:val="FirstParagraph"/>
      </w:pPr>
      <w:r>
        <w:t xml:space="preserve">There is no analysis related to this factor.</w:t>
      </w:r>
    </w:p>
    <w:bookmarkEnd w:id="69"/>
    <w:bookmarkStart w:id="78" w:name="service-quality-factor-pn"/>
    <w:p>
      <w:pPr>
        <w:pStyle w:val="Heading2"/>
      </w:pPr>
      <w:r>
        <w:t xml:space="preserve">Service Quality Factor (PN)</w:t>
      </w:r>
    </w:p>
    <w:bookmarkStart w:id="77" w:name="wait-time"/>
    <w:p>
      <w:pPr>
        <w:pStyle w:val="Heading3"/>
      </w:pPr>
      <w:r>
        <w:t xml:space="preserve">Wait Time</w:t>
      </w:r>
    </w:p>
    <w:p>
      <w:pPr>
        <w:pStyle w:val="FirstParagraph"/>
      </w:pPr>
      <w:r>
        <w:t xml:space="preserve">Primary Factor: Service Quality</w:t>
      </w:r>
    </w:p>
    <w:p>
      <w:pPr>
        <w:pStyle w:val="BodyText"/>
      </w:pPr>
      <w:r>
        <w:rPr>
          <w:b/>
          <w:bCs/>
        </w:rPr>
        <w:t xml:space="preserve">Description:</w:t>
      </w:r>
      <w:r>
        <w:t xml:space="preserve"> </w:t>
      </w:r>
      <w:r>
        <w:t xml:space="preserve">Wait time reflects the duration passengers wait for vehicles to arrive for pick up.</w:t>
      </w:r>
    </w:p>
    <w:p>
      <w:pPr>
        <w:pStyle w:val="BodyText"/>
      </w:pPr>
      <w:r>
        <w:rPr>
          <w:b/>
          <w:bCs/>
        </w:rPr>
        <w:t xml:space="preserve">Measurement:</w:t>
      </w:r>
      <w:r>
        <w:t xml:space="preserve"> </w:t>
      </w:r>
      <w:r>
        <w:t xml:space="preserve">Wait time for each trip is calculated as the difference between the pick-up arrival time and the hail time. Wait time is measured by the median (i.e., the 50th percentile) of the monthly wait time distribution in an area, and different percentiles of the monthly wait time distribution are also calculated.</w:t>
      </w:r>
    </w:p>
    <w:p>
      <w:pPr>
        <w:pStyle w:val="BodyText"/>
      </w:pPr>
      <w:r>
        <w:rPr>
          <w:b/>
          <w:bCs/>
        </w:rPr>
        <w:t xml:space="preserve">Interpretation:</w:t>
      </w:r>
      <w:r>
        <w:t xml:space="preserve"> </w:t>
      </w:r>
      <w:r>
        <w:t xml:space="preserve">Wait time serves as an indicator of the quality of passenger transportation services. It acts as a market-clearing variable, influenced by factors such as demand, supply, and the efficiency of the technology used to match passengers with vehicles. A longer wait time indicates reduced service quality, as it suggests longer delays for passengers and higher operating costs for licensees.</w:t>
      </w:r>
    </w:p>
    <w:p>
      <w:pPr>
        <w:pStyle w:val="BodyText"/>
      </w:pPr>
      <w:r>
        <w:t xml:space="preserve">Policy Context: Public Need and Accessibility Factor</w:t>
      </w:r>
    </w:p>
    <w:p>
      <w:pPr>
        <w:pStyle w:val="BodyText"/>
      </w:pPr>
      <w:r>
        <w:t xml:space="preserve">The Board’s Public Need Policy in the</w:t>
      </w:r>
      <w:r>
        <w:t xml:space="preserve"> </w:t>
      </w:r>
      <w:r>
        <w:rPr>
          <w:b/>
          <w:bCs/>
        </w:rPr>
        <w:t xml:space="preserve">Policy Manual</w:t>
      </w:r>
      <w:r>
        <w:t xml:space="preserve"> </w:t>
      </w:r>
      <w:r>
        <w:t xml:space="preserve">lists examples of the service quality factor, which are set out below alongside their corresponding implications on wait times:</w:t>
      </w:r>
    </w:p>
    <w:p>
      <w:pPr>
        <w:pStyle w:val="Compact"/>
        <w:numPr>
          <w:ilvl w:val="0"/>
          <w:numId w:val="1018"/>
        </w:numPr>
      </w:pPr>
      <w:r>
        <w:t xml:space="preserve">The proposed service provides more or improved service where there is currently inadequate service.</w:t>
      </w:r>
    </w:p>
    <w:p>
      <w:pPr>
        <w:pStyle w:val="Compact"/>
        <w:numPr>
          <w:ilvl w:val="1"/>
          <w:numId w:val="1019"/>
        </w:numPr>
      </w:pPr>
      <w:r>
        <w:t xml:space="preserve">A long wait time suggests an inadequate level of service supplied.</w:t>
      </w:r>
    </w:p>
    <w:p>
      <w:pPr>
        <w:pStyle w:val="Compact"/>
        <w:numPr>
          <w:ilvl w:val="0"/>
          <w:numId w:val="1018"/>
        </w:numPr>
      </w:pPr>
      <w:r>
        <w:t xml:space="preserve">The proposed service provides more reliable service.</w:t>
      </w:r>
    </w:p>
    <w:p>
      <w:pPr>
        <w:pStyle w:val="Compact"/>
        <w:numPr>
          <w:ilvl w:val="1"/>
          <w:numId w:val="1020"/>
        </w:numPr>
      </w:pPr>
      <w:r>
        <w:t xml:space="preserve">Consistent short wait times suggest that the service is reliable.</w:t>
      </w:r>
    </w:p>
    <w:p>
      <w:pPr>
        <w:pStyle w:val="Compact"/>
        <w:numPr>
          <w:ilvl w:val="1"/>
          <w:numId w:val="1020"/>
        </w:numPr>
      </w:pPr>
      <w:r>
        <w:t xml:space="preserve">Significant changes in wait times can suggest that the service is not reliable.</w:t>
      </w:r>
    </w:p>
    <w:p>
      <w:pPr>
        <w:pStyle w:val="Compact"/>
        <w:numPr>
          <w:ilvl w:val="1"/>
          <w:numId w:val="1020"/>
        </w:numPr>
      </w:pPr>
      <w:r>
        <w:t xml:space="preserve">Consistently long wait times suggest that the service is not reliable.</w:t>
      </w:r>
    </w:p>
    <w:p>
      <w:pPr>
        <w:pStyle w:val="Compact"/>
        <w:numPr>
          <w:ilvl w:val="0"/>
          <w:numId w:val="1018"/>
        </w:numPr>
      </w:pPr>
      <w:r>
        <w:t xml:space="preserve">The proposed service encourages more efficient service to the public, including trip speed.</w:t>
      </w:r>
    </w:p>
    <w:p>
      <w:pPr>
        <w:pStyle w:val="Compact"/>
        <w:numPr>
          <w:ilvl w:val="1"/>
          <w:numId w:val="1021"/>
        </w:numPr>
      </w:pPr>
      <w:r>
        <w:t xml:space="preserve">A long wait time suggests an inadequate level of service supplied.</w:t>
      </w:r>
    </w:p>
    <w:p>
      <w:pPr>
        <w:pStyle w:val="Compact"/>
        <w:numPr>
          <w:ilvl w:val="0"/>
          <w:numId w:val="1018"/>
        </w:numPr>
      </w:pPr>
      <w:r>
        <w:t xml:space="preserve">The proposed service provides a service that is comfortable and convenient.</w:t>
      </w:r>
    </w:p>
    <w:p>
      <w:pPr>
        <w:pStyle w:val="Compact"/>
        <w:numPr>
          <w:ilvl w:val="1"/>
          <w:numId w:val="1022"/>
        </w:numPr>
      </w:pPr>
      <w:r>
        <w:t xml:space="preserve">A short wait time contributes to a more comfortable and convenient service.</w:t>
      </w:r>
    </w:p>
    <w:p>
      <w:pPr>
        <w:pStyle w:val="Compact"/>
        <w:numPr>
          <w:ilvl w:val="1"/>
          <w:numId w:val="1022"/>
        </w:numPr>
      </w:pPr>
      <w:r>
        <w:t xml:space="preserve">The proposed service supports better customer service and customer satisfaction. A short wait time contributes to better customer service and customer satisfaction.</w:t>
      </w:r>
    </w:p>
    <w:bookmarkStart w:id="76" w:name="X00e9c8a2ebc321646cec739b8e223543be46e34"/>
    <w:p>
      <w:pPr>
        <w:pStyle w:val="Heading4"/>
      </w:pPr>
      <w:r>
        <w:t xml:space="preserve">Metro Vancouver Regional District Wait Time Findings</w:t>
      </w:r>
    </w:p>
    <w:p>
      <w:pPr>
        <w:pStyle w:val="FirstParagraph"/>
      </w:pPr>
      <w:r>
        <w:t xml:space="preserve">Table 9: Metro Vancouver Regional District Wait Time (minutes)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w:t>
            </w:r>
          </w:p>
        </w:tc>
      </w:tr>
      <w:tr>
        <w:trPr>
          <w:trHeight w:val="52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2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w:t>
            </w:r>
          </w:p>
        </w:tc>
      </w:tr>
      <w:tr>
        <w:trPr>
          <w:trHeight w:val="52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5.23</w:t>
            </w:r>
          </w:p>
        </w:tc>
      </w:tr>
      <w:tr>
        <w:trPr>
          <w:trHeight w:val="52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6: Metro Vancouver Regional District Wait Time (minutes)</w:t>
      </w:r>
    </w:p>
    <w:p>
      <w:pPr>
        <w:pStyle w:val="BodyText"/>
      </w:pPr>
      <w:r>
        <w:drawing>
          <wp:inline>
            <wp:extent cx="5334000" cy="2667000"/>
            <wp:effectExtent b="0" l="0" r="0" t="0"/>
            <wp:docPr descr="" title="" id="71" name="Picture"/>
            <a:graphic>
              <a:graphicData uri="http://schemas.openxmlformats.org/drawingml/2006/picture">
                <pic:pic>
                  <pic:nvPicPr>
                    <pic:cNvPr descr="main_output_files/figure-docx/unnamed-chunk-17-1.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74" name="Picture"/>
            <a:graphic>
              <a:graphicData uri="http://schemas.openxmlformats.org/drawingml/2006/picture">
                <pic:pic>
                  <pic:nvPicPr>
                    <pic:cNvPr descr="main_output_files/figure-docx/unnamed-chunk-1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5 min in wait time for taxi trips. On a year-over-year (YoY) basis, the wait time for taxi trips was +4.54%while on a year-to-date (YTD) basis it was +3.39% relative to the same period in 2024.On a month-over-month (MoM) basis, taxi wait time changed by -1.97%.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t xml:space="preserve">In November 2025, the Metro Vancouver Regional District recorded a total of 3.9 min in wait time for TNS trips. Compared with November 2024, the wait time for TNS trips was -19.51% (YoY). Year-to-date through r end_label, the wait time for TNS trips was -7.78% relative to the same period in 2024. On a month-over-month (MoM) basis, TNS wait time changed by -4.94%. Looking over the past two years, statistical analysis of the long-term trend suggests that a downward trajectory is evident. Statistical analysis of the short-term trend suggests that there is no active shift in market direction.</w:t>
      </w:r>
    </w:p>
    <w:p>
      <w:pPr>
        <w:pStyle w:val="BodyText"/>
      </w:pPr>
      <w:r>
        <w:rPr>
          <w:b/>
          <w:bCs/>
        </w:rPr>
        <w:t xml:space="preserve">Limitations:</w:t>
      </w:r>
      <w:r>
        <w:t xml:space="preserve"> </w:t>
      </w:r>
      <w:r>
        <w:t xml:space="preserve">In calculating the median wait time, trips with unreasonably long wait times due to data errors were not included. Extreme outlier wait times are not reported in the figure on cumulative distribution as they are unusually long, which may be due to data errors.</w:t>
      </w:r>
    </w:p>
    <w:bookmarkEnd w:id="76"/>
    <w:bookmarkEnd w:id="77"/>
    <w:bookmarkEnd w:id="78"/>
    <w:bookmarkStart w:id="79" w:name="innovation-factor-sec"/>
    <w:p>
      <w:pPr>
        <w:pStyle w:val="Heading2"/>
      </w:pPr>
      <w:r>
        <w:t xml:space="preserve">Innovation Factor (SEC)</w:t>
      </w:r>
    </w:p>
    <w:p>
      <w:pPr>
        <w:pStyle w:val="FirstParagraph"/>
      </w:pPr>
      <w:r>
        <w:t xml:space="preserve">There is no analysis related to this factor.</w:t>
      </w:r>
    </w:p>
    <w:bookmarkEnd w:id="79"/>
    <w:bookmarkStart w:id="103" w:name="sustainability-factor-sec"/>
    <w:p>
      <w:pPr>
        <w:pStyle w:val="Heading2"/>
      </w:pPr>
      <w:r>
        <w:t xml:space="preserve">Sustainability Factor (SEC)</w:t>
      </w:r>
    </w:p>
    <w:bookmarkStart w:id="84" w:name="revenue-per-active-vehicle"/>
    <w:p>
      <w:pPr>
        <w:pStyle w:val="Heading3"/>
      </w:pPr>
      <w:r>
        <w:t xml:space="preserve">Revenue per Active Vehicle</w:t>
      </w:r>
    </w:p>
    <w:p>
      <w:pPr>
        <w:pStyle w:val="FirstParagraph"/>
      </w:pPr>
      <w:r>
        <w:t xml:space="preserve">Primary Factor: Sustainability</w:t>
      </w:r>
    </w:p>
    <w:p>
      <w:pPr>
        <w:pStyle w:val="BodyText"/>
      </w:pPr>
      <w:r>
        <w:rPr>
          <w:b/>
          <w:bCs/>
        </w:rPr>
        <w:t xml:space="preserve">Description:</w:t>
      </w:r>
      <w:r>
        <w:t xml:space="preserve"> </w:t>
      </w:r>
      <w:r>
        <w:t xml:space="preserve">Revenue per active vehicle measures the amount of revenue generated by each vehicle that was in operation in a given area during the reporting period.</w:t>
      </w:r>
    </w:p>
    <w:p>
      <w:pPr>
        <w:pStyle w:val="BodyText"/>
      </w:pPr>
      <w:r>
        <w:rPr>
          <w:b/>
          <w:bCs/>
        </w:rPr>
        <w:t xml:space="preserve">Measurement:</w:t>
      </w:r>
      <w:r>
        <w:t xml:space="preserve"> </w:t>
      </w:r>
      <w:r>
        <w:t xml:space="preserve">Revenue per active vehicle is calculated as the median (50th percentile) of the revenue-per-active-vehicle distribution in an area over a month.</w:t>
      </w:r>
    </w:p>
    <w:p>
      <w:pPr>
        <w:pStyle w:val="BodyText"/>
      </w:pPr>
      <w:r>
        <w:rPr>
          <w:b/>
          <w:bCs/>
        </w:rPr>
        <w:t xml:space="preserve">Interpretation:</w:t>
      </w:r>
      <w:r>
        <w:t xml:space="preserve"> </w:t>
      </w:r>
      <w:r>
        <w:t xml:space="preserve">Higher revenue per active vehicle supports the industry’s sustainability by ensuring each vehicle generates more gross income.</w:t>
      </w:r>
    </w:p>
    <w:p>
      <w:pPr>
        <w:pStyle w:val="BodyText"/>
      </w:pPr>
      <w:r>
        <w:t xml:space="preserve">Policy Context: Public Need and Accessibility Factor</w:t>
      </w:r>
    </w:p>
    <w:p>
      <w:pPr>
        <w:pStyle w:val="BodyText"/>
      </w:pPr>
      <w:r>
        <w:t xml:space="preserve">The Board’s sound economic conditions policy in the Policy Manual lists examples of the sustainability factor, which are set out below alongside their corresponding implications on revenue per active vehicle:</w:t>
      </w:r>
    </w:p>
    <w:p>
      <w:pPr>
        <w:pStyle w:val="Compact"/>
        <w:numPr>
          <w:ilvl w:val="0"/>
          <w:numId w:val="1023"/>
        </w:numPr>
      </w:pPr>
      <w:r>
        <w:t xml:space="preserve">The proposed service promotes long-term stability for the passenger transportation industry.</w:t>
      </w:r>
      <w:r>
        <w:t xml:space="preserve"> </w:t>
      </w:r>
      <w:r>
        <w:t xml:space="preserve">-Assuming fixed costs, high and stable revenue per active vehicle implies high and stable profits, thus promoting long-term stability for the industry.</w:t>
      </w:r>
    </w:p>
    <w:p>
      <w:pPr>
        <w:pStyle w:val="Compact"/>
        <w:numPr>
          <w:ilvl w:val="0"/>
          <w:numId w:val="1023"/>
        </w:numPr>
      </w:pPr>
      <w:r>
        <w:t xml:space="preserve">The proposed service encourages resiliency in the passenger transportation industry.</w:t>
      </w:r>
      <w:r>
        <w:t xml:space="preserve"> </w:t>
      </w:r>
      <w:r>
        <w:t xml:space="preserve">-Assuming fixed costs, high and stable revenue per active vehicle implies high and stable profits, thus encouraging industry resilience.</w:t>
      </w:r>
    </w:p>
    <w:p>
      <w:pPr>
        <w:pStyle w:val="Compact"/>
        <w:numPr>
          <w:ilvl w:val="0"/>
          <w:numId w:val="1023"/>
        </w:numPr>
      </w:pPr>
      <w:r>
        <w:t xml:space="preserve">The proposed service minimizes significant market disruption.</w:t>
      </w:r>
      <w:r>
        <w:t xml:space="preserve"> </w:t>
      </w:r>
      <w:r>
        <w:t xml:space="preserve">-Assuming fixed costs, stable or gradually increasing revenue per active vehicle in the taxi sector indicates a lack of rapid disruption.</w:t>
      </w:r>
    </w:p>
    <w:p>
      <w:pPr>
        <w:pStyle w:val="Compact"/>
        <w:numPr>
          <w:ilvl w:val="0"/>
          <w:numId w:val="1023"/>
        </w:numPr>
      </w:pPr>
      <w:r>
        <w:t xml:space="preserve">The proposed service promotes overall profitability and economic sustainability of the industry.</w:t>
      </w:r>
      <w:r>
        <w:t xml:space="preserve"> </w:t>
      </w:r>
      <w:r>
        <w:t xml:space="preserve">-Assuming fixed costs, stable or gradually increasing revenue per active vehicle in the taxi sector indicates overall profitability and economic sustainability for the industry.</w:t>
      </w:r>
    </w:p>
    <w:bookmarkStart w:id="83" w:name="Xdd0b28b92eeff0b1227b2c82ac8eaab478a9996"/>
    <w:p>
      <w:pPr>
        <w:pStyle w:val="Heading4"/>
      </w:pPr>
      <w:r>
        <w:t xml:space="preserve">Metro Vancouver Regional District Revenue per Active Vehicle Findings</w:t>
      </w:r>
    </w:p>
    <w:p>
      <w:pPr>
        <w:pStyle w:val="FirstParagraph"/>
      </w:pPr>
      <w:r>
        <w:t xml:space="preserve">Table 10: Metro Vancouver Regional District Revenue per Active Vehicle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5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$4,484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$5,227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$4,901</w:t>
            </w:r>
          </w:p>
        </w:tc>
      </w:tr>
      <w:tr>
        <w:trPr>
          <w:trHeight w:val="55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$4,609</w:t>
            </w:r>
          </w:p>
        </w:tc>
      </w:tr>
      <w:tr>
        <w:trPr>
          <w:trHeight w:val="55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$4,106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$4,365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$4,333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5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$3,538</w:t>
            </w:r>
          </w:p>
        </w:tc>
      </w:tr>
      <w:tr>
        <w:trPr>
          <w:trHeight w:val="55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$3,231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$3,436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$3,180</w:t>
            </w:r>
          </w:p>
        </w:tc>
      </w:tr>
      <w:tr>
        <w:trPr>
          <w:trHeight w:val="55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7: Metro Vancouver Regional District Revenue per Active Vehicle</w:t>
      </w:r>
    </w:p>
    <w:p>
      <w:pPr>
        <w:pStyle w:val="BodyText"/>
      </w:pPr>
      <w:r>
        <w:drawing>
          <wp:inline>
            <wp:extent cx="5334000" cy="2667000"/>
            <wp:effectExtent b="0" l="0" r="0" t="0"/>
            <wp:docPr descr="" title="" id="81" name="Picture"/>
            <a:graphic>
              <a:graphicData uri="http://schemas.openxmlformats.org/drawingml/2006/picture">
                <pic:pic>
                  <pic:nvPicPr>
                    <pic:cNvPr descr="main_output_files/figure-docx/unnamed-chunk-20-1.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$4,101 in revenue per active vehicle for taxi trips. On a year-over-year (YoY) basis, the revenue per active vehicle for taxi trips was -3.76%while on a year-to-date (YTD) basis it was -1.82% relative to the same period in 2024. On a month-over-month (MoM) basis, revenue per active taxi vehicle changed by -5.36%. Looking over the past two years, statistical analysis of the long-term trend suggests that there is no meaningful change in direction. Statistical analysis of the short-term trend suggests that there is a downward shift in market direction.</w:t>
      </w:r>
    </w:p>
    <w:p>
      <w:pPr>
        <w:pStyle w:val="BodyText"/>
      </w:pPr>
      <w:r>
        <w:t xml:space="preserve">In November 2025, the Metro Vancouver Regional District recorded a total of $3,210 in revenue per active vehicle for TNS trips. Compared with November 2024, the revenue per active vehicle for TNS trips was +15.14% (YoY). Year-to-date through r end_label, the revenue per active vehicle for TNS trips was -1.22% relative to the same period in 2024. On a month-over-month (MoM) basis, revenue per active TNS vehicle changed by -2.33%. Looking over the past two years, statistical analysis of the long-term trend suggests that there is no meaningful change in direction. Statistical analysis of the short-term trend suggests that there is a downward shift in market direction.</w:t>
      </w:r>
    </w:p>
    <w:p>
      <w:pPr>
        <w:pStyle w:val="BodyText"/>
      </w:pPr>
      <w:r>
        <w:rPr>
          <w:b/>
          <w:bCs/>
        </w:rPr>
        <w:t xml:space="preserve">Limitations:</w:t>
      </w:r>
      <w:r>
        <w:t xml:space="preserve"> </w:t>
      </w:r>
      <w:r>
        <w:t xml:space="preserve">The median (i.e., the 50th percentile) revenue per active vehicle cannot fully represent the sustainability of all active vehicles in a region in a month. Moreover, revenue per active vehicle does not address the Board’s other sustainability examples, including balance across different sectors, promotion of driver incomes and contribution to a stable supply of drivers in the taxi sector, environmental sustainability, reduction of greenhouse gas emissions, other pollutions, congestion, or reduction of harm to or enhancement of Public Transportation.</w:t>
      </w:r>
    </w:p>
    <w:bookmarkEnd w:id="83"/>
    <w:bookmarkEnd w:id="84"/>
    <w:bookmarkStart w:id="89" w:name="taxi-fleet-utilization-rate"/>
    <w:p>
      <w:pPr>
        <w:pStyle w:val="Heading3"/>
      </w:pPr>
      <w:r>
        <w:t xml:space="preserve">Taxi Fleet Utilization Rate</w:t>
      </w:r>
    </w:p>
    <w:p>
      <w:pPr>
        <w:pStyle w:val="FirstParagraph"/>
      </w:pPr>
      <w:r>
        <w:rPr>
          <w:b/>
          <w:bCs/>
        </w:rPr>
        <w:t xml:space="preserve">Primary factor:</w:t>
      </w:r>
      <w:r>
        <w:t xml:space="preserve"> </w:t>
      </w:r>
      <w:r>
        <w:t xml:space="preserve">Sustainability</w:t>
      </w:r>
    </w:p>
    <w:p>
      <w:pPr>
        <w:pStyle w:val="BodyText"/>
      </w:pPr>
      <w:r>
        <w:rPr>
          <w:b/>
          <w:bCs/>
        </w:rPr>
        <w:t xml:space="preserve">Description:</w:t>
      </w:r>
      <w:r>
        <w:t xml:space="preserve"> </w:t>
      </w:r>
      <w:r>
        <w:t xml:space="preserve">Taxi fleet utilization rate represents the proportion of licensed vehicles that are active in an area over a month.</w:t>
      </w:r>
    </w:p>
    <w:p>
      <w:pPr>
        <w:pStyle w:val="BodyText"/>
      </w:pPr>
      <w:r>
        <w:rPr>
          <w:b/>
          <w:bCs/>
        </w:rPr>
        <w:t xml:space="preserve">Measurement:</w:t>
      </w:r>
      <w:r>
        <w:t xml:space="preserve"> </w:t>
      </w:r>
      <w:r>
        <w:t xml:space="preserve">The taxi fleet utilization rate is determined by dividing the number of active vehicles by the total number of licensed vehicles in a given area during the reporting period. The number of active vehicles is determined by data reported to the Trip Database, while the maximum fleet size is based on the</w:t>
      </w:r>
    </w:p>
    <w:p>
      <w:pPr>
        <w:pStyle w:val="BodyText"/>
      </w:pPr>
      <w:r>
        <w:rPr>
          <w:b/>
          <w:bCs/>
        </w:rPr>
        <w:t xml:space="preserve">Interpretation:</w:t>
      </w:r>
      <w:r>
        <w:t xml:space="preserve"> </w:t>
      </w:r>
      <w:r>
        <w:t xml:space="preserve">A relatively stable taxi fleet utilization rate over time can indicate long-term stability for the taxi and TNS industry . On the other hand, a decline in utilization rates, other things being equal, suggests unsustainable economic conditions as licensees choose to operate fewer vehicles in their fleet.</w:t>
      </w:r>
    </w:p>
    <w:p>
      <w:pPr>
        <w:pStyle w:val="BodyText"/>
      </w:pPr>
      <w:r>
        <w:t xml:space="preserve">The Board’s sound economic conditions policy in the Policy Manual lists examples of the sustainability factor, which are set out below alongside their corresponding implications on taxi fleet utilization rate:</w:t>
      </w:r>
    </w:p>
    <w:p>
      <w:pPr>
        <w:numPr>
          <w:ilvl w:val="0"/>
          <w:numId w:val="1024"/>
        </w:numPr>
      </w:pPr>
      <w:r>
        <w:t xml:space="preserve">The proposed service promotes long-term stability for the passenger transportation industry.</w:t>
      </w:r>
    </w:p>
    <w:p>
      <w:pPr>
        <w:pStyle w:val="Compact"/>
        <w:numPr>
          <w:ilvl w:val="1"/>
          <w:numId w:val="1025"/>
        </w:numPr>
      </w:pPr>
      <w:r>
        <w:t xml:space="preserve">Stability in taxi fleet utilization rate can indicate the long-term stability of the industry.</w:t>
      </w:r>
    </w:p>
    <w:p>
      <w:pPr>
        <w:numPr>
          <w:ilvl w:val="0"/>
          <w:numId w:val="1024"/>
        </w:numPr>
      </w:pPr>
      <w:r>
        <w:t xml:space="preserve">A higher taxi fleet utilization rate indicates greater resiliency in the passenger transportation industry.</w:t>
      </w:r>
    </w:p>
    <w:p>
      <w:pPr>
        <w:pStyle w:val="Compact"/>
        <w:numPr>
          <w:ilvl w:val="1"/>
          <w:numId w:val="1026"/>
        </w:numPr>
      </w:pPr>
      <w:r>
        <w:t xml:space="preserve">A consistently close-to-full fleet utilization rate indicates the industry is at its supply capacity, and unable to meet further demand growth. A consistently low fleet utilization can indicate a lack of growth of the industry.</w:t>
      </w:r>
    </w:p>
    <w:p>
      <w:pPr>
        <w:numPr>
          <w:ilvl w:val="0"/>
          <w:numId w:val="1024"/>
        </w:numPr>
      </w:pPr>
      <w:r>
        <w:t xml:space="preserve">The proposed service minimizes significant market disruption.</w:t>
      </w:r>
    </w:p>
    <w:p>
      <w:pPr>
        <w:pStyle w:val="Compact"/>
        <w:numPr>
          <w:ilvl w:val="1"/>
          <w:numId w:val="1027"/>
        </w:numPr>
      </w:pPr>
      <w:r>
        <w:t xml:space="preserve">A low taxi fleet utilization rate increases the risk of market oversupply.</w:t>
      </w:r>
    </w:p>
    <w:p>
      <w:pPr>
        <w:numPr>
          <w:ilvl w:val="0"/>
          <w:numId w:val="1024"/>
        </w:numPr>
      </w:pPr>
      <w:r>
        <w:t xml:space="preserve">The proposed service protects the taxi sector from rapid disruption to ensure its long-term stability as an essential service.</w:t>
      </w:r>
    </w:p>
    <w:p>
      <w:pPr>
        <w:pStyle w:val="Compact"/>
        <w:numPr>
          <w:ilvl w:val="1"/>
          <w:numId w:val="1028"/>
        </w:numPr>
      </w:pPr>
      <w:r>
        <w:t xml:space="preserve">A low taxi fleet utilization rate increases the risk of rapid disruption in the taxi sector.</w:t>
      </w:r>
    </w:p>
    <w:p>
      <w:pPr>
        <w:numPr>
          <w:ilvl w:val="0"/>
          <w:numId w:val="1024"/>
        </w:numPr>
      </w:pPr>
      <w:r>
        <w:t xml:space="preserve">The proposed service promotes overall profitability and economic sustainability of the industry.</w:t>
      </w:r>
    </w:p>
    <w:p>
      <w:pPr>
        <w:pStyle w:val="Compact"/>
        <w:numPr>
          <w:ilvl w:val="1"/>
          <w:numId w:val="1029"/>
        </w:numPr>
      </w:pPr>
      <w:r>
        <w:t xml:space="preserve">A low taxi fleet utilization rate suggests lower profitability or economic unsustainability in the market.</w:t>
      </w:r>
    </w:p>
    <w:bookmarkStart w:id="88" w:name="X2fb25ee8862283160288ffb670bcc128db13db2"/>
    <w:p>
      <w:pPr>
        <w:pStyle w:val="Heading4"/>
      </w:pPr>
      <w:r>
        <w:t xml:space="preserve">Metro Vancouver Regional District Taxi Fleet Utilization Rate Findings</w:t>
      </w:r>
    </w:p>
    <w:p>
      <w:pPr>
        <w:pStyle w:val="FirstParagraph"/>
      </w:pPr>
      <w:r>
        <w:t xml:space="preserve">Table 11: Metro Vancouver Regional District taxi fleet utilization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r>
      <w:tr>
        <w:trPr>
          <w:trHeight w:val="528" w:hRule="auto"/>
        </w:trPr>
        body4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0.72</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12" w:space="0" w:color="666666"/>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8: Metro Vancouver Regional District taxi fleet utilization rate</w:t>
      </w:r>
    </w:p>
    <w:p>
      <w:pPr>
        <w:pStyle w:val="BodyText"/>
      </w:pPr>
      <w:r>
        <w:drawing>
          <wp:inline>
            <wp:extent cx="5334000" cy="2667000"/>
            <wp:effectExtent b="0" l="0" r="0" t="0"/>
            <wp:docPr descr="" title="" id="86" name="Picture"/>
            <a:graphic>
              <a:graphicData uri="http://schemas.openxmlformats.org/drawingml/2006/picture">
                <pic:pic>
                  <pic:nvPicPr>
                    <pic:cNvPr descr="main_output_files/figure-docx/unnamed-chunk-22-1.png" id="87" name="Picture"/>
                    <pic:cNvPicPr>
                      <a:picLocks noChangeArrowheads="1" noChangeAspect="1"/>
                    </pic:cNvPicPr>
                  </pic:nvPicPr>
                  <pic:blipFill>
                    <a:blip r:embed="rId8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72.5% in taxi fleet utilization rate trips. On a year-over-year (YoY) basis, the taxi fleet utilization rate trips was +9.76%while on a year-to-date (YTD) basis it was +11.23% relative to the same period in 2024. On a month-over-month (MoM) basis, taxi fleet utilization changed by -2.93%. Looking over the past two years, statistical analysis of the long-term trend suggests that there is no meaningful change in direction. Statistical analysis of the short-term trend suggests that there is a downward shift in market direction.</w:t>
      </w:r>
    </w:p>
    <w:p>
      <w:pPr>
        <w:pStyle w:val="BodyText"/>
      </w:pPr>
      <w:r>
        <w:rPr>
          <w:b/>
          <w:bCs/>
        </w:rPr>
        <w:t xml:space="preserve">Limitations:</w:t>
      </w:r>
      <w:r>
        <w:t xml:space="preserve"> </w:t>
      </w:r>
      <w:r>
        <w:t xml:space="preserve">The taxi fleet utilization rate does not provide insight into the equitability of opportunities in the industry, the impact on Public Transportation, the industry’s sustainable profitability levels, or driver incomes, nor does it address the environmental aspects of sustainability.</w:t>
      </w:r>
    </w:p>
    <w:bookmarkEnd w:id="88"/>
    <w:bookmarkEnd w:id="89"/>
    <w:bookmarkStart w:id="97" w:name="vehicle-occupancy-rate"/>
    <w:p>
      <w:pPr>
        <w:pStyle w:val="Heading3"/>
      </w:pPr>
      <w:r>
        <w:t xml:space="preserve">Vehicle Occupancy Rate</w:t>
      </w:r>
    </w:p>
    <w:p>
      <w:pPr>
        <w:pStyle w:val="FirstParagraph"/>
      </w:pPr>
      <w:r>
        <w:t xml:space="preserve">Primary Factor: Sustainability</w:t>
      </w:r>
    </w:p>
    <w:p>
      <w:pPr>
        <w:pStyle w:val="BodyText"/>
      </w:pPr>
      <w:r>
        <w:rPr>
          <w:b/>
          <w:bCs/>
        </w:rPr>
        <w:t xml:space="preserve">Description:</w:t>
      </w:r>
      <w:r>
        <w:t xml:space="preserve"> </w:t>
      </w:r>
      <w:r>
        <w:t xml:space="preserve">The vehicle occupancy rate represents the proportion of working time during which a taxi or TNS vehicle carries passengers over the total working time over a month in an area.</w:t>
      </w:r>
    </w:p>
    <w:p>
      <w:pPr>
        <w:pStyle w:val="BodyText"/>
      </w:pPr>
      <w:r>
        <w:rPr>
          <w:b/>
          <w:bCs/>
        </w:rPr>
        <w:t xml:space="preserve">Measurement:</w:t>
      </w:r>
      <w:r>
        <w:t xml:space="preserve"> </w:t>
      </w:r>
      <w:r>
        <w:t xml:space="preserve">The vehicle occupancy rate is calculated as the median (50th percentile) of the ratio of the total duration of all trips to the total working hours of all taxi vehicles in an area over a month.</w:t>
      </w:r>
    </w:p>
    <w:p>
      <w:pPr>
        <w:pStyle w:val="BodyText"/>
      </w:pPr>
      <w:r>
        <w:rPr>
          <w:b/>
          <w:bCs/>
        </w:rPr>
        <w:t xml:space="preserve">Interpretation:</w:t>
      </w:r>
      <w:r>
        <w:t xml:space="preserve"> </w:t>
      </w:r>
      <w:r>
        <w:t xml:space="preserve">A high vehicle occupancy rate indicates frequent passenger occupancy and low wasted time waiting for new trip requests. In contrast, a low taxi vehicle occupancy rate suggests that vehicles are driving longer times to pick up passengers or the wait time to receive new trips is long. A low vehicle occupancy rate is unfavourable as it negatively impacts sustainable profitability. Additionally, significant changes in the vehicle occupancy rate can signal shifts in market stability and potential sustainability challenges.</w:t>
      </w:r>
    </w:p>
    <w:p>
      <w:pPr>
        <w:pStyle w:val="BodyText"/>
      </w:pPr>
      <w:r>
        <w:t xml:space="preserve">Policy Context: Public Need and Accessibility Factor</w:t>
      </w:r>
    </w:p>
    <w:p>
      <w:pPr>
        <w:pStyle w:val="BodyText"/>
      </w:pPr>
      <w:r>
        <w:t xml:space="preserve">The Board’s sound economic conditions policy in the Policy Manual lists examples of the sustainability factor, which are set out below alongside their corresponding implications on the taxi vehicle occupancy rate:</w:t>
      </w:r>
    </w:p>
    <w:p>
      <w:pPr>
        <w:pStyle w:val="Compact"/>
        <w:numPr>
          <w:ilvl w:val="0"/>
          <w:numId w:val="1030"/>
        </w:numPr>
      </w:pPr>
      <w:r>
        <w:t xml:space="preserve">The proposed service promotes long-term stability for the passenger transportation industry.</w:t>
      </w:r>
      <w:r>
        <w:t xml:space="preserve"> </w:t>
      </w:r>
      <w:r>
        <w:t xml:space="preserve">-Stability in the vehicle occupancy rate can reflect long-term stability in the industry.</w:t>
      </w:r>
    </w:p>
    <w:p>
      <w:pPr>
        <w:pStyle w:val="Compact"/>
        <w:numPr>
          <w:ilvl w:val="0"/>
          <w:numId w:val="1030"/>
        </w:numPr>
      </w:pPr>
      <w:r>
        <w:t xml:space="preserve">The proposed service encourages resiliency in the passenger transportation industry.</w:t>
      </w:r>
      <w:r>
        <w:t xml:space="preserve"> </w:t>
      </w:r>
      <w:r>
        <w:t xml:space="preserve">-Higher vehicle occupancy rates can reflect higher resiliency levels in the passenger transportation industry.</w:t>
      </w:r>
    </w:p>
    <w:p>
      <w:pPr>
        <w:pStyle w:val="Compact"/>
        <w:numPr>
          <w:ilvl w:val="0"/>
          <w:numId w:val="1030"/>
        </w:numPr>
      </w:pPr>
      <w:r>
        <w:t xml:space="preserve">The proposed service minimizes significant market disruption</w:t>
      </w:r>
      <w:r>
        <w:t xml:space="preserve"> </w:t>
      </w:r>
      <w:r>
        <w:t xml:space="preserve">-Large shifts in the vehicle occupancy rate can indicate a significant market disruption.</w:t>
      </w:r>
    </w:p>
    <w:p>
      <w:pPr>
        <w:pStyle w:val="Compact"/>
        <w:numPr>
          <w:ilvl w:val="0"/>
          <w:numId w:val="1030"/>
        </w:numPr>
      </w:pPr>
      <w:r>
        <w:t xml:space="preserve">The proposed service protects the passenger transportation sector from rapid disruption to ensure its long-term stability as an essential service.</w:t>
      </w:r>
      <w:r>
        <w:t xml:space="preserve"> </w:t>
      </w:r>
      <w:r>
        <w:t xml:space="preserve">-Large shifts in the vehicle occupancy rate can indicate a rapid disruption, leading to challenges for long-term stability as an essential service.</w:t>
      </w:r>
    </w:p>
    <w:p>
      <w:pPr>
        <w:pStyle w:val="Compact"/>
        <w:numPr>
          <w:ilvl w:val="0"/>
          <w:numId w:val="1030"/>
        </w:numPr>
      </w:pPr>
      <w:r>
        <w:t xml:space="preserve">The proposed service promotes the overall profitability and economic sustainability of the industry.</w:t>
      </w:r>
      <w:r>
        <w:t xml:space="preserve"> </w:t>
      </w:r>
      <w:r>
        <w:t xml:space="preserve">-A low vehicle occupancy rate indicates unsustainable profitability and economic instability in the industry.</w:t>
      </w:r>
    </w:p>
    <w:p>
      <w:pPr>
        <w:pStyle w:val="Compact"/>
        <w:numPr>
          <w:ilvl w:val="0"/>
          <w:numId w:val="1030"/>
        </w:numPr>
      </w:pPr>
      <w:r>
        <w:t xml:space="preserve">The proposed service promotes adequate driver incomes to contribute to a stable supply of drivers.</w:t>
      </w:r>
      <w:r>
        <w:t xml:space="preserve"> </w:t>
      </w:r>
      <w:r>
        <w:t xml:space="preserve">-A low vehicle occupancy rate can signal inadequate driver incomes. To assess whether a vehicle occupancy rate is high or low, we define the range of possible values it can take, referred to as the Vehicle Occupancy Rate Possible Range (VORPR)</w:t>
      </w:r>
      <w:r>
        <w:rPr>
          <w:rStyle w:val="FootnoteReference"/>
        </w:rPr>
        <w:footnoteReference w:id="90"/>
      </w:r>
      <w:r>
        <w:t xml:space="preserve">.</w:t>
      </w:r>
    </w:p>
    <w:p>
      <w:pPr>
        <w:pStyle w:val="FirstParagraph"/>
      </w:pPr>
      <w:r>
        <w:t xml:space="preserve">If no trips occur during the working period, the vehicle occupancy rate is zero, representing the lower end of the range. Conversely, if there is no idle time between trips, the vehicle occupancy rate reaches its upper limit. Based on 2024 data for taxi and TNS vehicles in the Metro Vancouver Regional District (MVRD), the upper limit of the vehicle occupancy rate is approximately 0.7 for TNS vehicles and 0.8 for taxi. These values define the upper end of the VORPR.</w:t>
      </w:r>
    </w:p>
    <w:p>
      <w:pPr>
        <w:pStyle w:val="BodyText"/>
      </w:pPr>
      <w:r>
        <w:t xml:space="preserve">Existing studies provide baseline VOR levels for taxis and rideshare platforms. Cramer and Krueger (2016) found that Uber consistently achieved higher VOR than taxis across major U.S. cities. Their analysis showed that Uber’s VOR ranged from 55% to 68%, while taxi VOR remained lower, between 47% and 53%. The largest gap was observed in New York City, where Uber’s VOR (68%) exceeded taxi VOR (53%) by 15 percentage points. This trend suggests that rideshare platforms operate more efficiently than traditional taxi services (see Table 19 in Appendix 2 for detailed comparisons)</w:t>
      </w:r>
      <w:r>
        <w:rPr>
          <w:rStyle w:val="FootnoteReference"/>
        </w:rPr>
        <w:footnoteReference w:id="91"/>
      </w:r>
      <w:r>
        <w:t xml:space="preserve">.</w:t>
      </w:r>
    </w:p>
    <w:p>
      <w:pPr>
        <w:pStyle w:val="BodyText"/>
      </w:pPr>
      <w:r>
        <w:t xml:space="preserve">Additionally, data from the NYC Taxi &amp; Limousine Commission (TLC) Factbook indicate that between April 2023 and September 2024, Uber’s VOR fluctuated between 54.2% and 60.4%, while Lyft’s VOR ranged from 43.9% to 52.5%. The overall industry average varied between 48.7% and 57.5%, with NYC regulations requiring a minimum VOR of 53% (see Figure 22 in Appendix 2 for NYC-specific data)</w:t>
      </w:r>
      <w:r>
        <w:rPr>
          <w:rStyle w:val="FootnoteReference"/>
        </w:rPr>
        <w:footnoteReference w:id="92"/>
      </w:r>
      <w:r>
        <w:t xml:space="preserve">.</w:t>
      </w:r>
    </w:p>
    <w:bookmarkStart w:id="96" w:name="Xa4bdb6880cb0c9dbd9e02a7eed4631e10bf0a0c"/>
    <w:p>
      <w:pPr>
        <w:pStyle w:val="Heading4"/>
      </w:pPr>
      <w:r>
        <w:t xml:space="preserve">Metro Vancouver Regional District Taxi and TNS Vehicle Occupancy Rate Findings</w:t>
      </w:r>
    </w:p>
    <w:p>
      <w:pPr>
        <w:pStyle w:val="FirstParagraph"/>
      </w:pPr>
      <w:r>
        <w:t xml:space="preserve">Table 12: Metro Vancouver Regional District taxi and TNS Vehicle Occupancy Rate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2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r>
      <w:tr>
        <w:trPr>
          <w:trHeight w:val="52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r>
      <w:tr>
        <w:trPr>
          <w:trHeight w:val="52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2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r>
      <w:tr>
        <w:trPr>
          <w:trHeight w:val="52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r>
      <w:tr>
        <w:trPr>
          <w:trHeight w:val="52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9: Metro Vancouver Regional District taxi and TNS Vehicle Occupancy Rate Findings</w:t>
      </w:r>
    </w:p>
    <w:p>
      <w:pPr>
        <w:pStyle w:val="BodyText"/>
      </w:pPr>
      <w:r>
        <w:drawing>
          <wp:inline>
            <wp:extent cx="5334000" cy="2667000"/>
            <wp:effectExtent b="0" l="0" r="0" t="0"/>
            <wp:docPr descr="" title="" id="94" name="Picture"/>
            <a:graphic>
              <a:graphicData uri="http://schemas.openxmlformats.org/drawingml/2006/picture">
                <pic:pic>
                  <pic:nvPicPr>
                    <pic:cNvPr descr="main_output_files/figure-docx/unnamed-chunk-24-1.png" id="95" name="Picture"/>
                    <pic:cNvPicPr>
                      <a:picLocks noChangeArrowheads="1" noChangeAspect="1"/>
                    </pic:cNvPicPr>
                  </pic:nvPicPr>
                  <pic:blipFill>
                    <a:blip r:embed="rId9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Analysis and Conclusions</w:t>
      </w:r>
    </w:p>
    <w:p>
      <w:pPr>
        <w:pStyle w:val="BodyText"/>
      </w:pPr>
      <w:r>
        <w:t xml:space="preserve">In November 2025, Metro Vancouver Regional District recorded a total of 40.0% in Vehicle Occupancy Rate Findings for taxi trips. On a year-over-year (YoY) basis, the Vehicle Occupancy Rate Findings for taxi trips was -0.05%while on a year-to-date (YTD) basis it was -0.24% relative to the same period in 2024. On a month-over-month (MoM) basis, vehicle occupancy for taxi trips changed by -0.99%.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t xml:space="preserve">In November 2025, the Metro Vancouver Regional District recorded a total of 54.2% in Vehicle Occupancy Rate Findings for TNS trips. Compared with November 2024, the Vehicle Occupancy Rate Findings for TNS trips was -2.69% (YoY). Year-to-date through r end_label, the Vehicle Occupancy Rate Findings for TNS trips was -3.83% relative to the same period in 2024. On a month-over-month (MoM) basis, vehicle occupancy for TNS trips changed by -1.63%.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rPr>
          <w:b/>
          <w:bCs/>
        </w:rPr>
        <w:t xml:space="preserve">Limitations:</w:t>
      </w:r>
      <w:r>
        <w:t xml:space="preserve"> </w:t>
      </w:r>
      <w:r>
        <w:t xml:space="preserve">The vehicle occupancy rate illustrates the interaction between demand and supply and offers limited insight into the industry’s sustainability. However, this indicator does not provide information about the Board’s other sustainability examples, including environmental impact and equity within the industry.</w:t>
      </w:r>
    </w:p>
    <w:bookmarkEnd w:id="96"/>
    <w:bookmarkEnd w:id="97"/>
    <w:bookmarkStart w:id="102" w:name="driver-hourly-revenue"/>
    <w:p>
      <w:pPr>
        <w:pStyle w:val="Heading3"/>
      </w:pPr>
      <w:r>
        <w:t xml:space="preserve">Driver hourly revenue</w:t>
      </w:r>
    </w:p>
    <w:p>
      <w:pPr>
        <w:pStyle w:val="FirstParagraph"/>
      </w:pPr>
      <w:r>
        <w:t xml:space="preserve">Primary Factor: Sustainability</w:t>
      </w:r>
    </w:p>
    <w:p>
      <w:pPr>
        <w:pStyle w:val="BodyText"/>
      </w:pPr>
      <w:r>
        <w:rPr>
          <w:b/>
          <w:bCs/>
        </w:rPr>
        <w:t xml:space="preserve">Description:</w:t>
      </w:r>
      <w:r>
        <w:t xml:space="preserve"> </w:t>
      </w:r>
      <w:r>
        <w:t xml:space="preserve">Driver Hourly Revenue reflects whether the passenger transportation sector is producing a sustainable level of revenue for drivers to promote retention of their workforce. It is important to note that hourly revenue does not reflect take-home pay, which depends on factors such as business-level labour payment arrangements, employment classification (e.g., employee vs. independent contractor), operating costs, and hours worked. However, revenue per hour remains a useful indicator of market stability and service sustainability from a labour supply perspective.</w:t>
      </w:r>
    </w:p>
    <w:p>
      <w:pPr>
        <w:pStyle w:val="BodyText"/>
      </w:pPr>
      <w:r>
        <w:rPr>
          <w:b/>
          <w:bCs/>
        </w:rPr>
        <w:t xml:space="preserve">Measurement:</w:t>
      </w:r>
      <w:r>
        <w:t xml:space="preserve"> </w:t>
      </w:r>
      <w:r>
        <w:t xml:space="preserve">This indicator captures the median[1] of the total fare[2] collected by taxi and TNS drivers per working hour in a defined geographical area for over a month. It reflects whether the passenger transportation sector is producing a sustainable level of revenue for drivers to promote retention of their workforce.</w:t>
      </w:r>
    </w:p>
    <w:p>
      <w:pPr>
        <w:pStyle w:val="BodyText"/>
      </w:pPr>
      <w:r>
        <w:rPr>
          <w:b/>
          <w:bCs/>
        </w:rPr>
        <w:t xml:space="preserve">Interpretation:</w:t>
      </w:r>
      <w:r>
        <w:t xml:space="preserve"> </w:t>
      </w:r>
      <w:r>
        <w:t xml:space="preserve">Higher hourly revenue indicates stronger revenue generation for the sector, supporting its long-term operational sustainability. This indicator measures median hourly revenue at the sector level and does not reflect individual driver take-home earnings, which can vary based on a variety of factors. The focus is on the sector’s overall financial health and its ability to maintain service levels over time.</w:t>
      </w:r>
    </w:p>
    <w:p>
      <w:pPr>
        <w:pStyle w:val="BodyText"/>
      </w:pPr>
      <w:r>
        <w:t xml:space="preserve">Policy Context: Public Need and Accessibility Factor</w:t>
      </w:r>
    </w:p>
    <w:bookmarkStart w:id="101" w:name="Xa5376e013b641401ff4b7dfc0eafc755e262161"/>
    <w:p>
      <w:pPr>
        <w:pStyle w:val="Heading4"/>
      </w:pPr>
      <w:r>
        <w:t xml:space="preserve">Metro Vancouver Regional District taxi and TNS Driver hourly revenue Findings</w:t>
      </w:r>
    </w:p>
    <w:p>
      <w:pPr>
        <w:pStyle w:val="FirstParagraph"/>
      </w:pPr>
      <w:r>
        <w:t xml:space="preserve">Table 13: Metro Vancouver Regional District taxi and TNS Driver hourly revenue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55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525" w:hRule="auto"/>
        </w:trPr>
        body1
        <w:tc>
          <w:tcPr>
            <w:gridSpan w:val="13"/>
            <w:tcBorders>
              <w:bottom w:val="none" w:sz="0" w:space="0" w:color="000000"/>
              <w:top w:val="single" w:sz="12" w:space="0" w:color="666666"/>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$36.41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$35.81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$36.90</w:t>
            </w:r>
          </w:p>
        </w:tc>
      </w:tr>
      <w:tr>
        <w:trPr>
          <w:trHeight w:val="55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$37.58</w:t>
            </w:r>
          </w:p>
        </w:tc>
      </w:tr>
      <w:tr>
        <w:trPr>
          <w:trHeight w:val="552"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$34.78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$36.05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529" w:hRule="auto"/>
        </w:trPr>
        body5
        <w:tc>
          <w:tcPr>
            <w:gridSpan w:val="13"/>
            <w:tcBorders>
              <w:bottom w:val="none" w:sz="0" w:space="0" w:color="000000"/>
              <w:top w:val="none" w:sz="0" w:space="0" w:color="000000"/>
              <w:left w:val="none" w:sz="0" w:space="0" w:color="000000"/>
              <w:right w:val="none" w:sz="0" w:space="0" w:color="000000"/>
            </w:tcBorders>
            <w:shd w:val="clear" w:color="auto" w:fill="ECECE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552"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$42.00</w:t>
            </w:r>
          </w:p>
        </w:tc>
      </w:tr>
      <w:tr>
        <w:trPr>
          <w:trHeight w:val="552"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$38.07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$38.14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$37.99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$38.52</w:t>
            </w:r>
          </w:p>
        </w:tc>
      </w:tr>
      <w:tr>
        <w:trPr>
          <w:trHeight w:val="552"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t xml:space="preserve">Figure 10: Metro Vancouver Regional District taxi and TNS Driver hourly revenue Findings</w:t>
      </w:r>
    </w:p>
    <w:p>
      <w:pPr>
        <w:pStyle w:val="BodyText"/>
      </w:pPr>
      <w:r>
        <w:drawing>
          <wp:inline>
            <wp:extent cx="5334000" cy="2667000"/>
            <wp:effectExtent b="0" l="0" r="0" t="0"/>
            <wp:docPr descr="" title="" id="99" name="Picture"/>
            <a:graphic>
              <a:graphicData uri="http://schemas.openxmlformats.org/drawingml/2006/picture">
                <pic:pic>
                  <pic:nvPicPr>
                    <pic:cNvPr descr="main_output_files/figure-docx/unnamed-chunk-26-1.png" id="100" name="Picture"/>
                    <pic:cNvPicPr>
                      <a:picLocks noChangeArrowheads="1" noChangeAspect="1"/>
                    </pic:cNvPicPr>
                  </pic:nvPicPr>
                  <pic:blipFill>
                    <a:blip r:embed="rId9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In November 2025, Metro Vancouver Regional District recorded a total of $35 in driver earnings for taxi services. On a year-over-year (YoY) basis, average driver earnings for taxi services were -3.13%while on a year-to-date (YTD) basis it was -2.52% relative to the same period in 2024. On a month-over-month (MoM) basis, driver earnings for taxi trips changed by +0.79%.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t xml:space="preserve">In November 2025, the Metro Vancouver Regional District recorded a total of $39 in driver earnings for TNS services. Compared with November 2024, average driver earnings for TNS services were +5.46% (YoY). Year-to-date through November 2025, earnings for TNS services were +0.01% relative to the same period in 2024. On a month-over-month (MoM) basis, driver earnings for TNS trips changed by +2.16%. Looking over the past two years, statistical analysis of the long-term trend suggests that there is no meaningful change in direction. Statistical analysis of the short-term trend suggests that there is no active shift in market direction.</w:t>
      </w:r>
    </w:p>
    <w:p>
      <w:pPr>
        <w:pStyle w:val="BodyText"/>
      </w:pPr>
      <w:r>
        <w:rPr>
          <w:b/>
          <w:bCs/>
        </w:rPr>
        <w:t xml:space="preserve">Limitations:</w:t>
      </w:r>
    </w:p>
    <w:bookmarkEnd w:id="101"/>
    <w:bookmarkEnd w:id="102"/>
    <w:bookmarkEnd w:id="103"/>
    <w:bookmarkStart w:id="104" w:name="variety-factor-sec"/>
    <w:p>
      <w:pPr>
        <w:pStyle w:val="Heading2"/>
      </w:pPr>
      <w:r>
        <w:t xml:space="preserve">Variety Factor (SEC)</w:t>
      </w:r>
    </w:p>
    <w:p>
      <w:pPr>
        <w:pStyle w:val="FirstParagraph"/>
      </w:pPr>
      <w:r>
        <w:t xml:space="preserve">There is no analysis related to this factor.</w:t>
      </w:r>
    </w:p>
    <w:bookmarkEnd w:id="104"/>
    <w:bookmarkStart w:id="143" w:name="appendix-1-technical-methodology"/>
    <w:p>
      <w:pPr>
        <w:pStyle w:val="Heading2"/>
      </w:pPr>
      <w:r>
        <w:t xml:space="preserve">Appendix 1: Technical Methodology</w:t>
      </w:r>
    </w:p>
    <w:p>
      <w:pPr>
        <w:pStyle w:val="FirstParagraph"/>
      </w:pPr>
      <w:r>
        <w:t xml:space="preserve">A set of completed trips in a given area j during the period t is denoted by</w:t>
      </w:r>
      <w:r>
        <w:t xml:space="preserve"> </w:t>
      </w:r>
      <m:oMath>
        <m:sSub>
          <m:e>
            <m:r>
              <m:t>T</m:t>
            </m:r>
          </m:e>
          <m:sub>
            <m:r>
              <m:t>j</m:t>
            </m:r>
            <m:r>
              <m:rPr>
                <m:sty m:val="p"/>
              </m:rPr>
              <m:t>,</m:t>
            </m:r>
            <m:r>
              <m:t>t</m:t>
            </m:r>
          </m:sub>
        </m:sSub>
      </m:oMath>
      <w:r>
        <w:t xml:space="preserve">, and each completed trip is denoted by i in</w:t>
      </w:r>
      <w:r>
        <w:t xml:space="preserve"> </w:t>
      </w:r>
      <m:oMath>
        <m:sSub>
          <m:e>
            <m:r>
              <m:t>T</m:t>
            </m:r>
          </m:e>
          <m:sub>
            <m:r>
              <m:t>j</m:t>
            </m:r>
            <m:r>
              <m:rPr>
                <m:sty m:val="p"/>
              </m:rPr>
              <m:t>,</m:t>
            </m:r>
            <m:r>
              <m:t>t</m:t>
            </m:r>
          </m:sub>
        </m:sSub>
      </m:oMath>
      <w:r>
        <w:t xml:space="preserve"> </w:t>
      </w:r>
      <w:r>
        <w:t xml:space="preserve">is associated with a unique trip ID (one-to-one) and a unique vehicle ID denoted by</w:t>
      </w:r>
      <w:r>
        <w:t xml:space="preserve"> </w:t>
      </w:r>
      <m:oMath>
        <m:sSub>
          <m:e>
            <m:r>
              <m:t>v</m:t>
            </m:r>
          </m:e>
          <m:sub>
            <m:r>
              <m:t>i</m:t>
            </m:r>
          </m:sub>
        </m:sSub>
      </m:oMath>
      <w:r>
        <w:t xml:space="preserve"> </w:t>
      </w:r>
      <w:r>
        <w:t xml:space="preserve">(many to one). Indicators discussed in this report are calculated as follows. Unless otherwise mentioned, the underlying data is retrieved from the Trip Database.</w:t>
      </w:r>
    </w:p>
    <w:p>
      <w:pPr>
        <w:pStyle w:val="BodyText"/>
      </w:pPr>
      <w:r>
        <w:t xml:space="preserve">(temporary) list of indicators</w:t>
      </w:r>
      <w:r>
        <w:t xml:space="preserve"> </w:t>
      </w:r>
      <w:r>
        <w:t xml:space="preserve">Utilization (Feb)</w:t>
      </w:r>
      <w:r>
        <w:t xml:space="preserve"> </w:t>
      </w:r>
      <w:r>
        <w:t xml:space="preserve">Wait time (Mar)</w:t>
      </w:r>
      <w:r>
        <w:t xml:space="preserve"> </w:t>
      </w:r>
      <w:r>
        <w:t xml:space="preserve">WAVs (APR)</w:t>
      </w:r>
      <w:r>
        <w:t xml:space="preserve"> </w:t>
      </w:r>
      <w:r>
        <w:t xml:space="preserve">Fare Cost (May)</w:t>
      </w:r>
      <w:r>
        <w:t xml:space="preserve"> </w:t>
      </w:r>
      <w:r>
        <w:t xml:space="preserve">Availability (Jun)</w:t>
      </w:r>
      <w:r>
        <w:t xml:space="preserve"> </w:t>
      </w:r>
      <w:r>
        <w:t xml:space="preserve">Driver Hourly Earning (Sep)</w:t>
      </w:r>
      <w:r>
        <w:t xml:space="preserve"> </w:t>
      </w:r>
      <w:r>
        <w:t xml:space="preserve">Trip Vol (Nov)</w:t>
      </w:r>
      <w:r>
        <w:t xml:space="preserve"> </w:t>
      </w:r>
      <w:r>
        <w:t xml:space="preserve">Trip Rev (Dec)</w:t>
      </w:r>
      <w:r>
        <w:t xml:space="preserve"> </w:t>
      </w:r>
      <w:r>
        <w:t xml:space="preserve">VOR (not yet published)</w:t>
      </w:r>
    </w:p>
    <w:bookmarkStart w:id="109" w:name="demand-factorpn"/>
    <w:p>
      <w:pPr>
        <w:pStyle w:val="Heading3"/>
      </w:pPr>
      <w:r>
        <w:t xml:space="preserve">Demand Factor(PN)</w:t>
      </w:r>
    </w:p>
    <w:bookmarkStart w:id="106" w:name="trip-volume-1"/>
    <w:p>
      <w:pPr>
        <w:pStyle w:val="Heading4"/>
      </w:pPr>
      <w:r>
        <w:t xml:space="preserve">Trip Volume</w:t>
      </w:r>
    </w:p>
    <w:p>
      <w:pPr>
        <w:pStyle w:val="FirstParagraph"/>
      </w:pPr>
      <w:r>
        <w:t xml:space="preserve">Trip volume is the total count of trip IDs of completed trips.</w:t>
      </w:r>
    </w:p>
    <w:p>
      <w:pPr>
        <w:pStyle w:val="BodyText"/>
      </w:pPr>
      <w:bookmarkStart w:id="105" w:name="eq-tv"/>
      <m:oMathPara>
        <m:oMathParaPr>
          <m:jc m:val="center"/>
        </m:oMathParaPr>
        <m:oMath>
          <m:r>
            <m:t>T</m:t>
          </m:r>
          <m:sSub>
            <m:e>
              <m:r>
                <m:t>V</m:t>
              </m:r>
            </m:e>
            <m:sub>
              <m:r>
                <m:t>j</m:t>
              </m:r>
              <m:r>
                <m:rPr>
                  <m:sty m:val="p"/>
                </m:rPr>
                <m:t>,</m:t>
              </m:r>
              <m:r>
                <m:t>t</m:t>
              </m:r>
            </m:sub>
          </m:sSub>
          <m:r>
            <m:rPr>
              <m:sty m:val="p"/>
            </m:rPr>
            <m:t>=</m:t>
          </m:r>
          <m:nary>
            <m:naryPr>
              <m:chr m:val="∑"/>
              <m:limLoc m:val="undOvr"/>
              <m:subHide m:val="off"/>
              <m:supHide m:val="off"/>
            </m:naryPr>
            <m:sub>
              <m:r>
                <m:t>i</m:t>
              </m:r>
              <m:r>
                <m:rPr>
                  <m:sty m:val="p"/>
                </m:rPr>
                <m:t>∈</m:t>
              </m:r>
              <m:r>
                <m:rPr>
                  <m:nor/>
                  <m:sty m:val="p"/>
                </m:rPr>
                <m:t>completed_trips</m:t>
              </m:r>
            </m:sub>
            <m:sup>
              <m:sSub>
                <m:e>
                  <m:r>
                    <m:t>N</m:t>
                  </m:r>
                </m:e>
                <m:sub>
                  <m:r>
                    <m:t>j</m:t>
                  </m:r>
                  <m:r>
                    <m:rPr>
                      <m:sty m:val="p"/>
                    </m:rPr>
                    <m:t>,</m:t>
                  </m:r>
                  <m:r>
                    <m:t>t</m:t>
                  </m:r>
                </m:sub>
              </m:sSub>
            </m:sup>
            <m:e>
              <m:r>
                <m:t>1</m:t>
              </m:r>
            </m:e>
          </m:nary>
          <m:r>
            <m:t>  </m:t>
          </m:r>
          <m:d>
            <m:dPr>
              <m:begChr m:val="("/>
              <m:sepChr m:val=""/>
              <m:endChr m:val=")"/>
              <m:grow/>
            </m:dPr>
            <m:e>
              <m:r>
                <m:t>1</m:t>
              </m:r>
            </m:e>
          </m:d>
        </m:oMath>
      </m:oMathPara>
      <w:bookmarkEnd w:id="105"/>
    </w:p>
    <w:p>
      <w:pPr>
        <w:pStyle w:val="FirstParagraph"/>
      </w:pPr>
      <w:r>
        <w:t xml:space="preserve">where</w:t>
      </w:r>
      <w:r>
        <w:t xml:space="preserve"> </w:t>
      </w:r>
      <m:oMath>
        <m:r>
          <m:t>T</m:t>
        </m:r>
        <m:sSub>
          <m:e>
            <m:r>
              <m:t>V</m:t>
            </m:r>
          </m:e>
          <m:sub>
            <m:r>
              <m:t>j</m:t>
            </m:r>
            <m:r>
              <m:rPr>
                <m:sty m:val="p"/>
              </m:rPr>
              <m:t>,</m:t>
            </m:r>
            <m:r>
              <m:t>t</m:t>
            </m:r>
          </m:sub>
        </m:sSub>
      </m:oMath>
      <w:r>
        <w:t xml:space="preserve"> </w:t>
      </w:r>
      <w:r>
        <w:t xml:space="preserve">represents trip volume in area j during period t, i on the right hand side denotes the index of trips.</w:t>
      </w:r>
      <w:r>
        <w:t xml:space="preserve"> </w:t>
      </w:r>
      <m:oMath>
        <m:sSub>
          <m:e>
            <m:r>
              <m:t>N</m:t>
            </m:r>
          </m:e>
          <m:sub>
            <m:r>
              <m:t>j</m:t>
            </m:r>
            <m:r>
              <m:rPr>
                <m:sty m:val="p"/>
              </m:rPr>
              <m:t>,</m:t>
            </m:r>
            <m:r>
              <m:t>t</m:t>
            </m:r>
          </m:sub>
        </m:sSub>
      </m:oMath>
      <w:r>
        <w:t xml:space="preserve"> </w:t>
      </w:r>
      <w:r>
        <w:t xml:space="preserve">is the total number of completed trips in area j during period t. Each completed trip contributes a value of 1 to the summation.</w:t>
      </w:r>
      <w:r>
        <w:t xml:space="preserve"> </w:t>
      </w:r>
      <w:r>
        <w:t xml:space="preserve">Observation selection note: In our data query, completed trips with valid data quality and a fare amount greater than $2.25 are included.</w:t>
      </w:r>
    </w:p>
    <w:bookmarkEnd w:id="106"/>
    <w:bookmarkStart w:id="108" w:name="trip-revenue-1"/>
    <w:p>
      <w:pPr>
        <w:pStyle w:val="Heading4"/>
      </w:pPr>
      <w:r>
        <w:t xml:space="preserve">Trip Revenue</w:t>
      </w:r>
    </w:p>
    <w:p>
      <w:pPr>
        <w:pStyle w:val="FirstParagraph"/>
      </w:pPr>
      <w:r>
        <w:t xml:space="preserve">Trip revenue is the total fare amount collected from all completed trips.</w:t>
      </w:r>
    </w:p>
    <w:p>
      <w:pPr>
        <w:pStyle w:val="BodyText"/>
      </w:pPr>
      <w:bookmarkStart w:id="107" w:name="eq-tv"/>
      <m:oMathPara>
        <m:oMathParaPr>
          <m:jc m:val="center"/>
        </m:oMathParaPr>
        <m:oMath>
          <m:r>
            <m:t>T</m:t>
          </m:r>
          <m:sSub>
            <m:e>
              <m:r>
                <m:t>R</m:t>
              </m:r>
            </m:e>
            <m:sub>
              <m:r>
                <m:t>j</m:t>
              </m:r>
              <m:r>
                <m:rPr>
                  <m:sty m:val="p"/>
                </m:rPr>
                <m:t>,</m:t>
              </m:r>
              <m:r>
                <m:t>t</m:t>
              </m:r>
            </m:sub>
          </m:sSub>
          <m:r>
            <m:rPr>
              <m:sty m:val="p"/>
            </m:rPr>
            <m:t>=</m:t>
          </m:r>
          <m:nary>
            <m:naryPr>
              <m:chr m:val="∑"/>
              <m:limLoc m:val="undOvr"/>
              <m:subHide m:val="off"/>
              <m:supHide m:val="off"/>
            </m:naryPr>
            <m:sub>
              <m:r>
                <m:t>i</m:t>
              </m:r>
              <m:r>
                <m:rPr>
                  <m:sty m:val="p"/>
                </m:rPr>
                <m:t>=</m:t>
              </m:r>
              <m:r>
                <m:t>1</m:t>
              </m:r>
            </m:sub>
            <m:sup>
              <m:sSub>
                <m:e>
                  <m:r>
                    <m:t>N</m:t>
                  </m:r>
                </m:e>
                <m:sub>
                  <m:r>
                    <m:t>j</m:t>
                  </m:r>
                  <m:r>
                    <m:rPr>
                      <m:sty m:val="p"/>
                    </m:rPr>
                    <m:t>,</m:t>
                  </m:r>
                  <m:r>
                    <m:t>t</m:t>
                  </m:r>
                </m:sub>
              </m:sSub>
            </m:sup>
            <m:e>
              <m:sSub>
                <m:e>
                  <m:r>
                    <m:t>r</m:t>
                  </m:r>
                </m:e>
                <m:sub>
                  <m:r>
                    <m:t>i</m:t>
                  </m:r>
                </m:sub>
              </m:sSub>
            </m:e>
          </m:nary>
          <m:r>
            <m:t>  </m:t>
          </m:r>
          <m:d>
            <m:dPr>
              <m:begChr m:val="("/>
              <m:sepChr m:val=""/>
              <m:endChr m:val=")"/>
              <m:grow/>
            </m:dPr>
            <m:e>
              <m:r>
                <m:t>2</m:t>
              </m:r>
            </m:e>
          </m:d>
        </m:oMath>
      </m:oMathPara>
      <w:bookmarkEnd w:id="107"/>
    </w:p>
    <w:p>
      <w:pPr>
        <w:pStyle w:val="FirstParagraph"/>
      </w:pPr>
      <w:r>
        <w:t xml:space="preserve">where</w:t>
      </w:r>
      <w:r>
        <w:t xml:space="preserve"> </w:t>
      </w:r>
      <m:oMath>
        <m:r>
          <m:t>T</m:t>
        </m:r>
        <m:sSub>
          <m:e>
            <m:r>
              <m:t>R</m:t>
            </m:r>
          </m:e>
          <m:sub>
            <m:r>
              <m:t>j</m:t>
            </m:r>
            <m:r>
              <m:rPr>
                <m:sty m:val="p"/>
              </m:rPr>
              <m:t>,</m:t>
            </m:r>
            <m:r>
              <m:t>t</m:t>
            </m:r>
          </m:sub>
        </m:sSub>
      </m:oMath>
      <w:r>
        <w:t xml:space="preserve"> </w:t>
      </w:r>
      <w:r>
        <w:t xml:space="preserve">represents trip revenue in area j during period t,</w:t>
      </w:r>
      <w:r>
        <w:t xml:space="preserve"> </w:t>
      </w:r>
      <m:oMath>
        <m:sSub>
          <m:e>
            <m:r>
              <m:t>r</m:t>
            </m:r>
          </m:e>
          <m:sub>
            <m:r>
              <m:t>i</m:t>
            </m:r>
          </m:sub>
        </m:sSub>
      </m:oMath>
      <w:r>
        <w:t xml:space="preserve"> </w:t>
      </w:r>
      <w:r>
        <w:t xml:space="preserve">is the gross revenue (reported to the Trip Database) with i indexes completed trips,</w:t>
      </w:r>
      <w:r>
        <w:t xml:space="preserve"> </w:t>
      </w:r>
      <m:oMath>
        <m:sSub>
          <m:e>
            <m:r>
              <m:t>N</m:t>
            </m:r>
          </m:e>
          <m:sub>
            <m:r>
              <m:t>j</m:t>
            </m:r>
            <m:r>
              <m:rPr>
                <m:sty m:val="p"/>
              </m:rPr>
              <m:t>,</m:t>
            </m:r>
            <m:r>
              <m:t>t</m:t>
            </m:r>
          </m:sub>
        </m:sSub>
      </m:oMath>
      <w:r>
        <w:t xml:space="preserve"> </w:t>
      </w:r>
      <w:r>
        <w:t xml:space="preserve">is the total number of completed trips in area j during period t.</w:t>
      </w:r>
      <w:r>
        <w:t xml:space="preserve"> </w:t>
      </w:r>
      <w:r>
        <w:t xml:space="preserve">Observation selection note: In our data query, completed trips with valid data quality (strictly positive duration) and a fare amount strictly greater than 0 are included.</w:t>
      </w:r>
    </w:p>
    <w:bookmarkEnd w:id="108"/>
    <w:bookmarkEnd w:id="109"/>
    <w:bookmarkStart w:id="111" w:name="accessibility-factorpn"/>
    <w:p>
      <w:pPr>
        <w:pStyle w:val="Heading3"/>
      </w:pPr>
      <w:r>
        <w:t xml:space="preserve">Accessibility Factor(PN)</w:t>
      </w:r>
    </w:p>
    <w:bookmarkStart w:id="110" w:name="X3f01986ff74be165f184185d370c44b7c5ee626"/>
    <w:p>
      <w:pPr>
        <w:pStyle w:val="Heading4"/>
      </w:pPr>
      <w:r>
        <w:t xml:space="preserve">Number of Wheelchair Accessible Vehicles (WAVs)</w:t>
      </w:r>
    </w:p>
    <w:p>
      <w:pPr>
        <w:pStyle w:val="FirstParagraph"/>
      </w:pPr>
      <w:r>
        <w:t xml:space="preserve">Recall that this indicator counts the number of distinct wheelchair-accessible vehicles (WAVs) that actively provided completed accessible trips during a given month.</w:t>
      </w:r>
      <w:r>
        <w:t xml:space="preserve"> </w:t>
      </w:r>
      <w:r>
        <w:t xml:space="preserve">Let:</w:t>
      </w:r>
      <w:r>
        <w:t xml:space="preserve"> </w:t>
      </w:r>
      <w:r>
        <w:t xml:space="preserve">-</w:t>
      </w:r>
      <w:r>
        <w:t xml:space="preserve"> </w:t>
      </w:r>
      <m:oMath>
        <m:r>
          <m:t>W</m:t>
        </m:r>
        <m:r>
          <m:t>A</m:t>
        </m:r>
        <m:sSub>
          <m:e>
            <m:r>
              <m:t>V</m:t>
            </m:r>
          </m:e>
          <m:sub>
            <m:r>
              <m:t>i</m:t>
            </m:r>
            <m:r>
              <m:rPr>
                <m:sty m:val="p"/>
              </m:rPr>
              <m:t>,</m:t>
            </m:r>
            <m:r>
              <m:t>t</m:t>
            </m:r>
          </m:sub>
        </m:sSub>
      </m:oMath>
      <w:r>
        <w:t xml:space="preserve">= Number of distinct WAVs active in pickup area i during month t, based on observed accessible trips.</w:t>
      </w:r>
      <w:r>
        <w:t xml:space="preserve"> </w:t>
      </w:r>
      <w:r>
        <w:t xml:space="preserve">Observation selection note: the following criteria and logic are applied:</w:t>
      </w:r>
      <w:r>
        <w:t xml:space="preserve"> </w:t>
      </w:r>
      <w:r>
        <w:t xml:space="preserve">- 1. Trip-Level Filters:</w:t>
      </w:r>
      <w:r>
        <w:t xml:space="preserve"> </w:t>
      </w:r>
      <w:r>
        <w:t xml:space="preserve">- Only completed trips.</w:t>
      </w:r>
      <w:r>
        <w:t xml:space="preserve"> </w:t>
      </w:r>
      <w:r>
        <w:t xml:space="preserve">- Trip type must be flagged as accessible.</w:t>
      </w:r>
      <w:r>
        <w:t xml:space="preserve"> </w:t>
      </w:r>
      <w:r>
        <w:t xml:space="preserve">- Trip type must be flagged as accessible.</w:t>
      </w:r>
      <w:r>
        <w:t xml:space="preserve"> </w:t>
      </w:r>
      <w:r>
        <w:t xml:space="preserve">- 2. Vehicle Identification:</w:t>
      </w:r>
      <w:r>
        <w:t xml:space="preserve"> </w:t>
      </w:r>
      <w:r>
        <w:t xml:space="preserve">- A WAV is counted as</w:t>
      </w:r>
      <w:r>
        <w:t xml:space="preserve"> </w:t>
      </w:r>
      <w:r>
        <w:t xml:space="preserve">“active”</w:t>
      </w:r>
      <w:r>
        <w:t xml:space="preserve"> </w:t>
      </w:r>
      <w:r>
        <w:t xml:space="preserve">if it is associated with at least one completed accessible trip during the month.</w:t>
      </w:r>
      <w:r>
        <w:t xml:space="preserve"> </w:t>
      </w:r>
      <w:r>
        <w:t xml:space="preserve">- Distinct WAVs are counted by unique VEHICLE_ID and VEHICLE_REGISTRATION_NO per area and month.</w:t>
      </w:r>
      <w:r>
        <w:t xml:space="preserve"> </w:t>
      </w:r>
      <w:r>
        <w:t xml:space="preserve">Note that regular trips by WAVs (i.e., not flagged as accessible riders) are excluded. Moreover, WAV status is inferred based on actual trip provision, not registry cross-referencing.</w:t>
      </w:r>
    </w:p>
    <w:bookmarkEnd w:id="110"/>
    <w:bookmarkEnd w:id="111"/>
    <w:bookmarkStart w:id="116" w:name="availability-indicatorpn"/>
    <w:p>
      <w:pPr>
        <w:pStyle w:val="Heading3"/>
      </w:pPr>
      <w:r>
        <w:t xml:space="preserve">Availability indicator(PN)</w:t>
      </w:r>
    </w:p>
    <w:p>
      <w:pPr>
        <w:pStyle w:val="FirstParagraph"/>
      </w:pPr>
      <w:r>
        <w:t xml:space="preserve">Recall that this indicator captures patterns in the presence of drivers, vehicles, and completed trips throughout the day.</w:t>
      </w:r>
      <w:r>
        <w:t xml:space="preserve"> </w:t>
      </w:r>
      <w:r>
        <w:t xml:space="preserve">This indicator is composed of three complementary metrics, each calculated by hour then aggregated monthly:</w:t>
      </w:r>
    </w:p>
    <w:bookmarkStart w:id="114" w:name="X794ff604ec7589a6da5a7aa8cdc983e7ce1c391"/>
    <w:p>
      <w:pPr>
        <w:pStyle w:val="Heading4"/>
      </w:pPr>
      <w:r>
        <w:t xml:space="preserve">Metric 1: Number of Active Vehicles per 1,000 Persons</w:t>
      </w:r>
    </w:p>
    <w:p>
      <w:pPr>
        <w:pStyle w:val="FirstParagraph"/>
      </w:pPr>
      <w:r>
        <w:t xml:space="preserve">The number of active vehicles per 1,000 persons is calculated as the ratio of total number of taxi and TNS active vehicles</w:t>
      </w:r>
      <w:r>
        <w:t xml:space="preserve"> </w:t>
      </w:r>
      <m:oMath>
        <m:sSub>
          <m:e>
            <m:r>
              <m:t>V</m:t>
            </m:r>
          </m:e>
          <m:sub>
            <m:r>
              <m:t>j</m:t>
            </m:r>
            <m:r>
              <m:rPr>
                <m:sty m:val="p"/>
              </m:rPr>
              <m:t>,</m:t>
            </m:r>
            <m:r>
              <m:t>t</m:t>
            </m:r>
          </m:sub>
        </m:sSub>
      </m:oMath>
      <w:r>
        <w:t xml:space="preserve"> </w:t>
      </w:r>
      <w:r>
        <w:t xml:space="preserve">in area j during time period t to the area’s population</w:t>
      </w:r>
      <w:r>
        <w:t xml:space="preserve"> </w:t>
      </w:r>
      <m:oMath>
        <m:d>
          <m:dPr>
            <m:begChr m:val="("/>
            <m:sepChr m:val=""/>
            <m:endChr m:val=")"/>
            <m:grow/>
          </m:dPr>
          <m:e>
            <m:sSub>
              <m:e>
                <m:r>
                  <m:t>P</m:t>
                </m:r>
              </m:e>
              <m:sub>
                <m:r>
                  <m:t>j</m:t>
                </m:r>
                <m:r>
                  <m:rPr>
                    <m:sty m:val="p"/>
                  </m:rPr>
                  <m:t>,</m:t>
                </m:r>
                <m:r>
                  <m:t>t</m:t>
                </m:r>
              </m:sub>
            </m:sSub>
          </m:e>
        </m:d>
      </m:oMath>
      <w:r>
        <w:t xml:space="preserve">, multiplied by 1,000.</w:t>
      </w:r>
    </w:p>
    <w:p>
      <w:pPr>
        <w:pStyle w:val="BodyText"/>
      </w:pPr>
      <w:bookmarkStart w:id="112" w:name="eq-tv"/>
      <m:oMathPara>
        <m:oMathParaPr>
          <m:jc m:val="center"/>
        </m:oMathParaPr>
        <m:oMath>
          <m:r>
            <m:t>N</m:t>
          </m:r>
          <m:r>
            <m:t>u</m:t>
          </m:r>
          <m:r>
            <m:t>m</m:t>
          </m:r>
          <m:r>
            <m:t>b</m:t>
          </m:r>
          <m:r>
            <m:t>e</m:t>
          </m:r>
          <m:r>
            <m:t>r</m:t>
          </m:r>
          <m:r>
            <m:t>o</m:t>
          </m:r>
          <m:r>
            <m:t>f</m:t>
          </m:r>
          <m:r>
            <m:t>A</m:t>
          </m:r>
          <m:r>
            <m:t>c</m:t>
          </m:r>
          <m:r>
            <m:t>t</m:t>
          </m:r>
          <m:r>
            <m:t>i</m:t>
          </m:r>
          <m:r>
            <m:t>v</m:t>
          </m:r>
          <m:r>
            <m:t>e</m:t>
          </m:r>
          <m:r>
            <m:t>V</m:t>
          </m:r>
          <m:r>
            <m:t>e</m:t>
          </m:r>
          <m:r>
            <m:t>h</m:t>
          </m:r>
          <m:r>
            <m:t>i</m:t>
          </m:r>
          <m:r>
            <m:t>c</m:t>
          </m:r>
          <m:r>
            <m:t>l</m:t>
          </m:r>
          <m:r>
            <m:t>e</m:t>
          </m:r>
          <m:r>
            <m:t>s</m:t>
          </m:r>
          <m:r>
            <m:t>P</m:t>
          </m:r>
          <m:r>
            <m:t>e</m:t>
          </m:r>
          <m:r>
            <m:t>r</m:t>
          </m:r>
          <m:r>
            <m:t>1000</m:t>
          </m:r>
          <m:r>
            <m:t>P</m:t>
          </m:r>
          <m:r>
            <m:t>e</m:t>
          </m:r>
          <m:r>
            <m:t>r</m:t>
          </m:r>
          <m:r>
            <m:t>s</m:t>
          </m:r>
          <m:r>
            <m:t>o</m:t>
          </m:r>
          <m:r>
            <m:t>n</m:t>
          </m:r>
          <m:sSub>
            <m:e>
              <m:r>
                <m:t>s</m:t>
              </m:r>
            </m:e>
            <m:sub>
              <m:r>
                <m:t>j</m:t>
              </m:r>
              <m:r>
                <m:rPr>
                  <m:sty m:val="p"/>
                </m:rPr>
                <m:t>,</m:t>
              </m:r>
              <m:r>
                <m:t>t</m:t>
              </m:r>
            </m:sub>
          </m:sSub>
          <m:r>
            <m:rPr>
              <m:sty m:val="p"/>
            </m:rPr>
            <m:t>=</m:t>
          </m:r>
          <m:f>
            <m:fPr>
              <m:type m:val="bar"/>
            </m:fPr>
            <m:num>
              <m:r>
                <m:rPr>
                  <m:sty m:val="p"/>
                </m:rPr>
                <m:t>|</m:t>
              </m:r>
              <m:sSub>
                <m:e>
                  <m:r>
                    <m:t>V</m:t>
                  </m:r>
                </m:e>
                <m:sub>
                  <m:r>
                    <m:t>j</m:t>
                  </m:r>
                  <m:r>
                    <m:rPr>
                      <m:sty m:val="p"/>
                    </m:rPr>
                    <m:t>,</m:t>
                  </m:r>
                  <m:r>
                    <m:t>t</m:t>
                  </m:r>
                </m:sub>
              </m:sSub>
              <m:r>
                <m:rPr>
                  <m:sty m:val="p"/>
                </m:rPr>
                <m:t>|</m:t>
              </m:r>
            </m:num>
            <m:den>
              <m:sSub>
                <m:e>
                  <m:r>
                    <m:t>P</m:t>
                  </m:r>
                </m:e>
                <m:sub>
                  <m:r>
                    <m:t>j</m:t>
                  </m:r>
                  <m:r>
                    <m:rPr>
                      <m:sty m:val="p"/>
                    </m:rPr>
                    <m:t>,</m:t>
                  </m:r>
                  <m:r>
                    <m:t>t</m:t>
                  </m:r>
                </m:sub>
              </m:sSub>
            </m:den>
          </m:f>
          <m:r>
            <m:rPr>
              <m:sty m:val="p"/>
            </m:rPr>
            <m:t>×</m:t>
          </m:r>
          <m:r>
            <m:t>1000</m:t>
          </m:r>
          <m:r>
            <m:t>  </m:t>
          </m:r>
          <m:d>
            <m:dPr>
              <m:begChr m:val="("/>
              <m:sepChr m:val=""/>
              <m:endChr m:val=")"/>
              <m:grow/>
            </m:dPr>
            <m:e>
              <m:r>
                <m:t>3</m:t>
              </m:r>
            </m:e>
          </m:d>
        </m:oMath>
      </m:oMathPara>
      <w:bookmarkEnd w:id="112"/>
    </w:p>
    <w:p>
      <w:pPr>
        <w:pStyle w:val="FirstParagraph"/>
      </w:pPr>
      <w:r>
        <w:t xml:space="preserve">#### Metric 2: Matching time by hour of the week</w:t>
      </w:r>
      <w:r>
        <w:t xml:space="preserve"> </w:t>
      </w:r>
      <w:r>
        <w:t xml:space="preserve">Trip-level wait time definition:</w:t>
      </w:r>
    </w:p>
    <w:p>
      <w:pPr>
        <w:pStyle w:val="BodyText"/>
      </w:pPr>
      <w:bookmarkStart w:id="113" w:name="eq-tv"/>
      <m:oMathPara>
        <m:oMathParaPr>
          <m:jc m:val="center"/>
        </m:oMathParaPr>
        <m:oMath>
          <m:sSub>
            <m:e>
              <m:r>
                <m:t>w</m:t>
              </m:r>
            </m:e>
            <m:sub>
              <m:r>
                <m:t>i</m:t>
              </m:r>
            </m:sub>
          </m:sSub>
          <m:r>
            <m:rPr>
              <m:sty m:val="p"/>
            </m:rPr>
            <m:t>=</m:t>
          </m:r>
          <m:sSubSup>
            <m:e>
              <m:r>
                <m:t>t</m:t>
              </m:r>
            </m:e>
            <m:sub>
              <m:r>
                <m:t>i</m:t>
              </m:r>
            </m:sub>
            <m:sup>
              <m:r>
                <m:t>p</m:t>
              </m:r>
            </m:sup>
          </m:sSubSup>
          <m:r>
            <m:rPr>
              <m:sty m:val="p"/>
            </m:rPr>
            <m:t>−</m:t>
          </m:r>
          <m:sSubSup>
            <m:e>
              <m:r>
                <m:t>t</m:t>
              </m:r>
            </m:e>
            <m:sub>
              <m:r>
                <m:t>i</m:t>
              </m:r>
            </m:sub>
            <m:sup>
              <m:r>
                <m:t>h</m:t>
              </m:r>
            </m:sup>
          </m:sSubSup>
          <m:r>
            <m:t>  </m:t>
          </m:r>
          <m:d>
            <m:dPr>
              <m:begChr m:val="("/>
              <m:sepChr m:val=""/>
              <m:endChr m:val=")"/>
              <m:grow/>
            </m:dPr>
            <m:e>
              <m:r>
                <m:t>4</m:t>
              </m:r>
            </m:e>
          </m:d>
        </m:oMath>
      </m:oMathPara>
      <w:bookmarkEnd w:id="113"/>
    </w:p>
    <w:p>
      <w:pPr>
        <w:pStyle w:val="FirstParagraph"/>
      </w:pPr>
      <w:r>
        <w:t xml:space="preserve">Where:</w:t>
      </w:r>
      <w:r>
        <w:t xml:space="preserve"> </w:t>
      </w:r>
      <m:oMath>
        <m:sSub>
          <m:e>
            <m:r>
              <m:t>t</m:t>
            </m:r>
          </m:e>
          <m:sub>
            <m:sSup>
              <m:e>
                <m:r>
                  <m:t>i</m:t>
                </m:r>
              </m:e>
              <m:sup>
                <m:r>
                  <m:t>p</m:t>
                </m:r>
              </m:sup>
            </m:sSup>
          </m:sub>
        </m:sSub>
      </m:oMath>
      <w:r>
        <w:t xml:space="preserve"> </w:t>
      </w:r>
      <w:r>
        <w:t xml:space="preserve">is pickup arrival time for trip</w:t>
      </w:r>
      <w:r>
        <w:t xml:space="preserve"> </w:t>
      </w:r>
      <m:oMath>
        <m:r>
          <m:t>i</m:t>
        </m:r>
      </m:oMath>
      <w:r>
        <w:t xml:space="preserve">,</w:t>
      </w:r>
      <w:r>
        <w:t xml:space="preserve"> </w:t>
      </w:r>
      <m:oMath>
        <m:sSub>
          <m:e>
            <m:r>
              <m:t>t</m:t>
            </m:r>
          </m:e>
          <m:sub>
            <m:sSup>
              <m:e>
                <m:r>
                  <m:t>i</m:t>
                </m:r>
              </m:e>
              <m:sup>
                <m:r>
                  <m:t>h</m:t>
                </m:r>
              </m:sup>
            </m:sSup>
          </m:sub>
        </m:sSub>
      </m:oMath>
      <w:r>
        <w:t xml:space="preserve"> </w:t>
      </w:r>
      <w:r>
        <w:t xml:space="preserve">is hail (request) time for trip</w:t>
      </w:r>
      <w:r>
        <w:t xml:space="preserve"> </w:t>
      </w:r>
      <m:oMath>
        <m:r>
          <m:t>i</m:t>
        </m:r>
      </m:oMath>
      <w:r>
        <w:t xml:space="preserve">. The reported value is the median wait time for trips occurring in a given hour of the reporting period.</w:t>
      </w:r>
    </w:p>
    <w:bookmarkEnd w:id="114"/>
    <w:bookmarkStart w:id="115" w:name="Xc38ea150b7799f5d914efd5bd25550fac1b679d"/>
    <w:p>
      <w:pPr>
        <w:pStyle w:val="Heading4"/>
      </w:pPr>
      <w:r>
        <w:t xml:space="preserve">Metric 3. Hourly vehicle availability pattern</w:t>
      </w:r>
    </w:p>
    <w:p>
      <w:pPr>
        <w:pStyle w:val="FirstParagraph"/>
      </w:pPr>
      <w:r>
        <w:t xml:space="preserve">Active vehicles by hour of week: The number of vehicles completed at least one trip during a given hour.</w:t>
      </w:r>
    </w:p>
    <w:bookmarkEnd w:id="115"/>
    <w:bookmarkEnd w:id="116"/>
    <w:bookmarkStart w:id="120" w:name="affordability-factorpn"/>
    <w:p>
      <w:pPr>
        <w:pStyle w:val="Heading3"/>
      </w:pPr>
      <w:r>
        <w:t xml:space="preserve">Affordability Factor(PN)</w:t>
      </w:r>
    </w:p>
    <w:p>
      <w:pPr>
        <w:pStyle w:val="FirstParagraph"/>
      </w:pPr>
      <w:r>
        <w:t xml:space="preserve">Fare Cost Indicator</w:t>
      </w:r>
      <w:r>
        <w:t xml:space="preserve"> </w:t>
      </w:r>
      <w:r>
        <w:t xml:space="preserve">Recall that indicator measures the effective cost of passenger services using two complementary metrics:Fare per Kilometre: based on actual trip-level fare and distance data; and Real cost for a 5 Kilometre Trip: this metric captures the fare cost of a five-kilometre trip, measured in labour compensation of a typical B.C. worker.</w:t>
      </w:r>
    </w:p>
    <w:bookmarkStart w:id="117" w:name="metric-1.-fare-for-a-5-km-trip"/>
    <w:p>
      <w:pPr>
        <w:pStyle w:val="Heading4"/>
      </w:pPr>
      <w:r>
        <w:t xml:space="preserve">Metric 1. Fare for a 5 km trip</w:t>
      </w:r>
    </w:p>
    <w:p>
      <w:pPr>
        <w:pStyle w:val="FirstParagraph"/>
      </w:pPr>
      <w:r>
        <w:t xml:space="preserve">This first metric estimates the typical fare a passenger would pay for a 5 km trip, using actual trip records where the total trip distance falls within a ±0.25 km buffer (i.e., trips with distance between 4.75 km and 5.25 km).</w:t>
      </w:r>
    </w:p>
    <w:p>
      <w:pPr>
        <w:pStyle w:val="BodyText"/>
      </w:pPr>
      <w:r>
        <w:t xml:space="preserve">Reported Statistics:</w:t>
      </w:r>
      <w:r>
        <w:t xml:space="preserve"> </w:t>
      </w:r>
      <w:r>
        <w:t xml:space="preserve">- The 10th, 50th (median), and 90th percentiles of the fare distribution for (approximately, with ±0.25 km buffer) 5 km trips.</w:t>
      </w:r>
      <w:r>
        <w:t xml:space="preserve"> </w:t>
      </w:r>
      <w:r>
        <w:t xml:space="preserve">Observation selection note:</w:t>
      </w:r>
      <w:r>
        <w:t xml:space="preserve"> </w:t>
      </w:r>
      <w:r>
        <w:t xml:space="preserve">- Completed trips, non-zero fare, valid data</w:t>
      </w:r>
      <w:r>
        <w:t xml:space="preserve"> </w:t>
      </w:r>
      <w:r>
        <w:t xml:space="preserve">- Distance filter: 4.75≤</w:t>
      </w:r>
      <m:oMath>
        <m:sSub>
          <m:e>
            <m:r>
              <m:t>d</m:t>
            </m:r>
          </m:e>
          <m:sub>
            <m:r>
              <m:t>i</m:t>
            </m:r>
          </m:sub>
        </m:sSub>
      </m:oMath>
      <w:r>
        <w:t xml:space="preserve">≤5.25km</w:t>
      </w:r>
      <w:r>
        <w:t xml:space="preserve"> </w:t>
      </w:r>
      <w:r>
        <w:t xml:space="preserve">This serves as a standardized pricing benchmark, independent of trip distance variability. It is useful for understanding market-level pricing consistency, and differences between operators.</w:t>
      </w:r>
    </w:p>
    <w:bookmarkEnd w:id="117"/>
    <w:bookmarkStart w:id="119" w:name="metric-2-real-cost-for-a-5-km-trip"/>
    <w:p>
      <w:pPr>
        <w:pStyle w:val="Heading4"/>
      </w:pPr>
      <w:r>
        <w:t xml:space="preserve">Metric 2: Real cost for a 5 km trip</w:t>
      </w:r>
    </w:p>
    <w:p>
      <w:pPr>
        <w:pStyle w:val="FirstParagraph"/>
      </w:pPr>
      <w:r>
        <w:t xml:space="preserve">In this metric, tThe 5 km fare is also converted into real terms, expressed in minutes of labour by a typical B.C. worker. This is computed as:</w:t>
      </w:r>
    </w:p>
    <w:p>
      <w:pPr>
        <w:pStyle w:val="BodyText"/>
      </w:pPr>
      <w:bookmarkStart w:id="118" w:name="eq-tv"/>
      <m:oMathPara>
        <m:oMathParaPr>
          <m:jc m:val="center"/>
        </m:oMathParaPr>
        <m:oMath>
          <m:r>
            <m:t>R</m:t>
          </m:r>
          <m:r>
            <m:t>e</m:t>
          </m:r>
          <m:r>
            <m:t>a</m:t>
          </m:r>
          <m:r>
            <m:t>l</m:t>
          </m:r>
          <m:r>
            <m:t>C</m:t>
          </m:r>
          <m:r>
            <m:t>o</m:t>
          </m:r>
          <m:r>
            <m:t>s</m:t>
          </m:r>
          <m:r>
            <m:t>t</m:t>
          </m:r>
          <m:r>
            <m:rPr>
              <m:sty m:val="p"/>
            </m:rPr>
            <m:t>=</m:t>
          </m:r>
          <m:r>
            <m:t>F</m:t>
          </m:r>
          <m:r>
            <m:t>a</m:t>
          </m:r>
          <m:r>
            <m:t>r</m:t>
          </m:r>
          <m:r>
            <m:t>e</m:t>
          </m:r>
          <m:d>
            <m:dPr>
              <m:begChr m:val="("/>
              <m:sepChr m:val=""/>
              <m:endChr m:val=")"/>
              <m:grow/>
            </m:dPr>
            <m:e>
              <m:r>
                <m:t>5</m:t>
              </m:r>
              <m:r>
                <m:t>k</m:t>
              </m:r>
              <m:r>
                <m:t>m</m:t>
              </m:r>
            </m:e>
          </m:d>
          <m:r>
            <m:rPr>
              <m:sty m:val="p"/>
            </m:rPr>
            <m:t>/</m:t>
          </m:r>
          <m:r>
            <m:t>H</m:t>
          </m:r>
          <m:r>
            <m:t>o</m:t>
          </m:r>
          <m:r>
            <m:t>u</m:t>
          </m:r>
          <m:r>
            <m:t>r</m:t>
          </m:r>
          <m:r>
            <m:t>l</m:t>
          </m:r>
          <m:r>
            <m:t>y</m:t>
          </m:r>
          <m:r>
            <m:t>W</m:t>
          </m:r>
          <m:r>
            <m:t>a</m:t>
          </m:r>
          <m:r>
            <m:t>g</m:t>
          </m:r>
          <m:r>
            <m:t>e</m:t>
          </m:r>
          <m:r>
            <m:rPr>
              <m:sty m:val="p"/>
            </m:rPr>
            <m:t>×</m:t>
          </m:r>
          <m:r>
            <m:t>60</m:t>
          </m:r>
          <m:r>
            <m:t>  </m:t>
          </m:r>
          <m:d>
            <m:dPr>
              <m:begChr m:val="("/>
              <m:sepChr m:val=""/>
              <m:endChr m:val=")"/>
              <m:grow/>
            </m:dPr>
            <m:e>
              <m:r>
                <m:t>5</m:t>
              </m:r>
            </m:e>
          </m:d>
        </m:oMath>
      </m:oMathPara>
      <w:bookmarkEnd w:id="118"/>
    </w:p>
    <w:p>
      <w:pPr>
        <w:pStyle w:val="FirstParagraph"/>
      </w:pPr>
      <w:r>
        <w:t xml:space="preserve">This helps translates nominal pricing into affordability context.</w:t>
      </w:r>
      <w:r>
        <w:t xml:space="preserve"> </w:t>
      </w:r>
      <w:r>
        <w:t xml:space="preserve">Observation selection note: the same selection logics as in Metric 1 were applied.</w:t>
      </w:r>
    </w:p>
    <w:bookmarkEnd w:id="119"/>
    <w:bookmarkEnd w:id="120"/>
    <w:bookmarkStart w:id="121" w:name="safety-factorpn"/>
    <w:p>
      <w:pPr>
        <w:pStyle w:val="Heading3"/>
      </w:pPr>
      <w:r>
        <w:t xml:space="preserve">Safety Factor(PN)</w:t>
      </w:r>
    </w:p>
    <w:p>
      <w:pPr>
        <w:pStyle w:val="FirstParagraph"/>
      </w:pPr>
      <w:r>
        <w:t xml:space="preserve">There is no analysis related to this factor.</w:t>
      </w:r>
    </w:p>
    <w:bookmarkEnd w:id="121"/>
    <w:bookmarkStart w:id="124" w:name="service-quality-factorpn"/>
    <w:p>
      <w:pPr>
        <w:pStyle w:val="Heading3"/>
      </w:pPr>
      <w:r>
        <w:t xml:space="preserve">Service Quality Factor(PN)</w:t>
      </w:r>
    </w:p>
    <w:bookmarkStart w:id="123" w:name="wait-time-1"/>
    <w:p>
      <w:pPr>
        <w:pStyle w:val="Heading4"/>
      </w:pPr>
      <w:r>
        <w:t xml:space="preserve">Wait Time</w:t>
      </w:r>
    </w:p>
    <w:p>
      <w:pPr>
        <w:pStyle w:val="FirstParagraph"/>
      </w:pPr>
      <w:r>
        <w:t xml:space="preserve">Recall that this indicator is defined as the duration (in minutes) between the time a trip was requested and when the passenger was picked up.</w:t>
      </w:r>
      <w:r>
        <w:t xml:space="preserve"> </w:t>
      </w:r>
      <w:r>
        <w:t xml:space="preserve">Let:</w:t>
      </w:r>
      <w:r>
        <w:t xml:space="preserve"> </w:t>
      </w:r>
      <w:r>
        <w:t xml:space="preserve">- i: index for trips</w:t>
      </w:r>
      <w:r>
        <w:t xml:space="preserve"> </w:t>
      </w:r>
      <w:r>
        <w:t xml:space="preserve">-</w:t>
      </w:r>
      <w:r>
        <w:t xml:space="preserve"> </w:t>
      </w:r>
      <m:oMath>
        <m:sSub>
          <m:e>
            <m:r>
              <m:t>w</m:t>
            </m:r>
          </m:e>
          <m:sub>
            <m:r>
              <m:t>i</m:t>
            </m:r>
          </m:sub>
        </m:sSub>
      </m:oMath>
      <w:r>
        <w:t xml:space="preserve">= wait time for trip i</w:t>
      </w:r>
      <w:r>
        <w:t xml:space="preserve"> </w:t>
      </w:r>
      <w:r>
        <w:t xml:space="preserve">-</w:t>
      </w:r>
      <w:r>
        <w:t xml:space="preserve"> </w:t>
      </w:r>
      <m:oMath>
        <m:sSubSup>
          <m:e>
            <m:r>
              <m:t>t</m:t>
            </m:r>
          </m:e>
          <m:sub>
            <m:r>
              <m:t>i</m:t>
            </m:r>
          </m:sub>
          <m:sup>
            <m:r>
              <m:t>p</m:t>
            </m:r>
          </m:sup>
        </m:sSubSup>
      </m:oMath>
      <w:r>
        <w:t xml:space="preserve">= pickup arrival time for trip i</w:t>
      </w:r>
      <w:r>
        <w:t xml:space="preserve"> </w:t>
      </w:r>
      <w:r>
        <w:t xml:space="preserve">-</w:t>
      </w:r>
      <w:r>
        <w:t xml:space="preserve"> </w:t>
      </w:r>
      <m:oMath>
        <m:sSubSup>
          <m:e>
            <m:r>
              <m:t>t</m:t>
            </m:r>
          </m:e>
          <m:sub>
            <m:r>
              <m:t>i</m:t>
            </m:r>
          </m:sub>
          <m:sup>
            <m:r>
              <m:t>h</m:t>
            </m:r>
          </m:sup>
        </m:sSubSup>
      </m:oMath>
      <w:r>
        <w:t xml:space="preserve">= hail (request) time for trip i</w:t>
      </w:r>
      <w:r>
        <w:t xml:space="preserve"> </w:t>
      </w:r>
      <w:r>
        <w:t xml:space="preserve">Then:</w:t>
      </w:r>
    </w:p>
    <w:p>
      <w:pPr>
        <w:pStyle w:val="BodyText"/>
      </w:pPr>
      <w:bookmarkStart w:id="122" w:name="eq-tv"/>
      <m:oMathPara>
        <m:oMathParaPr>
          <m:jc m:val="center"/>
        </m:oMathParaPr>
        <m:oMath>
          <m:sSub>
            <m:e>
              <m:r>
                <m:t>w</m:t>
              </m:r>
            </m:e>
            <m:sub>
              <m:r>
                <m:t>i</m:t>
              </m:r>
            </m:sub>
          </m:sSub>
          <m:r>
            <m:rPr>
              <m:sty m:val="p"/>
            </m:rPr>
            <m:t>=</m:t>
          </m:r>
          <m:sSubSup>
            <m:e>
              <m:r>
                <m:t>t</m:t>
              </m:r>
            </m:e>
            <m:sub>
              <m:r>
                <m:t>i</m:t>
              </m:r>
            </m:sub>
            <m:sup>
              <m:r>
                <m:t>p</m:t>
              </m:r>
            </m:sup>
          </m:sSubSup>
          <m:r>
            <m:rPr>
              <m:sty m:val="p"/>
            </m:rPr>
            <m:t>−</m:t>
          </m:r>
          <m:sSubSup>
            <m:e>
              <m:r>
                <m:t>t</m:t>
              </m:r>
            </m:e>
            <m:sub>
              <m:r>
                <m:t>i</m:t>
              </m:r>
            </m:sub>
            <m:sup>
              <m:r>
                <m:t>h</m:t>
              </m:r>
            </m:sup>
          </m:sSubSup>
          <m:r>
            <m:t>  </m:t>
          </m:r>
          <m:d>
            <m:dPr>
              <m:begChr m:val="("/>
              <m:sepChr m:val=""/>
              <m:endChr m:val=")"/>
              <m:grow/>
            </m:dPr>
            <m:e>
              <m:r>
                <m:t>6</m:t>
              </m:r>
            </m:e>
          </m:d>
        </m:oMath>
      </m:oMathPara>
      <w:bookmarkEnd w:id="122"/>
    </w:p>
    <w:p>
      <w:pPr>
        <w:pStyle w:val="FirstParagraph"/>
      </w:pPr>
      <w:r>
        <w:t xml:space="preserve">Reported Statistics:</w:t>
      </w:r>
      <w:r>
        <w:t xml:space="preserve"> </w:t>
      </w:r>
      <w:r>
        <w:t xml:space="preserve">- The median wait time per month is reported, calculated separately by:</w:t>
      </w:r>
      <w:r>
        <w:t xml:space="preserve"> </w:t>
      </w:r>
      <w:r>
        <w:t xml:space="preserve">-Pickup area, trip service type (e.g., Taxi vs. TNS), and geospatial area type,</w:t>
      </w:r>
      <w:r>
        <w:t xml:space="preserve"> </w:t>
      </w:r>
      <w:r>
        <w:t xml:space="preserve">- The SQL uses the PERCENTILE_CONT(0.5) window function to compute the median of wait times (in minutes) for each grouping by year and month.</w:t>
      </w:r>
      <w:r>
        <w:t xml:space="preserve"> </w:t>
      </w:r>
      <w:r>
        <w:t xml:space="preserve">Observation selection note:</w:t>
      </w:r>
      <w:r>
        <w:t xml:space="preserve"> </w:t>
      </w:r>
      <w:r>
        <w:t xml:space="preserve">- Select only trips with wait time between 10 seconds and 24 hours.</w:t>
      </w:r>
      <w:r>
        <w:t xml:space="preserve"> </w:t>
      </w:r>
      <w:r>
        <w:t xml:space="preserve">- Excluding flagged street-hail trips.</w:t>
      </w:r>
      <w:r>
        <w:t xml:space="preserve"> </w:t>
      </w:r>
      <w:r>
        <w:t xml:space="preserve">- Excluding pre-booked trips.</w:t>
      </w:r>
      <w:r>
        <w:t xml:space="preserve"> </w:t>
      </w:r>
      <w:r>
        <w:t xml:space="preserve">- Keeping only trips with valid data quality and flagged as completed.</w:t>
      </w:r>
    </w:p>
    <w:bookmarkEnd w:id="123"/>
    <w:bookmarkEnd w:id="124"/>
    <w:bookmarkStart w:id="130" w:name="competition-factor-sec"/>
    <w:p>
      <w:pPr>
        <w:pStyle w:val="Heading3"/>
      </w:pPr>
      <w:r>
        <w:t xml:space="preserve">Competition Factor (SEC)</w:t>
      </w:r>
    </w:p>
    <w:p>
      <w:pPr>
        <w:pStyle w:val="FirstParagraph"/>
      </w:pPr>
      <w:r>
        <w:t xml:space="preserve">There is no analysis related to this factor.</w:t>
      </w:r>
      <w:r>
        <w:t xml:space="preserve"> </w:t>
      </w:r>
      <w:r>
        <w:t xml:space="preserve">### Innovation Factor (SEC)</w:t>
      </w:r>
      <w:r>
        <w:t xml:space="preserve"> </w:t>
      </w:r>
      <w:r>
        <w:t xml:space="preserve">There is no analysis related to this factor.</w:t>
      </w:r>
    </w:p>
    <w:bookmarkStart w:id="129" w:name="concentration-indices"/>
    <w:p>
      <w:pPr>
        <w:pStyle w:val="Heading4"/>
      </w:pPr>
      <w:r>
        <w:t xml:space="preserve">Concentration Indices</w:t>
      </w:r>
    </w:p>
    <w:p>
      <w:pPr>
        <w:pStyle w:val="FirstParagraph"/>
      </w:pPr>
      <w:r>
        <w:t xml:space="preserve">Herfindahl-Hirschman Index (HHI) and Theil Index are both measures of market concentration.</w:t>
      </w:r>
      <w:r>
        <w:t xml:space="preserve"> </w:t>
      </w:r>
      <w:r>
        <w:t xml:space="preserve">The HHI index is calculated by summing the squares of each firm’s market share, with lower values indicating more competition and higher values suggesting greater concentration. Specifically, the corresponding HHI Index for a given region is constructed as follows:</w:t>
      </w:r>
    </w:p>
    <w:p>
      <w:pPr>
        <w:pStyle w:val="BodyText"/>
      </w:pPr>
      <w:bookmarkStart w:id="125" w:name="eq-tv"/>
      <m:oMathPara>
        <m:oMathParaPr>
          <m:jc m:val="center"/>
        </m:oMathParaPr>
        <m:oMath>
          <m:r>
            <m:t>H</m:t>
          </m:r>
          <m:r>
            <m:t>H</m:t>
          </m:r>
          <m:sSub>
            <m:e>
              <m:r>
                <m:t>I</m:t>
              </m:r>
            </m:e>
            <m:sub>
              <m:r>
                <m:t>j</m:t>
              </m:r>
              <m:r>
                <m:rPr>
                  <m:sty m:val="p"/>
                </m:rPr>
                <m:t>,</m:t>
              </m:r>
              <m:r>
                <m:t>t</m:t>
              </m:r>
            </m:sub>
          </m:sSub>
          <m:r>
            <m:rPr>
              <m:sty m:val="p"/>
            </m:rPr>
            <m:t>=</m:t>
          </m:r>
          <m:nary>
            <m:naryPr>
              <m:chr m:val="∑"/>
              <m:limLoc m:val="undOvr"/>
              <m:subHide m:val="off"/>
              <m:supHide m:val="off"/>
            </m:naryPr>
            <m:sub>
              <m:r>
                <m:t>i</m:t>
              </m:r>
              <m:r>
                <m:rPr>
                  <m:sty m:val="p"/>
                </m:rPr>
                <m:t>=</m:t>
              </m:r>
              <m:r>
                <m:t>1</m:t>
              </m:r>
            </m:sub>
            <m:sup>
              <m:r>
                <m:t>n</m:t>
              </m:r>
            </m:sup>
            <m:e>
              <m:sSubSup>
                <m:e>
                  <m:r>
                    <m:t>s</m:t>
                  </m:r>
                </m:e>
                <m:sub>
                  <m:r>
                    <m:t>i</m:t>
                  </m:r>
                  <m:r>
                    <m:rPr>
                      <m:sty m:val="p"/>
                    </m:rPr>
                    <m:t>,</m:t>
                  </m:r>
                  <m:r>
                    <m:t>j</m:t>
                  </m:r>
                  <m:r>
                    <m:rPr>
                      <m:sty m:val="p"/>
                    </m:rPr>
                    <m:t>,</m:t>
                  </m:r>
                  <m:r>
                    <m:t>t</m:t>
                  </m:r>
                </m:sub>
                <m:sup>
                  <m:r>
                    <m:t>2</m:t>
                  </m:r>
                </m:sup>
              </m:sSubSup>
            </m:e>
          </m:nary>
          <m:r>
            <m:t>  </m:t>
          </m:r>
          <m:d>
            <m:dPr>
              <m:begChr m:val="("/>
              <m:sepChr m:val=""/>
              <m:endChr m:val=")"/>
              <m:grow/>
            </m:dPr>
            <m:e>
              <m:r>
                <m:t>7</m:t>
              </m:r>
            </m:e>
          </m:d>
        </m:oMath>
      </m:oMathPara>
      <w:bookmarkEnd w:id="125"/>
    </w:p>
    <w:p>
      <w:pPr>
        <w:pStyle w:val="FirstParagraph"/>
      </w:pPr>
      <w:r>
        <w:t xml:space="preserve">where</w:t>
      </w:r>
      <w:r>
        <w:t xml:space="preserve"> </w:t>
      </w:r>
      <m:oMath>
        <m:sSub>
          <m:e>
            <m:r>
              <m:t>s</m:t>
            </m:r>
          </m:e>
          <m:sub>
            <m:r>
              <m:t>i</m:t>
            </m:r>
            <m:r>
              <m:rPr>
                <m:sty m:val="p"/>
              </m:rPr>
              <m:t>,</m:t>
            </m:r>
            <m:r>
              <m:t>j</m:t>
            </m:r>
            <m:r>
              <m:rPr>
                <m:sty m:val="p"/>
              </m:rPr>
              <m:t>,</m:t>
            </m:r>
            <m:r>
              <m:t>t</m:t>
            </m:r>
          </m:sub>
        </m:sSub>
      </m:oMath>
      <w:r>
        <w:t xml:space="preserve">is the market share of firm i in area j during period t, and n is the total number of companies The Theil Index is based on the concept of entropy from information theory. It measures the deviation of a distribution (like market shares) from a perfectly equal distribution. Specifically, the corresponding Theil Index for a given region is constructed as follows:</w:t>
      </w:r>
    </w:p>
    <w:p>
      <w:pPr>
        <w:pStyle w:val="BodyText"/>
      </w:pPr>
      <w:bookmarkStart w:id="126" w:name="eq-tv"/>
      <m:oMathPara>
        <m:oMathParaPr>
          <m:jc m:val="center"/>
        </m:oMathParaPr>
        <m:oMath>
          <m:r>
            <m:t>T</m:t>
          </m:r>
          <m:r>
            <m:rPr>
              <m:sty m:val="p"/>
            </m:rPr>
            <m:t>=</m:t>
          </m:r>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x</m:t>
                          </m:r>
                        </m:e>
                        <m:sub>
                          <m:r>
                            <m:t>i</m:t>
                          </m:r>
                        </m:sub>
                      </m:sSub>
                    </m:num>
                    <m:den>
                      <m:r>
                        <m:t>μ</m:t>
                      </m:r>
                    </m:den>
                  </m:f>
                  <m:r>
                    <m:rPr>
                      <m:sty m:val="p"/>
                    </m:rPr>
                    <m:t>ln</m:t>
                  </m:r>
                  <m:r>
                    <m:t>​</m:t>
                  </m:r>
                  <m:d>
                    <m:dPr>
                      <m:begChr m:val="("/>
                      <m:sepChr m:val=""/>
                      <m:endChr m:val=")"/>
                      <m:grow/>
                    </m:dPr>
                    <m:e>
                      <m:f>
                        <m:fPr>
                          <m:type m:val="bar"/>
                        </m:fPr>
                        <m:num>
                          <m:sSub>
                            <m:e>
                              <m:r>
                                <m:t>x</m:t>
                              </m:r>
                            </m:e>
                            <m:sub>
                              <m:r>
                                <m:t>i</m:t>
                              </m:r>
                            </m:sub>
                          </m:sSub>
                        </m:num>
                        <m:den>
                          <m:r>
                            <m:t>μ</m:t>
                          </m:r>
                        </m:den>
                      </m:f>
                    </m:e>
                  </m:d>
                </m:e>
              </m:d>
            </m:e>
          </m:nary>
          <m:r>
            <m:t>  </m:t>
          </m:r>
          <m:d>
            <m:dPr>
              <m:begChr m:val="("/>
              <m:sepChr m:val=""/>
              <m:endChr m:val=")"/>
              <m:grow/>
            </m:dPr>
            <m:e>
              <m:r>
                <m:t>8</m:t>
              </m:r>
            </m:e>
          </m:d>
        </m:oMath>
      </m:oMathPara>
      <w:bookmarkEnd w:id="126"/>
    </w:p>
    <w:p>
      <w:pPr>
        <w:pStyle w:val="FirstParagraph"/>
      </w:pPr>
      <w:r>
        <w:t xml:space="preserve">where n is the total number of companies, and</w:t>
      </w:r>
      <w:r>
        <w:t xml:space="preserve"> </w:t>
      </w:r>
      <m:oMath>
        <m:sSub>
          <m:e>
            <m:r>
              <m:t>x</m:t>
            </m:r>
          </m:e>
          <m:sub>
            <m:r>
              <m:t>i</m:t>
            </m:r>
          </m:sub>
        </m:sSub>
      </m:oMath>
      <w:r>
        <w:t xml:space="preserve"> </w:t>
      </w:r>
      <w:r>
        <w:t xml:space="preserve">represents the revenue share of the</w:t>
      </w:r>
      <w:r>
        <w:t xml:space="preserve"> </w:t>
      </w:r>
      <m:oMath>
        <m:sSup>
          <m:e>
            <m:r>
              <m:t>i</m:t>
            </m:r>
          </m:e>
          <m:sup>
            <m:r>
              <m:t>t</m:t>
            </m:r>
            <m:r>
              <m:t>h</m:t>
            </m:r>
          </m:sup>
        </m:sSup>
      </m:oMath>
      <w:r>
        <w:t xml:space="preserve"> </w:t>
      </w:r>
      <w:r>
        <w:t xml:space="preserve">entity and μ is the average share. The Theil decomposition is conducted as follows:</w:t>
      </w:r>
    </w:p>
    <w:p>
      <w:pPr>
        <w:pStyle w:val="BodyText"/>
      </w:pPr>
      <w:bookmarkStart w:id="127" w:name="eq-tv"/>
      <m:oMathPara>
        <m:oMathParaPr>
          <m:jc m:val="center"/>
        </m:oMathParaPr>
        <m:oMath>
          <m:r>
            <m:t>T</m:t>
          </m:r>
          <m:r>
            <m:rPr>
              <m:sty m:val="p"/>
            </m:rPr>
            <m:t>=</m:t>
          </m:r>
          <m:nary>
            <m:naryPr>
              <m:chr m:val="∑"/>
              <m:limLoc m:val="undOvr"/>
              <m:subHide m:val="off"/>
              <m:supHide m:val="off"/>
            </m:naryPr>
            <m:sub>
              <m:r>
                <m:t>j</m:t>
              </m:r>
              <m:r>
                <m:rPr>
                  <m:sty m:val="p"/>
                </m:rPr>
                <m:t>=</m:t>
              </m:r>
              <m:r>
                <m:t>1</m:t>
              </m:r>
            </m:sub>
            <m:sup>
              <m:r>
                <m:t>k</m:t>
              </m:r>
            </m:sup>
            <m:e>
              <m:d>
                <m:dPr>
                  <m:begChr m:val="("/>
                  <m:sepChr m:val=""/>
                  <m:endChr m:val=")"/>
                  <m:grow/>
                </m:dPr>
                <m:e>
                  <m:f>
                    <m:fPr>
                      <m:type m:val="bar"/>
                    </m:fPr>
                    <m:num>
                      <m:sSub>
                        <m:e>
                          <m:r>
                            <m:t>n</m:t>
                          </m:r>
                        </m:e>
                        <m:sub>
                          <m:r>
                            <m:t>j</m:t>
                          </m:r>
                        </m:sub>
                      </m:sSub>
                    </m:num>
                    <m:den>
                      <m:r>
                        <m:t>n</m:t>
                      </m:r>
                    </m:den>
                  </m:f>
                  <m:f>
                    <m:fPr>
                      <m:type m:val="bar"/>
                    </m:fPr>
                    <m:num>
                      <m:sSub>
                        <m:e>
                          <m:r>
                            <m:t>y</m:t>
                          </m:r>
                        </m:e>
                        <m:sub>
                          <m:r>
                            <m:t>j</m:t>
                          </m:r>
                        </m:sub>
                      </m:sSub>
                    </m:num>
                    <m:den>
                      <m:r>
                        <m:t>y</m:t>
                      </m:r>
                    </m:den>
                  </m:f>
                  <m:r>
                    <m:rPr>
                      <m:sty m:val="p"/>
                    </m:rPr>
                    <m:t>ln</m:t>
                  </m:r>
                  <m:r>
                    <m:t>​</m:t>
                  </m:r>
                  <m:d>
                    <m:dPr>
                      <m:begChr m:val="("/>
                      <m:sepChr m:val=""/>
                      <m:endChr m:val=")"/>
                      <m:grow/>
                    </m:dPr>
                    <m:e>
                      <m:f>
                        <m:fPr>
                          <m:type m:val="bar"/>
                        </m:fPr>
                        <m:num>
                          <m:sSub>
                            <m:e>
                              <m:r>
                                <m:t>y</m:t>
                              </m:r>
                            </m:e>
                            <m:sub>
                              <m:r>
                                <m:t>j</m:t>
                              </m:r>
                            </m:sub>
                          </m:sSub>
                        </m:num>
                        <m:den>
                          <m:r>
                            <m:t>y</m:t>
                          </m:r>
                        </m:den>
                      </m:f>
                    </m:e>
                  </m:d>
                </m:e>
              </m:d>
            </m:e>
          </m:nary>
          <m:r>
            <m:rPr>
              <m:sty m:val="p"/>
            </m:rPr>
            <m:t>+</m:t>
          </m:r>
          <m:nary>
            <m:naryPr>
              <m:chr m:val="∑"/>
              <m:limLoc m:val="undOvr"/>
              <m:subHide m:val="off"/>
              <m:supHide m:val="off"/>
            </m:naryPr>
            <m:sub>
              <m:r>
                <m:t>j</m:t>
              </m:r>
              <m:r>
                <m:rPr>
                  <m:sty m:val="p"/>
                </m:rPr>
                <m:t>=</m:t>
              </m:r>
              <m:r>
                <m:t>1</m:t>
              </m:r>
            </m:sub>
            <m:sup>
              <m:r>
                <m:t>k</m:t>
              </m:r>
            </m:sup>
            <m:e>
              <m:d>
                <m:dPr>
                  <m:begChr m:val="("/>
                  <m:sepChr m:val=""/>
                  <m:endChr m:val=")"/>
                  <m:grow/>
                </m:dPr>
                <m:e>
                  <m:f>
                    <m:fPr>
                      <m:type m:val="bar"/>
                    </m:fPr>
                    <m:num>
                      <m:sSub>
                        <m:e>
                          <m:r>
                            <m:t>y</m:t>
                          </m:r>
                        </m:e>
                        <m:sub>
                          <m:r>
                            <m:t>j</m:t>
                          </m:r>
                        </m:sub>
                      </m:sSub>
                    </m:num>
                    <m:den>
                      <m:r>
                        <m:t>y</m:t>
                      </m:r>
                    </m:den>
                  </m:f>
                  <m:nary>
                    <m:naryPr>
                      <m:chr m:val="∑"/>
                      <m:limLoc m:val="undOvr"/>
                      <m:subHide m:val="off"/>
                      <m:supHide m:val="off"/>
                    </m:naryPr>
                    <m:sub>
                      <m:r>
                        <m:t>i</m:t>
                      </m:r>
                      <m:r>
                        <m:rPr>
                          <m:sty m:val="p"/>
                        </m:rPr>
                        <m:t>=</m:t>
                      </m:r>
                      <m:r>
                        <m:t>1</m:t>
                      </m:r>
                    </m:sub>
                    <m:sup>
                      <m:sSub>
                        <m:e>
                          <m:r>
                            <m:t>n</m:t>
                          </m:r>
                        </m:e>
                        <m:sub>
                          <m:r>
                            <m:t>j</m:t>
                          </m:r>
                        </m:sub>
                      </m:sSub>
                    </m:sup>
                    <m:e>
                      <m:f>
                        <m:fPr>
                          <m:type m:val="bar"/>
                        </m:fPr>
                        <m:num>
                          <m:sSub>
                            <m:e>
                              <m:r>
                                <m:t>y</m:t>
                              </m:r>
                            </m:e>
                            <m:sub>
                              <m:r>
                                <m:t>i</m:t>
                              </m:r>
                              <m:r>
                                <m:t>j</m:t>
                              </m:r>
                            </m:sub>
                          </m:sSub>
                        </m:num>
                        <m:den>
                          <m:sSub>
                            <m:e>
                              <m:r>
                                <m:t>y</m:t>
                              </m:r>
                            </m:e>
                            <m:sub>
                              <m:r>
                                <m:t>j</m:t>
                              </m:r>
                            </m:sub>
                          </m:sSub>
                        </m:den>
                      </m:f>
                    </m:e>
                  </m:nary>
                  <m:r>
                    <m:rPr>
                      <m:sty m:val="p"/>
                    </m:rPr>
                    <m:t>ln</m:t>
                  </m:r>
                  <m:r>
                    <m:t>​</m:t>
                  </m:r>
                  <m:d>
                    <m:dPr>
                      <m:begChr m:val="("/>
                      <m:sepChr m:val=""/>
                      <m:endChr m:val=")"/>
                      <m:grow/>
                    </m:dPr>
                    <m:e>
                      <m:f>
                        <m:fPr>
                          <m:type m:val="bar"/>
                        </m:fPr>
                        <m:num>
                          <m:sSub>
                            <m:e>
                              <m:r>
                                <m:t>y</m:t>
                              </m:r>
                            </m:e>
                            <m:sub>
                              <m:r>
                                <m:t>i</m:t>
                              </m:r>
                              <m:r>
                                <m:t>j</m:t>
                              </m:r>
                            </m:sub>
                          </m:sSub>
                        </m:num>
                        <m:den>
                          <m:sSub>
                            <m:e>
                              <m:r>
                                <m:t>y</m:t>
                              </m:r>
                            </m:e>
                            <m:sub>
                              <m:r>
                                <m:t>j</m:t>
                              </m:r>
                            </m:sub>
                          </m:sSub>
                        </m:den>
                      </m:f>
                    </m:e>
                  </m:d>
                </m:e>
              </m:d>
            </m:e>
          </m:nary>
          <m:r>
            <m:rPr>
              <m:sty m:val="p"/>
            </m:rPr>
            <m:t>=</m:t>
          </m:r>
          <m:r>
            <m:t>B</m:t>
          </m:r>
          <m:r>
            <m:rPr>
              <m:sty m:val="p"/>
            </m:rPr>
            <m:t>+</m:t>
          </m:r>
          <m:r>
            <m:t>W</m:t>
          </m:r>
          <m:r>
            <m:t>  </m:t>
          </m:r>
          <m:d>
            <m:dPr>
              <m:begChr m:val="("/>
              <m:sepChr m:val=""/>
              <m:endChr m:val=")"/>
              <m:grow/>
            </m:dPr>
            <m:e>
              <m:r>
                <m:t>9</m:t>
              </m:r>
            </m:e>
          </m:d>
        </m:oMath>
      </m:oMathPara>
      <w:bookmarkEnd w:id="127"/>
    </w:p>
    <w:p>
      <w:pPr>
        <w:pStyle w:val="FirstParagraph"/>
      </w:pPr>
      <w:r>
        <w:t xml:space="preserve">where n_j refers to the population size of the</w:t>
      </w:r>
      <w:r>
        <w:t xml:space="preserve"> </w:t>
      </w:r>
      <m:oMath>
        <m:sSup>
          <m:e>
            <m:r>
              <m:t>j</m:t>
            </m:r>
          </m:e>
          <m:sup>
            <m:r>
              <m:t>t</m:t>
            </m:r>
            <m:r>
              <m:t>h</m:t>
            </m:r>
          </m:sup>
        </m:sSup>
      </m:oMath>
      <w:r>
        <w:t xml:space="preserve"> </w:t>
      </w:r>
      <w:r>
        <w:t xml:space="preserve">region,</w:t>
      </w:r>
      <w:r>
        <w:t xml:space="preserve"> </w:t>
      </w:r>
      <m:oMath>
        <m:sSub>
          <m:e>
            <m:r>
              <m:t>y</m:t>
            </m:r>
          </m:e>
          <m:sub>
            <m:r>
              <m:t>j</m:t>
            </m:r>
          </m:sub>
        </m:sSub>
      </m:oMath>
      <w:r>
        <w:t xml:space="preserve"> </w:t>
      </w:r>
      <w:r>
        <w:t xml:space="preserve">is the mean income of the</w:t>
      </w:r>
      <w:r>
        <w:t xml:space="preserve"> </w:t>
      </w:r>
      <m:oMath>
        <m:sSup>
          <m:e>
            <m:r>
              <m:t>j</m:t>
            </m:r>
          </m:e>
          <m:sup>
            <m:r>
              <m:t>t</m:t>
            </m:r>
            <m:r>
              <m:t>h</m:t>
            </m:r>
          </m:sup>
        </m:sSup>
      </m:oMath>
      <w:r>
        <w:t xml:space="preserve"> </w:t>
      </w:r>
      <w:r>
        <w:t xml:space="preserve">region, and</w:t>
      </w:r>
      <w:r>
        <w:t xml:space="preserve"> </w:t>
      </w:r>
      <m:oMath>
        <m:sSub>
          <m:e>
            <m:r>
              <m:t>y</m:t>
            </m:r>
          </m:e>
          <m:sub>
            <m:r>
              <m:t>i</m:t>
            </m:r>
            <m:r>
              <m:rPr>
                <m:sty m:val="p"/>
              </m:rPr>
              <m:t>,</m:t>
            </m:r>
            <m:r>
              <m:t>j</m:t>
            </m:r>
          </m:sub>
        </m:sSub>
      </m:oMath>
      <w:r>
        <w:t xml:space="preserve"> </w:t>
      </w:r>
      <w:r>
        <w:t xml:space="preserve">corresponds to the income of the</w:t>
      </w:r>
      <w:r>
        <w:t xml:space="preserve"> </w:t>
      </w:r>
      <m:oMath>
        <m:sSup>
          <m:e>
            <m:r>
              <m:t>i</m:t>
            </m:r>
          </m:e>
          <m:sup>
            <m:r>
              <m:t>t</m:t>
            </m:r>
            <m:r>
              <m:t>h</m:t>
            </m:r>
          </m:sup>
        </m:sSup>
      </m:oMath>
      <w:r>
        <w:t xml:space="preserve"> </w:t>
      </w:r>
      <w:r>
        <w:t xml:space="preserve">entity in the</w:t>
      </w:r>
      <w:r>
        <w:t xml:space="preserve"> </w:t>
      </w:r>
      <m:oMath>
        <m:sSup>
          <m:e>
            <m:r>
              <m:t>j</m:t>
            </m:r>
          </m:e>
          <m:sup>
            <m:r>
              <m:t>t</m:t>
            </m:r>
            <m:r>
              <m:t>h</m:t>
            </m:r>
          </m:sup>
        </m:sSup>
      </m:oMath>
      <w:r>
        <w:t xml:space="preserve"> </w:t>
      </w:r>
      <w:r>
        <w:t xml:space="preserve">region</w:t>
      </w:r>
      <w:r>
        <w:rPr>
          <w:rStyle w:val="FootnoteReference"/>
        </w:rPr>
        <w:footnoteReference w:id="128"/>
      </w:r>
      <w:r>
        <w:t xml:space="preserve">.</w:t>
      </w:r>
    </w:p>
    <w:bookmarkEnd w:id="129"/>
    <w:bookmarkEnd w:id="130"/>
    <w:bookmarkStart w:id="131" w:name="innovation-factor"/>
    <w:p>
      <w:pPr>
        <w:pStyle w:val="Heading3"/>
      </w:pPr>
      <w:r>
        <w:t xml:space="preserve">Innovation Factor</w:t>
      </w:r>
    </w:p>
    <w:p>
      <w:pPr>
        <w:pStyle w:val="FirstParagraph"/>
      </w:pPr>
      <w:r>
        <w:t xml:space="preserve">There is no analysis related to this factor.</w:t>
      </w:r>
    </w:p>
    <w:bookmarkEnd w:id="131"/>
    <w:bookmarkStart w:id="140" w:name="sustainability-factor"/>
    <w:p>
      <w:pPr>
        <w:pStyle w:val="Heading3"/>
      </w:pPr>
      <w:r>
        <w:t xml:space="preserve">Sustainability Factor</w:t>
      </w:r>
    </w:p>
    <w:bookmarkStart w:id="133" w:name="taxi-fleet-utilization"/>
    <w:p>
      <w:pPr>
        <w:pStyle w:val="Heading4"/>
      </w:pPr>
      <w:r>
        <w:t xml:space="preserve">Taxi Fleet Utilization</w:t>
      </w:r>
    </w:p>
    <w:p>
      <w:pPr>
        <w:pStyle w:val="FirstParagraph"/>
      </w:pPr>
      <w:r>
        <w:t xml:space="preserve">Taxi fleet utilizationRecall that this indicator is calculated as the monthly average ratio of active taxi vehicles to the total approved fleet capacity, expressed as a percentage.</w:t>
      </w:r>
      <w:r>
        <w:t xml:space="preserve"> </w:t>
      </w:r>
      <w:r>
        <w:t xml:space="preserve">Let:</w:t>
      </w:r>
      <w:r>
        <w:t xml:space="preserve"> </w:t>
      </w:r>
      <w:r>
        <w:t xml:space="preserve">-</w:t>
      </w:r>
      <w:r>
        <w:t xml:space="preserve"> </w:t>
      </w:r>
      <m:oMath>
        <m:r>
          <m:t>A</m:t>
        </m:r>
        <m:sSub>
          <m:e>
            <m:r>
              <m:t>V</m:t>
            </m:r>
          </m:e>
          <m:sub>
            <m:r>
              <m:t>i</m:t>
            </m:r>
            <m:r>
              <m:rPr>
                <m:sty m:val="p"/>
              </m:rPr>
              <m:t>,</m:t>
            </m:r>
            <m:r>
              <m:t>t</m:t>
            </m:r>
          </m:sub>
        </m:sSub>
      </m:oMath>
      <w:r>
        <w:t xml:space="preserve"> </w:t>
      </w:r>
      <w:r>
        <w:t xml:space="preserve">be the average (over the observation period, such as a month) number of active taxi vehicles per day in pickup area i during month</w:t>
      </w:r>
      <w:r>
        <w:t xml:space="preserve"> </w:t>
      </w:r>
      <m:oMath>
        <m:r>
          <m:t>t</m:t>
        </m:r>
      </m:oMath>
      <w:r>
        <w:t xml:space="preserve">, as calculated from trip-level activity data.</w:t>
      </w:r>
      <w:r>
        <w:t xml:space="preserve"> </w:t>
      </w:r>
      <w:r>
        <w:t xml:space="preserve">-</w:t>
      </w:r>
      <w:r>
        <w:t xml:space="preserve"> </w:t>
      </w:r>
      <m:oMath>
        <m:r>
          <m:t>C</m:t>
        </m:r>
        <m:r>
          <m:t>a</m:t>
        </m:r>
        <m:r>
          <m:t>p</m:t>
        </m:r>
        <m:r>
          <m:t>a</m:t>
        </m:r>
        <m:r>
          <m:t>c</m:t>
        </m:r>
        <m:r>
          <m:t>i</m:t>
        </m:r>
        <m:r>
          <m:t>t</m:t>
        </m:r>
        <m:sSub>
          <m:e>
            <m:r>
              <m:t>y</m:t>
            </m:r>
          </m:e>
          <m:sub>
            <m:r>
              <m:t>i</m:t>
            </m:r>
            <m:r>
              <m:rPr>
                <m:sty m:val="p"/>
              </m:rPr>
              <m:t>,</m:t>
            </m:r>
            <m:r>
              <m:t>t</m:t>
            </m:r>
          </m:sub>
        </m:sSub>
      </m:oMath>
      <w:r>
        <w:t xml:space="preserve"> </w:t>
      </w:r>
      <w:r>
        <w:t xml:space="preserve">be the total number of taxi vehicles authorized to operate in pickup area</w:t>
      </w:r>
      <w:r>
        <w:t xml:space="preserve"> </w:t>
      </w:r>
      <m:oMath>
        <m:r>
          <m:t>i</m:t>
        </m:r>
      </m:oMath>
      <w:r>
        <w:t xml:space="preserve"> </w:t>
      </w:r>
      <w:r>
        <w:t xml:space="preserve">during the same period.</w:t>
      </w:r>
      <w:r>
        <w:t xml:space="preserve"> </w:t>
      </w:r>
      <w:r>
        <w:t xml:space="preserve">The formula is:</w:t>
      </w:r>
    </w:p>
    <w:p>
      <w:pPr>
        <w:pStyle w:val="BodyText"/>
      </w:pPr>
      <w:bookmarkStart w:id="132" w:name="eq-tv"/>
      <m:oMathPara>
        <m:oMathParaPr>
          <m:jc m:val="center"/>
        </m:oMathParaPr>
        <m:oMath>
          <m:r>
            <m:t>F</m:t>
          </m:r>
          <m:r>
            <m:t>l</m:t>
          </m:r>
          <m:r>
            <m:t>e</m:t>
          </m:r>
          <m:r>
            <m:t>e</m:t>
          </m:r>
          <m:r>
            <m:t>t</m:t>
          </m:r>
          <m:r>
            <m:t>U</m:t>
          </m:r>
          <m:r>
            <m:t>t</m:t>
          </m:r>
          <m:r>
            <m:t>i</m:t>
          </m:r>
          <m:r>
            <m:t>l</m:t>
          </m:r>
          <m:r>
            <m:t>i</m:t>
          </m:r>
          <m:r>
            <m:t>z</m:t>
          </m:r>
          <m:r>
            <m:t>a</m:t>
          </m:r>
          <m:r>
            <m:t>t</m:t>
          </m:r>
          <m:r>
            <m:t>i</m:t>
          </m:r>
          <m:r>
            <m:t>o</m:t>
          </m:r>
          <m:sSub>
            <m:e>
              <m:r>
                <m:t>n</m:t>
              </m:r>
            </m:e>
            <m:sub>
              <m:r>
                <m:t>i</m:t>
              </m:r>
              <m:r>
                <m:rPr>
                  <m:sty m:val="p"/>
                </m:rPr>
                <m:t>,</m:t>
              </m:r>
              <m:r>
                <m:t>t</m:t>
              </m:r>
            </m:sub>
          </m:sSub>
          <m:r>
            <m:rPr>
              <m:sty m:val="p"/>
            </m:rPr>
            <m:t>=</m:t>
          </m:r>
          <m:f>
            <m:fPr>
              <m:type m:val="bar"/>
            </m:fPr>
            <m:num>
              <m:r>
                <m:t>A</m:t>
              </m:r>
              <m:sSub>
                <m:e>
                  <m:r>
                    <m:t>V</m:t>
                  </m:r>
                </m:e>
                <m:sub>
                  <m:r>
                    <m:t>i</m:t>
                  </m:r>
                  <m:r>
                    <m:rPr>
                      <m:sty m:val="p"/>
                    </m:rPr>
                    <m:t>,</m:t>
                  </m:r>
                  <m:r>
                    <m:t>t</m:t>
                  </m:r>
                </m:sub>
              </m:sSub>
            </m:num>
            <m:den>
              <m:r>
                <m:t>C</m:t>
              </m:r>
              <m:r>
                <m:t>a</m:t>
              </m:r>
              <m:r>
                <m:t>p</m:t>
              </m:r>
              <m:r>
                <m:t>a</m:t>
              </m:r>
              <m:r>
                <m:t>c</m:t>
              </m:r>
              <m:r>
                <m:t>i</m:t>
              </m:r>
              <m:r>
                <m:t>t</m:t>
              </m:r>
              <m:sSub>
                <m:e>
                  <m:r>
                    <m:t>y</m:t>
                  </m:r>
                </m:e>
                <m:sub>
                  <m:r>
                    <m:t>i</m:t>
                  </m:r>
                  <m:r>
                    <m:rPr>
                      <m:sty m:val="p"/>
                    </m:rPr>
                    <m:t>,</m:t>
                  </m:r>
                  <m:r>
                    <m:t>t</m:t>
                  </m:r>
                </m:sub>
              </m:sSub>
            </m:den>
          </m:f>
          <m:r>
            <m:rPr>
              <m:sty m:val="p"/>
            </m:rPr>
            <m:t>*</m:t>
          </m:r>
          <m:r>
            <m:t>100</m:t>
          </m:r>
          <m:r>
            <m:t>  </m:t>
          </m:r>
          <m:d>
            <m:dPr>
              <m:begChr m:val="("/>
              <m:sepChr m:val=""/>
              <m:endChr m:val=")"/>
              <m:grow/>
            </m:dPr>
            <m:e>
              <m:r>
                <m:t>10</m:t>
              </m:r>
            </m:e>
          </m:d>
        </m:oMath>
      </m:oMathPara>
      <w:bookmarkEnd w:id="132"/>
    </w:p>
    <w:p>
      <w:pPr>
        <w:pStyle w:val="FirstParagraph"/>
      </w:pPr>
      <w:r>
        <w:t xml:space="preserve">Note that vehicles are counted based on distinct vehicle IDs observed per day, then averaged across days in each calendar month. Fleet capacity values are assumed to reflect approved vehicles eligible to operate during the same month (based on the Board’s licensing records).</w:t>
      </w:r>
    </w:p>
    <w:p>
      <w:pPr>
        <w:pStyle w:val="BodyText"/>
      </w:pPr>
      <w:r>
        <w:t xml:space="preserve">Observation selection note:</w:t>
      </w:r>
      <w:r>
        <w:t xml:space="preserve"> </w:t>
      </w:r>
      <w:r>
        <w:t xml:space="preserve">- Only vehicles with at least one completed passenger trip on a given day are counted as</w:t>
      </w:r>
      <w:r>
        <w:t xml:space="preserve"> </w:t>
      </w:r>
      <w:r>
        <w:t xml:space="preserve">“active”</w:t>
      </w:r>
      <w:r>
        <w:t xml:space="preserve"> </w:t>
      </w:r>
      <w:r>
        <w:t xml:space="preserve">and hence selected for a given day.</w:t>
      </w:r>
      <w:r>
        <w:t xml:space="preserve"> </w:t>
      </w:r>
      <w:r>
        <w:t xml:space="preserve">- Trips with missing or invalid pickup area information are excluded from the geospatial aggregation.</w:t>
      </w:r>
    </w:p>
    <w:bookmarkEnd w:id="133"/>
    <w:bookmarkStart w:id="139" w:name="vehicle-occupancy-rate-1"/>
    <w:p>
      <w:pPr>
        <w:pStyle w:val="Heading4"/>
      </w:pPr>
      <w:r>
        <w:t xml:space="preserve">Vehicle Occupancy Rate</w:t>
      </w:r>
    </w:p>
    <w:p>
      <w:pPr>
        <w:pStyle w:val="FirstParagraph"/>
      </w:pPr>
      <w:r>
        <w:t xml:space="preserve">A shift is defined as a series of trips performed by a driver, where the start time of each trip occurs within</w:t>
      </w:r>
      <w:r>
        <w:t xml:space="preserve"> </w:t>
      </w:r>
      <w:r>
        <w:rPr>
          <w:b/>
          <w:bCs/>
        </w:rPr>
        <w:t xml:space="preserve">60 minutes of the previous trip’s end</w:t>
      </w:r>
      <w:r>
        <w:t xml:space="preserve">. After defining the group of trips that are included in one shift, the following attributes are calculated:</w:t>
      </w:r>
    </w:p>
    <w:p>
      <w:pPr>
        <w:numPr>
          <w:ilvl w:val="0"/>
          <w:numId w:val="1031"/>
        </w:numPr>
      </w:pPr>
      <w:r>
        <w:t xml:space="preserve">Shift Start Time: (Denoted as</w:t>
      </w:r>
      <w:r>
        <w:t xml:space="preserve"> </w:t>
      </w:r>
      <m:oMath>
        <m:sSubSup>
          <m:e>
            <m:r>
              <m:t>t</m:t>
            </m:r>
          </m:e>
          <m:sub>
            <m:r>
              <m:rPr>
                <m:nor/>
                <m:sty m:val="p"/>
              </m:rPr>
              <m:t>start</m:t>
            </m:r>
          </m:sub>
          <m:sup>
            <m:r>
              <m:rPr>
                <m:nor/>
                <m:sty m:val="p"/>
              </m:rPr>
              <m:t>shift</m:t>
            </m:r>
          </m:sup>
        </m:sSubSup>
      </m:oMath>
      <w:r>
        <w:t xml:space="preserve">) This is the earliest vehicle assignment DateTime (</w:t>
      </w:r>
      <m:oMath>
        <m:sSubSup>
          <m:e>
            <m:r>
              <m:t>t</m:t>
            </m:r>
          </m:e>
          <m:sub>
            <m:r>
              <m:rPr>
                <m:nor/>
                <m:sty m:val="p"/>
              </m:rPr>
              <m:t>assign</m:t>
            </m:r>
            <m:r>
              <m:rPr>
                <m:sty m:val="p"/>
              </m:rPr>
              <m:t>,</m:t>
            </m:r>
            <m:r>
              <m:t>i</m:t>
            </m:r>
          </m:sub>
          <m:sup>
            <m:r>
              <m:rPr>
                <m:nor/>
                <m:sty m:val="p"/>
              </m:rPr>
              <m:t>vehicle</m:t>
            </m:r>
          </m:sup>
        </m:sSubSup>
      </m:oMath>
      <w:r>
        <w:t xml:space="preserve">) in the shift.</w:t>
      </w:r>
    </w:p>
    <w:p>
      <w:pPr>
        <w:numPr>
          <w:ilvl w:val="0"/>
          <w:numId w:val="1031"/>
        </w:numPr>
      </w:pPr>
      <w:r>
        <w:t xml:space="preserve">Shift End Time: Denoted as (</w:t>
      </w:r>
      <w:r>
        <w:t xml:space="preserve"> </w:t>
      </w:r>
      <m:oMath>
        <m:sSubSup>
          <m:e>
            <m:r>
              <m:t>t</m:t>
            </m:r>
          </m:e>
          <m:sub>
            <m:r>
              <m:rPr>
                <m:nor/>
                <m:sty m:val="p"/>
              </m:rPr>
              <m:t>end</m:t>
            </m:r>
          </m:sub>
          <m:sup>
            <m:r>
              <m:rPr>
                <m:nor/>
                <m:sty m:val="p"/>
              </m:rPr>
              <m:t>shift</m:t>
            </m:r>
          </m:sup>
        </m:sSubSup>
      </m:oMath>
      <w:r>
        <w:t xml:space="preserve">).</w:t>
      </w:r>
      <w:r>
        <w:br/>
      </w:r>
      <w:r>
        <w:t xml:space="preserve">This is the latest drop-off arrival DateTime (</w:t>
      </w:r>
      <w:r>
        <w:t xml:space="preserve"> </w:t>
      </w:r>
      <m:oMath>
        <m:sSubSup>
          <m:e>
            <m:r>
              <m:t>t</m:t>
            </m:r>
          </m:e>
          <m:sub>
            <m:r>
              <m:rPr>
                <m:nor/>
                <m:sty m:val="p"/>
              </m:rPr>
              <m:t>arrive</m:t>
            </m:r>
            <m:r>
              <m:rPr>
                <m:sty m:val="p"/>
              </m:rPr>
              <m:t>,</m:t>
            </m:r>
            <m:r>
              <m:t>i</m:t>
            </m:r>
          </m:sub>
          <m:sup>
            <m:r>
              <m:rPr>
                <m:nor/>
                <m:sty m:val="p"/>
              </m:rPr>
              <m:t>dropoff</m:t>
            </m:r>
          </m:sup>
        </m:sSubSup>
      </m:oMath>
      <w:r>
        <w:t xml:space="preserve"> </w:t>
      </w:r>
      <w:r>
        <w:t xml:space="preserve">) in the shift.</w:t>
      </w:r>
    </w:p>
    <w:p>
      <w:pPr>
        <w:numPr>
          <w:ilvl w:val="0"/>
          <w:numId w:val="1031"/>
        </w:numPr>
      </w:pPr>
      <w:r>
        <w:t xml:space="preserve">Shift Length: Denoted as (</w:t>
      </w:r>
      <w:r>
        <w:t xml:space="preserve"> </w:t>
      </w:r>
      <m:oMath>
        <m:sSup>
          <m:e>
            <m:r>
              <m:t>L</m:t>
            </m:r>
          </m:e>
          <m:sup>
            <m:r>
              <m:rPr>
                <m:nor/>
                <m:sty m:val="p"/>
              </m:rPr>
              <m:t>shift</m:t>
            </m:r>
          </m:sup>
        </m:sSup>
      </m:oMath>
      <w:r>
        <w:t xml:space="preserve"> </w:t>
      </w:r>
      <w:r>
        <w:t xml:space="preserve">): The difference between the shift end time and shift start time:</w:t>
      </w:r>
    </w:p>
    <w:p>
      <w:pPr>
        <w:pStyle w:val="FirstParagraph"/>
      </w:pPr>
      <w:bookmarkStart w:id="134" w:name="eq-tv"/>
      <m:oMathPara>
        <m:oMathParaPr>
          <m:jc m:val="center"/>
        </m:oMathParaPr>
        <m:oMath>
          <m:sSup>
            <m:e>
              <m:r>
                <m:t>L</m:t>
              </m:r>
            </m:e>
            <m:sup>
              <m:r>
                <m:rPr>
                  <m:nor/>
                  <m:sty m:val="p"/>
                </m:rPr>
                <m:t>shift</m:t>
              </m:r>
            </m:sup>
          </m:sSup>
          <m:r>
            <m:rPr>
              <m:sty m:val="p"/>
            </m:rPr>
            <m:t>=</m:t>
          </m:r>
          <m:sSubSup>
            <m:e>
              <m:r>
                <m:t>t</m:t>
              </m:r>
            </m:e>
            <m:sub>
              <m:r>
                <m:rPr>
                  <m:nor/>
                  <m:sty m:val="p"/>
                </m:rPr>
                <m:t>end</m:t>
              </m:r>
            </m:sub>
            <m:sup>
              <m:r>
                <m:rPr>
                  <m:nor/>
                  <m:sty m:val="p"/>
                </m:rPr>
                <m:t>shift</m:t>
              </m:r>
            </m:sup>
          </m:sSubSup>
          <m:r>
            <m:rPr>
              <m:sty m:val="p"/>
            </m:rPr>
            <m:t>−</m:t>
          </m:r>
          <m:sSubSup>
            <m:e>
              <m:r>
                <m:t>t</m:t>
              </m:r>
            </m:e>
            <m:sub>
              <m:r>
                <m:rPr>
                  <m:nor/>
                  <m:sty m:val="p"/>
                </m:rPr>
                <m:t>start</m:t>
              </m:r>
            </m:sub>
            <m:sup>
              <m:r>
                <m:rPr>
                  <m:nor/>
                  <m:sty m:val="p"/>
                </m:rPr>
                <m:t>shift</m:t>
              </m:r>
            </m:sup>
          </m:sSubSup>
          <m:r>
            <m:t>  </m:t>
          </m:r>
          <m:d>
            <m:dPr>
              <m:begChr m:val="("/>
              <m:sepChr m:val=""/>
              <m:endChr m:val=")"/>
              <m:grow/>
            </m:dPr>
            <m:e>
              <m:r>
                <m:t>11</m:t>
              </m:r>
            </m:e>
          </m:d>
        </m:oMath>
      </m:oMathPara>
      <w:bookmarkEnd w:id="134"/>
    </w:p>
    <w:p>
      <w:pPr>
        <w:pStyle w:val="Compact"/>
        <w:numPr>
          <w:ilvl w:val="0"/>
          <w:numId w:val="1032"/>
        </w:numPr>
      </w:pPr>
      <w:r>
        <w:t xml:space="preserve">Shift Occupancy: Denoted as (</w:t>
      </w:r>
      <m:oMath>
        <m:sSup>
          <m:e>
            <m:r>
              <m:t>D</m:t>
            </m:r>
          </m:e>
          <m:sup>
            <m:r>
              <m:rPr>
                <m:nor/>
                <m:sty m:val="p"/>
              </m:rPr>
              <m:t>shift</m:t>
            </m:r>
          </m:sup>
        </m:sSup>
      </m:oMath>
      <w:r>
        <w:t xml:space="preserve">).</w:t>
      </w:r>
      <w:r>
        <w:br/>
      </w:r>
      <w:r>
        <w:t xml:space="preserve">This is the total sum of all trip durations (</w:t>
      </w:r>
      <m:oMath>
        <m:sSub>
          <m:e>
            <m:r>
              <m:t>D</m:t>
            </m:r>
          </m:e>
          <m:sub>
            <m:r>
              <m:t>i</m:t>
            </m:r>
          </m:sub>
        </m:sSub>
      </m:oMath>
      <w:r>
        <w:t xml:space="preserve">) within the shift:</w:t>
      </w:r>
    </w:p>
    <w:p>
      <w:pPr>
        <w:pStyle w:val="FirstParagraph"/>
      </w:pPr>
      <w:bookmarkStart w:id="135" w:name="eq-tv"/>
      <m:oMathPara>
        <m:oMathParaPr>
          <m:jc m:val="center"/>
        </m:oMathParaPr>
        <m:oMath>
          <m:sSup>
            <m:e>
              <m:r>
                <m:t>D</m:t>
              </m:r>
            </m:e>
            <m:sup>
              <m:r>
                <m:rPr>
                  <m:nor/>
                  <m:sty m:val="p"/>
                </m:rPr>
                <m:t>shift</m:t>
              </m:r>
            </m:sup>
          </m:sSup>
          <m:r>
            <m:rPr>
              <m:sty m:val="p"/>
            </m:rPr>
            <m:t>=</m:t>
          </m:r>
          <m:nary>
            <m:naryPr>
              <m:chr m:val="∑"/>
              <m:limLoc m:val="undOvr"/>
              <m:subHide m:val="off"/>
              <m:supHide m:val="off"/>
            </m:naryPr>
            <m:sub>
              <m:r>
                <m:t>i</m:t>
              </m:r>
              <m:r>
                <m:rPr>
                  <m:sty m:val="p"/>
                </m:rPr>
                <m:t>=</m:t>
              </m:r>
              <m:r>
                <m:t>1</m:t>
              </m:r>
            </m:sub>
            <m:sup>
              <m:r>
                <m:t>n</m:t>
              </m:r>
            </m:sup>
            <m:e>
              <m:sSub>
                <m:e>
                  <m:r>
                    <m:t>D</m:t>
                  </m:r>
                </m:e>
                <m:sub>
                  <m:r>
                    <m:t>i</m:t>
                  </m:r>
                </m:sub>
              </m:sSub>
            </m:e>
          </m:nary>
          <m:r>
            <m:t>  </m:t>
          </m:r>
          <m:d>
            <m:dPr>
              <m:begChr m:val="("/>
              <m:sepChr m:val=""/>
              <m:endChr m:val=")"/>
              <m:grow/>
            </m:dPr>
            <m:e>
              <m:r>
                <m:t>12</m:t>
              </m:r>
            </m:e>
          </m:d>
        </m:oMath>
      </m:oMathPara>
      <w:bookmarkEnd w:id="135"/>
    </w:p>
    <w:p>
      <w:pPr>
        <w:pStyle w:val="FirstParagraph"/>
      </w:pPr>
      <w:r>
        <w:t xml:space="preserve">The Average Vehicle Occupancy Rate (VOR) is calculated as the ratio of the sum of all trip durations denoted by</w:t>
      </w:r>
      <w:r>
        <w:t xml:space="preserve"> </w:t>
      </w:r>
      <m:oMath>
        <m:sSub>
          <m:e>
            <m:r>
              <m:t>D</m:t>
            </m:r>
          </m:e>
          <m:sub>
            <m:r>
              <m:t>i</m:t>
            </m:r>
            <m:r>
              <m:rPr>
                <m:sty m:val="p"/>
              </m:rPr>
              <m:t>,</m:t>
            </m:r>
            <m:r>
              <m:t>t</m:t>
            </m:r>
          </m:sub>
        </m:sSub>
      </m:oMath>
      <w:r>
        <w:t xml:space="preserve"> </w:t>
      </w:r>
      <w:r>
        <w:t xml:space="preserve">to the sum of all shift lengths denoted by</w:t>
      </w:r>
      <w:r>
        <w:t xml:space="preserve"> </w:t>
      </w:r>
      <m:oMath>
        <m:sSub>
          <m:e>
            <m:r>
              <m:t>L</m:t>
            </m:r>
          </m:e>
          <m:sub>
            <m:r>
              <m:t>i</m:t>
            </m:r>
            <m:r>
              <m:rPr>
                <m:sty m:val="p"/>
              </m:rPr>
              <m:t>,</m:t>
            </m:r>
            <m:r>
              <m:t>t</m:t>
            </m:r>
          </m:sub>
        </m:sSub>
      </m:oMath>
      <w:r>
        <w:t xml:space="preserve">.</w:t>
      </w:r>
    </w:p>
    <w:p>
      <w:pPr>
        <w:pStyle w:val="BodyText"/>
      </w:pPr>
      <w:bookmarkStart w:id="136" w:name="eq-tv"/>
      <m:oMathPara>
        <m:oMathParaPr>
          <m:jc m:val="center"/>
        </m:oMathParaPr>
        <m:oMath>
          <m:r>
            <m:t>V</m:t>
          </m:r>
          <m:r>
            <m:t>O</m:t>
          </m:r>
          <m:r>
            <m:t>R</m:t>
          </m:r>
          <m:r>
            <m:rPr>
              <m:sty m:val="p"/>
            </m:rPr>
            <m:t>=</m:t>
          </m:r>
          <m:f>
            <m:fPr>
              <m:type m:val="bar"/>
            </m:fPr>
            <m:num>
              <m:sSub>
                <m:e>
                  <m:r>
                    <m:t>D</m:t>
                  </m:r>
                </m:e>
                <m:sub>
                  <m:r>
                    <m:t>i</m:t>
                  </m:r>
                  <m:r>
                    <m:rPr>
                      <m:sty m:val="p"/>
                    </m:rPr>
                    <m:t>,</m:t>
                  </m:r>
                  <m:r>
                    <m:t>t</m:t>
                  </m:r>
                </m:sub>
              </m:sSub>
            </m:num>
            <m:den>
              <m:sSub>
                <m:e>
                  <m:r>
                    <m:t>L</m:t>
                  </m:r>
                </m:e>
                <m:sub>
                  <m:r>
                    <m:t>i</m:t>
                  </m:r>
                  <m:r>
                    <m:rPr>
                      <m:sty m:val="p"/>
                    </m:rPr>
                    <m:t>,</m:t>
                  </m:r>
                  <m:r>
                    <m:t>t</m:t>
                  </m:r>
                </m:sub>
              </m:sSub>
            </m:den>
          </m:f>
          <m:r>
            <m:t>  </m:t>
          </m:r>
          <m:d>
            <m:dPr>
              <m:begChr m:val="("/>
              <m:sepChr m:val=""/>
              <m:endChr m:val=")"/>
              <m:grow/>
            </m:dPr>
            <m:e>
              <m:r>
                <m:t>13</m:t>
              </m:r>
            </m:e>
          </m:d>
        </m:oMath>
      </m:oMathPara>
      <w:bookmarkEnd w:id="136"/>
    </w:p>
    <w:p>
      <w:pPr>
        <w:pStyle w:val="FirstParagraph"/>
      </w:pPr>
      <w:r>
        <w:t xml:space="preserve">This formula ensures that the VOR represents the proportion of time within a shift that a vehicle is actively engaged in service.</w:t>
      </w:r>
    </w:p>
    <w:p>
      <w:pPr>
        <w:pStyle w:val="BodyText"/>
      </w:pPr>
      <w:r>
        <w:t xml:space="preserve">The Vehicle Occupancy Rate Possible Range (VORPR) is calculated as the ratio of the sum of all trip durations denoted by</w:t>
      </w:r>
      <w:r>
        <w:t xml:space="preserve"> </w:t>
      </w:r>
      <m:oMath>
        <m:sSub>
          <m:e>
            <m:r>
              <m:t>D</m:t>
            </m:r>
          </m:e>
          <m:sub>
            <m:r>
              <m:t>i</m:t>
            </m:r>
            <m:r>
              <m:rPr>
                <m:sty m:val="p"/>
              </m:rPr>
              <m:t>,</m:t>
            </m:r>
            <m:r>
              <m:t>t</m:t>
            </m:r>
          </m:sub>
        </m:sSub>
      </m:oMath>
      <w:r>
        <w:t xml:space="preserve"> </w:t>
      </w:r>
      <w:r>
        <w:t xml:space="preserve">to the sum of all Operating Time denoted by</w:t>
      </w:r>
      <w:r>
        <w:t xml:space="preserve"> </w:t>
      </w:r>
      <m:oMath>
        <m:sSub>
          <m:e>
            <m:r>
              <m:t>O</m:t>
            </m:r>
          </m:e>
          <m:sub>
            <m:r>
              <m:t>i</m:t>
            </m:r>
            <m:r>
              <m:rPr>
                <m:sty m:val="p"/>
              </m:rPr>
              <m:t>,</m:t>
            </m:r>
            <m:r>
              <m:t>t</m:t>
            </m:r>
          </m:sub>
        </m:sSub>
      </m:oMath>
      <w:r>
        <w:t xml:space="preserve">.</w:t>
      </w:r>
    </w:p>
    <w:p>
      <w:pPr>
        <w:pStyle w:val="BodyText"/>
      </w:pPr>
      <w:bookmarkStart w:id="137" w:name="eq-tv"/>
      <m:oMathPara>
        <m:oMathParaPr>
          <m:jc m:val="center"/>
        </m:oMathParaPr>
        <m:oMath>
          <m:r>
            <m:t>V</m:t>
          </m:r>
          <m:r>
            <m:t>O</m:t>
          </m:r>
          <m:r>
            <m:t>R</m:t>
          </m:r>
          <m:r>
            <m:t>P</m:t>
          </m:r>
          <m:r>
            <m:t>R</m:t>
          </m:r>
          <m:r>
            <m:rPr>
              <m:sty m:val="p"/>
            </m:rPr>
            <m:t>=</m:t>
          </m:r>
          <m:f>
            <m:fPr>
              <m:type m:val="bar"/>
            </m:fPr>
            <m:num>
              <m:sSub>
                <m:e>
                  <m:r>
                    <m:t>D</m:t>
                  </m:r>
                </m:e>
                <m:sub>
                  <m:r>
                    <m:t>i</m:t>
                  </m:r>
                  <m:r>
                    <m:rPr>
                      <m:sty m:val="p"/>
                    </m:rPr>
                    <m:t>,</m:t>
                  </m:r>
                  <m:r>
                    <m:t>t</m:t>
                  </m:r>
                </m:sub>
              </m:sSub>
            </m:num>
            <m:den>
              <m:sSub>
                <m:e>
                  <m:r>
                    <m:t>O</m:t>
                  </m:r>
                </m:e>
                <m:sub>
                  <m:r>
                    <m:t>i</m:t>
                  </m:r>
                  <m:r>
                    <m:rPr>
                      <m:sty m:val="p"/>
                    </m:rPr>
                    <m:t>,</m:t>
                  </m:r>
                  <m:r>
                    <m:t>t</m:t>
                  </m:r>
                </m:sub>
              </m:sSub>
            </m:den>
          </m:f>
          <m:r>
            <m:t>  </m:t>
          </m:r>
          <m:d>
            <m:dPr>
              <m:begChr m:val="("/>
              <m:sepChr m:val=""/>
              <m:endChr m:val=")"/>
              <m:grow/>
            </m:dPr>
            <m:e>
              <m:r>
                <m:t>14</m:t>
              </m:r>
            </m:e>
          </m:d>
        </m:oMath>
      </m:oMathPara>
      <w:bookmarkEnd w:id="137"/>
    </w:p>
    <w:p>
      <w:pPr>
        <w:pStyle w:val="FirstParagraph"/>
      </w:pPr>
      <w:r>
        <w:t xml:space="preserve">The Operating time includes the time between vehicle assignment time and drop-off time.</w:t>
      </w:r>
    </w:p>
    <w:p>
      <w:pPr>
        <w:pStyle w:val="BodyText"/>
      </w:pPr>
      <w:bookmarkStart w:id="138" w:name="eq-tv"/>
      <m:oMathPara>
        <m:oMathParaPr>
          <m:jc m:val="center"/>
        </m:oMathParaPr>
        <m:oMath>
          <m:sSub>
            <m:e>
              <m:r>
                <m:t>O</m:t>
              </m:r>
            </m:e>
            <m:sub>
              <m:r>
                <m:t>i</m:t>
              </m:r>
            </m:sub>
          </m:sSub>
          <m:r>
            <m:rPr>
              <m:sty m:val="p"/>
            </m:rPr>
            <m:t>=</m:t>
          </m:r>
          <m:sSubSup>
            <m:e>
              <m:r>
                <m:t>t</m:t>
              </m:r>
            </m:e>
            <m:sub>
              <m:r>
                <m:rPr>
                  <m:nor/>
                  <m:sty m:val="p"/>
                </m:rPr>
                <m:t>arrive</m:t>
              </m:r>
              <m:r>
                <m:rPr>
                  <m:sty m:val="p"/>
                </m:rPr>
                <m:t>,</m:t>
              </m:r>
              <m:r>
                <m:t>i</m:t>
              </m:r>
            </m:sub>
            <m:sup>
              <m:r>
                <m:rPr>
                  <m:nor/>
                  <m:sty m:val="p"/>
                </m:rPr>
                <m:t>dropoff</m:t>
              </m:r>
            </m:sup>
          </m:sSubSup>
          <m:r>
            <m:rPr>
              <m:sty m:val="p"/>
            </m:rPr>
            <m:t>−</m:t>
          </m:r>
          <m:sSubSup>
            <m:e>
              <m:r>
                <m:t>t</m:t>
              </m:r>
            </m:e>
            <m:sub>
              <m:r>
                <m:rPr>
                  <m:nor/>
                  <m:sty m:val="p"/>
                </m:rPr>
                <m:t>assign</m:t>
              </m:r>
              <m:r>
                <m:rPr>
                  <m:sty m:val="p"/>
                </m:rPr>
                <m:t>,</m:t>
              </m:r>
              <m:r>
                <m:t>i</m:t>
              </m:r>
            </m:sub>
            <m:sup>
              <m:r>
                <m:rPr>
                  <m:nor/>
                  <m:sty m:val="p"/>
                </m:rPr>
                <m:t>vehicle</m:t>
              </m:r>
            </m:sup>
          </m:sSubSup>
          <m:r>
            <m:t>  </m:t>
          </m:r>
          <m:d>
            <m:dPr>
              <m:begChr m:val="("/>
              <m:sepChr m:val=""/>
              <m:endChr m:val=")"/>
              <m:grow/>
            </m:dPr>
            <m:e>
              <m:r>
                <m:t>15</m:t>
              </m:r>
            </m:e>
          </m:d>
        </m:oMath>
      </m:oMathPara>
      <w:bookmarkEnd w:id="138"/>
    </w:p>
    <w:bookmarkEnd w:id="139"/>
    <w:bookmarkEnd w:id="140"/>
    <w:bookmarkStart w:id="141" w:name="drivers-gross-hourly-earnings"/>
    <w:p>
      <w:pPr>
        <w:pStyle w:val="Heading3"/>
      </w:pPr>
      <w:r>
        <w:t xml:space="preserve">Drivers’ Gross Hourly Earnings</w:t>
      </w:r>
    </w:p>
    <w:p>
      <w:pPr>
        <w:pStyle w:val="FirstParagraph"/>
      </w:pPr>
      <w:r>
        <w:t xml:space="preserve">Recall that this indicator measures the median gross fare revenue earned per working hour by drivers within a defined geographic area and time period.</w:t>
      </w:r>
      <w:r>
        <w:t xml:space="preserve"> </w:t>
      </w:r>
      <w:r>
        <w:t xml:space="preserve">Let</w:t>
      </w:r>
      <w:r>
        <w:t xml:space="preserve"> </w:t>
      </w:r>
      <m:oMath>
        <m:r>
          <m:t>G</m:t>
        </m:r>
        <m:r>
          <m:t>H</m:t>
        </m:r>
        <m:sSub>
          <m:e>
            <m:r>
              <m:t>E</m:t>
            </m:r>
          </m:e>
          <m:sub>
            <m:r>
              <m:t>j</m:t>
            </m:r>
            <m:r>
              <m:rPr>
                <m:sty m:val="p"/>
              </m:rPr>
              <m:t>,</m:t>
            </m:r>
            <m:r>
              <m:t>t</m:t>
            </m:r>
          </m:sub>
        </m:sSub>
      </m:oMath>
      <w:r>
        <w:t xml:space="preserve"> </w:t>
      </w:r>
      <w:r>
        <w:t xml:space="preserve">denote the gross hourly earning in area j during time</w:t>
      </w:r>
      <w:r>
        <w:t xml:space="preserve"> </w:t>
      </w:r>
      <m:oMath>
        <m:r>
          <m:t>t</m:t>
        </m:r>
      </m:oMath>
      <w:r>
        <w:t xml:space="preserve">:</w:t>
      </w:r>
    </w:p>
    <w:p>
      <w:pPr>
        <w:pStyle w:val="BodyText"/>
      </w:pPr>
      <m:oMathPara>
        <m:oMathParaPr>
          <m:jc m:val="center"/>
        </m:oMathParaPr>
        <m:oMath>
          <m:r>
            <m:t>G</m:t>
          </m:r>
          <m:r>
            <m:t>H</m:t>
          </m:r>
          <m:sSub>
            <m:e>
              <m:r>
                <m:t>E</m:t>
              </m:r>
            </m:e>
            <m:sub>
              <m:r>
                <m:t>j</m:t>
              </m:r>
              <m:r>
                <m:rPr>
                  <m:sty m:val="p"/>
                </m:rPr>
                <m:t>,</m:t>
              </m:r>
              <m:r>
                <m:t>t</m:t>
              </m:r>
            </m:sub>
          </m:sSub>
          <m:r>
            <m:rPr>
              <m:sty m:val="p"/>
            </m:rPr>
            <m:t>=</m:t>
          </m:r>
          <m:sSub>
            <m:e>
              <m:r>
                <m:rPr>
                  <m:sty m:val="p"/>
                </m:rPr>
                <m:t>Median</m:t>
              </m:r>
            </m:e>
            <m:sub>
              <m:r>
                <m:t>u</m:t>
              </m:r>
              <m:r>
                <m:rPr>
                  <m:sty m:val="p"/>
                </m:rPr>
                <m:t>∈</m:t>
              </m:r>
              <m:sSub>
                <m:e>
                  <m:r>
                    <m:t>D</m:t>
                  </m:r>
                </m:e>
                <m:sub>
                  <m:r>
                    <m:t>j</m:t>
                  </m:r>
                  <m:r>
                    <m:rPr>
                      <m:sty m:val="p"/>
                    </m:rPr>
                    <m:t>,</m:t>
                  </m:r>
                  <m:r>
                    <m:t>t</m:t>
                  </m:r>
                </m:sub>
              </m:sSub>
            </m:sub>
          </m:sSub>
          <m:d>
            <m:dPr>
              <m:begChr m:val="("/>
              <m:sepChr m:val=""/>
              <m:endChr m:val=")"/>
              <m:grow/>
            </m:dPr>
            <m:e>
              <m:f>
                <m:fPr>
                  <m:type m:val="bar"/>
                </m:fPr>
                <m:num>
                  <m:nary>
                    <m:naryPr>
                      <m:chr m:val="∑"/>
                      <m:limLoc m:val="undOvr"/>
                      <m:subHide m:val="off"/>
                      <m:supHide m:val="on"/>
                    </m:naryPr>
                    <m:sub>
                      <m:r>
                        <m:t>s</m:t>
                      </m:r>
                      <m:r>
                        <m:rPr>
                          <m:sty m:val="p"/>
                        </m:rPr>
                        <m:t>∈</m:t>
                      </m:r>
                      <m:sSub>
                        <m:e>
                          <m:r>
                            <m:t>S</m:t>
                          </m:r>
                        </m:e>
                        <m:sub>
                          <m:sSub>
                            <m:e>
                              <m:r>
                                <m:t>d</m:t>
                              </m:r>
                            </m:e>
                            <m:sub>
                              <m:r>
                                <m:t>j</m:t>
                              </m:r>
                              <m:r>
                                <m:rPr>
                                  <m:sty m:val="p"/>
                                </m:rPr>
                                <m:t>,</m:t>
                              </m:r>
                              <m:r>
                                <m:t>t</m:t>
                              </m:r>
                            </m:sub>
                          </m:sSub>
                        </m:sub>
                      </m:sSub>
                    </m:sub>
                    <m:sup>
                      <m:r>
                        <m:t>​</m:t>
                      </m:r>
                    </m:sup>
                    <m:e>
                      <m:sSubSup>
                        <m:e>
                          <m:r>
                            <m:t>r</m:t>
                          </m:r>
                        </m:e>
                        <m:sub>
                          <m:r>
                            <m:t>s</m:t>
                          </m:r>
                        </m:sub>
                        <m:sup>
                          <m:r>
                            <m:t> </m:t>
                          </m:r>
                          <m:r>
                            <m:t>t</m:t>
                          </m:r>
                        </m:sup>
                      </m:sSubSup>
                    </m:e>
                  </m:nary>
                </m:num>
                <m:den>
                  <m:nary>
                    <m:naryPr>
                      <m:chr m:val="∑"/>
                      <m:limLoc m:val="undOvr"/>
                      <m:subHide m:val="off"/>
                      <m:supHide m:val="on"/>
                    </m:naryPr>
                    <m:sub>
                      <m:r>
                        <m:t>s</m:t>
                      </m:r>
                      <m:r>
                        <m:rPr>
                          <m:sty m:val="p"/>
                        </m:rPr>
                        <m:t>∈</m:t>
                      </m:r>
                      <m:sSub>
                        <m:e>
                          <m:r>
                            <m:t>S</m:t>
                          </m:r>
                        </m:e>
                        <m:sub>
                          <m:sSub>
                            <m:e>
                              <m:r>
                                <m:t>d</m:t>
                              </m:r>
                            </m:e>
                            <m:sub>
                              <m:r>
                                <m:t>j</m:t>
                              </m:r>
                              <m:r>
                                <m:rPr>
                                  <m:sty m:val="p"/>
                                </m:rPr>
                                <m:t>,</m:t>
                              </m:r>
                              <m:r>
                                <m:t>t</m:t>
                              </m:r>
                            </m:sub>
                          </m:sSub>
                        </m:sub>
                      </m:sSub>
                    </m:sub>
                    <m:sup>
                      <m:r>
                        <m:t>​</m:t>
                      </m:r>
                    </m:sup>
                    <m:e>
                      <m:sSubSup>
                        <m:e>
                          <m:r>
                            <m:t>l</m:t>
                          </m:r>
                        </m:e>
                        <m:sub>
                          <m:r>
                            <m:t>s</m:t>
                          </m:r>
                        </m:sub>
                        <m:sup>
                          <m:r>
                            <m:t> </m:t>
                          </m:r>
                          <m:r>
                            <m:t>t</m:t>
                          </m:r>
                        </m:sup>
                      </m:sSubSup>
                    </m:e>
                  </m:nary>
                </m:den>
              </m:f>
            </m:e>
          </m:d>
          <m:r>
            <m:rPr>
              <m:sty m:val="p"/>
            </m:rPr>
            <m:t>×</m:t>
          </m:r>
          <m:r>
            <m:t>60</m:t>
          </m:r>
        </m:oMath>
      </m:oMathPara>
    </w:p>
    <w:p>
      <w:pPr>
        <w:pStyle w:val="FirstParagraph"/>
      </w:pPr>
      <w:r>
        <w:t xml:space="preserve">where: d indexes drivers,</w:t>
      </w:r>
      <w:r>
        <w:t xml:space="preserve"> </w:t>
      </w:r>
      <m:oMath>
        <m:sSub>
          <m:e>
            <m:r>
              <m:t>D</m:t>
            </m:r>
          </m:e>
          <m:sub>
            <m:r>
              <m:t>j</m:t>
            </m:r>
            <m:r>
              <m:rPr>
                <m:sty m:val="p"/>
              </m:rPr>
              <m:t>,</m:t>
            </m:r>
            <m:r>
              <m:t>t</m:t>
            </m:r>
          </m:sub>
        </m:sSub>
      </m:oMath>
      <w:r>
        <w:t xml:space="preserve"> </w:t>
      </w:r>
      <w:r>
        <w:t xml:space="preserve">is the set of drivers active in area</w:t>
      </w:r>
      <w:r>
        <w:t xml:space="preserve"> </w:t>
      </w:r>
      <m:oMath>
        <m:r>
          <m:t>j</m:t>
        </m:r>
      </m:oMath>
      <w:r>
        <w:t xml:space="preserve"> </w:t>
      </w:r>
      <w:r>
        <w:t xml:space="preserve">during period</w:t>
      </w:r>
      <w:r>
        <w:t xml:space="preserve"> </w:t>
      </w:r>
      <m:oMath>
        <m:r>
          <m:t>t</m:t>
        </m:r>
      </m:oMath>
      <w:r>
        <w:t xml:space="preserve">,</w:t>
      </w:r>
      <w:r>
        <w:t xml:space="preserve"> </w:t>
      </w:r>
      <m:oMath>
        <m:r>
          <m:t>s</m:t>
        </m:r>
      </m:oMath>
      <w:r>
        <w:t xml:space="preserve"> </w:t>
      </w:r>
      <w:r>
        <w:t xml:space="preserve">indexes inferred shifts,</w:t>
      </w:r>
      <w:r>
        <w:t xml:space="preserve"> </w:t>
      </w:r>
      <m:oMath>
        <m:sSub>
          <m:e>
            <m:r>
              <m:t>S</m:t>
            </m:r>
          </m:e>
          <m:sub>
            <m:r>
              <m:t>d</m:t>
            </m:r>
            <m:r>
              <m:rPr>
                <m:sty m:val="p"/>
              </m:rPr>
              <m:t>,</m:t>
            </m:r>
            <m:r>
              <m:t>j</m:t>
            </m:r>
            <m:r>
              <m:rPr>
                <m:sty m:val="p"/>
              </m:rPr>
              <m:t>,</m:t>
            </m:r>
            <m:r>
              <m:t>t</m:t>
            </m:r>
          </m:sub>
        </m:sSub>
      </m:oMath>
      <w:r>
        <w:t xml:space="preserve">is the set of shifts worked by driver d in area</w:t>
      </w:r>
      <w:r>
        <w:t xml:space="preserve"> </w:t>
      </w:r>
      <m:oMath>
        <m:r>
          <m:t>j</m:t>
        </m:r>
      </m:oMath>
      <w:r>
        <w:t xml:space="preserve">, period</w:t>
      </w:r>
      <w:r>
        <w:t xml:space="preserve"> </w:t>
      </w:r>
      <m:oMath>
        <m:r>
          <m:t>t</m:t>
        </m:r>
      </m:oMath>
      <w:r>
        <w:t xml:space="preserve">,</w:t>
      </w:r>
      <w:r>
        <w:t xml:space="preserve"> </w:t>
      </w:r>
      <m:oMath>
        <m:sSub>
          <m:e>
            <m:r>
              <m:t>r</m:t>
            </m:r>
          </m:e>
          <m:sub>
            <m:r>
              <m:t>s</m:t>
            </m:r>
          </m:sub>
        </m:sSub>
      </m:oMath>
      <w:r>
        <w:t xml:space="preserve"> </w:t>
      </w:r>
      <w:r>
        <w:t xml:space="preserve">is total fare revenue earned during shift</w:t>
      </w:r>
      <w:r>
        <w:t xml:space="preserve"> </w:t>
      </w:r>
      <m:oMath>
        <m:r>
          <m:t>s</m:t>
        </m:r>
      </m:oMath>
      <w:r>
        <w:t xml:space="preserve">,</w:t>
      </w:r>
      <w:r>
        <w:t xml:space="preserve"> </w:t>
      </w:r>
      <m:oMath>
        <m:sSub>
          <m:e>
            <m:r>
              <m:t>l</m:t>
            </m:r>
          </m:e>
          <m:sub>
            <m:r>
              <m:t>s</m:t>
            </m:r>
          </m:sub>
        </m:sSub>
      </m:oMath>
      <w:r>
        <w:t xml:space="preserve"> </w:t>
      </w:r>
      <w:r>
        <w:t xml:space="preserve">the length of shift s in minutes.</w:t>
      </w:r>
    </w:p>
    <w:p>
      <w:pPr>
        <w:pStyle w:val="BodyText"/>
      </w:pPr>
      <w:r>
        <w:t xml:space="preserve">The calculation of this indicator involves nested aggregations and multiple sub metrics, we hence provided a note on the computation here. Driver shifts are not explicitly reported in the Trip Database. Instead, shifts are inferred using observed trip activity.</w:t>
      </w:r>
      <w:r>
        <w:t xml:space="preserve"> </w:t>
      </w:r>
      <w:r>
        <w:t xml:space="preserve">- First, trips are ordered chronologically for each driver.</w:t>
      </w:r>
      <w:r>
        <w:t xml:space="preserve"> </w:t>
      </w:r>
      <w:r>
        <w:t xml:space="preserve">- A new shift is assumed to begin when the time gap between the end of one trip and the assignment time of the next trip exceeds 60 minutes.</w:t>
      </w:r>
      <w:r>
        <w:t xml:space="preserve"> </w:t>
      </w:r>
      <w:r>
        <w:t xml:space="preserve">- Trips separated by 60 minutes or less are treated as belonging to the same continuous working shift.</w:t>
      </w:r>
      <w:r>
        <w:t xml:space="preserve"> </w:t>
      </w:r>
      <w:r>
        <w:t xml:space="preserve">This approach approximates continuous working periods (clusters) while avoiding over-fragmentation of shifts due to short breaks between trips. We performed sensitivity analysis changing the gap time from 60 minutes to 45, 75, 90, and 120 minutes, and the resulting total working time is not sensitive to this parameter from 45 to 90 minutes.</w:t>
      </w:r>
      <w:r>
        <w:t xml:space="preserve"> </w:t>
      </w:r>
      <w:r>
        <w:t xml:space="preserve">Reported statistics: For each inferred shift, we report the following statistics:</w:t>
      </w:r>
      <w:r>
        <w:t xml:space="preserve"> </w:t>
      </w:r>
      <w:r>
        <w:t xml:space="preserve">- Shift fare revenue, which is measured by the sum of total passenger fares collected across all trips within the shift.</w:t>
      </w:r>
      <w:r>
        <w:t xml:space="preserve"> </w:t>
      </w:r>
      <w:r>
        <w:t xml:space="preserve">- Shift length, which is then calculated by the elapsed time (in minutes) between the first vehicle assignment and the final drop-off in the shift.</w:t>
      </w:r>
      <w:r>
        <w:t xml:space="preserve"> </w:t>
      </w:r>
      <w:r>
        <w:t xml:space="preserve">- Shift occupancy, which is calculated as the sum of trip durations within the shift.</w:t>
      </w:r>
      <w:r>
        <w:t xml:space="preserve"> </w:t>
      </w:r>
      <w:r>
        <w:t xml:space="preserve">Within each calendar month, shift-level measures are aggregated at the driver level:</w:t>
      </w:r>
      <w:r>
        <w:t xml:space="preserve"> </w:t>
      </w:r>
      <w:r>
        <w:t xml:space="preserve">- Total monthly shift fare revenue is calculated by summing shift fare revenue.</w:t>
      </w:r>
      <w:r>
        <w:t xml:space="preserve"> </w:t>
      </w:r>
      <w:r>
        <w:t xml:space="preserve">- Total monthly working time is calculated by summing shift lengths.</w:t>
      </w:r>
      <w:r>
        <w:t xml:space="preserve"> </w:t>
      </w:r>
      <w:r>
        <w:t xml:space="preserve">- Average driver hourly revenue is computed as:</w:t>
      </w:r>
    </w:p>
    <w:p>
      <w:pPr>
        <w:pStyle w:val="BodyText"/>
      </w:pPr>
      <w:r>
        <w:t xml:space="preserve">Average hourly revenue is then defined as</w:t>
      </w:r>
      <w:r>
        <w:t xml:space="preserve"> </w:t>
      </w:r>
      <m:oMath>
        <m:r>
          <m:t>G</m:t>
        </m:r>
        <m:r>
          <m:t>H</m:t>
        </m:r>
        <m:sSub>
          <m:e>
            <m:r>
              <m:t>E</m:t>
            </m:r>
          </m:e>
          <m:sub>
            <m:r>
              <m:t>j</m:t>
            </m:r>
            <m:r>
              <m:rPr>
                <m:sty m:val="p"/>
              </m:rPr>
              <m:t>,</m:t>
            </m:r>
            <m:r>
              <m:t>t</m:t>
            </m:r>
          </m:sub>
        </m:sSub>
        <m:r>
          <m:rPr>
            <m:sty m:val="p"/>
          </m:rPr>
          <m:t>=</m:t>
        </m:r>
        <m:sSub>
          <m:e>
            <m:r>
              <m:rPr>
                <m:sty m:val="p"/>
              </m:rPr>
              <m:t>Median</m:t>
            </m:r>
          </m:e>
          <m:sub>
            <m:r>
              <m:t>u</m:t>
            </m:r>
            <m:r>
              <m:rPr>
                <m:sty m:val="p"/>
              </m:rPr>
              <m:t>∈</m:t>
            </m:r>
            <m:sSub>
              <m:e>
                <m:r>
                  <m:t>D</m:t>
                </m:r>
              </m:e>
              <m:sub>
                <m:r>
                  <m:t>j</m:t>
                </m:r>
                <m:r>
                  <m:rPr>
                    <m:sty m:val="p"/>
                  </m:rPr>
                  <m:t>,</m:t>
                </m:r>
                <m:r>
                  <m:t>t</m:t>
                </m:r>
              </m:sub>
            </m:sSub>
          </m:sub>
        </m:sSub>
        <m:d>
          <m:dPr>
            <m:begChr m:val="("/>
            <m:sepChr m:val=""/>
            <m:endChr m:val=")"/>
            <m:grow/>
          </m:dPr>
          <m:e>
            <m:f>
              <m:fPr>
                <m:type m:val="bar"/>
              </m:fPr>
              <m:num>
                <m:nary>
                  <m:naryPr>
                    <m:chr m:val="∑"/>
                    <m:limLoc m:val="undOvr"/>
                    <m:subHide m:val="off"/>
                    <m:supHide m:val="on"/>
                  </m:naryPr>
                  <m:sub>
                    <m:r>
                      <m:t>s</m:t>
                    </m:r>
                    <m:r>
                      <m:rPr>
                        <m:sty m:val="p"/>
                      </m:rPr>
                      <m:t>∈</m:t>
                    </m:r>
                    <m:sSub>
                      <m:e>
                        <m:r>
                          <m:t>S</m:t>
                        </m:r>
                      </m:e>
                      <m:sub>
                        <m:sSub>
                          <m:e>
                            <m:r>
                              <m:t>d</m:t>
                            </m:r>
                          </m:e>
                          <m:sub>
                            <m:r>
                              <m:t>j</m:t>
                            </m:r>
                            <m:r>
                              <m:rPr>
                                <m:sty m:val="p"/>
                              </m:rPr>
                              <m:t>,</m:t>
                            </m:r>
                            <m:r>
                              <m:t>t</m:t>
                            </m:r>
                          </m:sub>
                        </m:sSub>
                      </m:sub>
                    </m:sSub>
                  </m:sub>
                  <m:sup>
                    <m:r>
                      <m:t>​</m:t>
                    </m:r>
                  </m:sup>
                  <m:e>
                    <m:sSubSup>
                      <m:e>
                        <m:r>
                          <m:t>r</m:t>
                        </m:r>
                      </m:e>
                      <m:sub>
                        <m:r>
                          <m:t>s</m:t>
                        </m:r>
                      </m:sub>
                      <m:sup>
                        <m:r>
                          <m:t> </m:t>
                        </m:r>
                        <m:r>
                          <m:t>t</m:t>
                        </m:r>
                      </m:sup>
                    </m:sSubSup>
                  </m:e>
                </m:nary>
              </m:num>
              <m:den>
                <m:nary>
                  <m:naryPr>
                    <m:chr m:val="∑"/>
                    <m:limLoc m:val="undOvr"/>
                    <m:subHide m:val="off"/>
                    <m:supHide m:val="on"/>
                  </m:naryPr>
                  <m:sub>
                    <m:r>
                      <m:t>s</m:t>
                    </m:r>
                    <m:r>
                      <m:rPr>
                        <m:sty m:val="p"/>
                      </m:rPr>
                      <m:t>∈</m:t>
                    </m:r>
                    <m:sSub>
                      <m:e>
                        <m:r>
                          <m:t>S</m:t>
                        </m:r>
                      </m:e>
                      <m:sub>
                        <m:sSub>
                          <m:e>
                            <m:r>
                              <m:t>d</m:t>
                            </m:r>
                          </m:e>
                          <m:sub>
                            <m:r>
                              <m:t>j</m:t>
                            </m:r>
                            <m:r>
                              <m:rPr>
                                <m:sty m:val="p"/>
                              </m:rPr>
                              <m:t>,</m:t>
                            </m:r>
                            <m:r>
                              <m:t>t</m:t>
                            </m:r>
                          </m:sub>
                        </m:sSub>
                      </m:sub>
                    </m:sSub>
                  </m:sub>
                  <m:sup>
                    <m:r>
                      <m:t>​</m:t>
                    </m:r>
                  </m:sup>
                  <m:e>
                    <m:sSubSup>
                      <m:e>
                        <m:r>
                          <m:t>l</m:t>
                        </m:r>
                      </m:e>
                      <m:sub>
                        <m:r>
                          <m:t>s</m:t>
                        </m:r>
                      </m:sub>
                      <m:sup>
                        <m:r>
                          <m:t> </m:t>
                        </m:r>
                        <m:r>
                          <m:t>t</m:t>
                        </m:r>
                      </m:sup>
                    </m:sSubSup>
                  </m:e>
                </m:nary>
              </m:den>
            </m:f>
          </m:e>
        </m:d>
        <m:r>
          <m:rPr>
            <m:sty m:val="p"/>
          </m:rPr>
          <m:t>×</m:t>
        </m:r>
        <m:r>
          <m:t>60</m:t>
        </m:r>
      </m:oMath>
      <w:r>
        <w:t xml:space="preserve"> </w:t>
      </w:r>
      <w:r>
        <w:t xml:space="preserve">(refer to the main equation in this indicator section). This produces a per-driver monthly estimate of gross fare revenue per working hour. The median is used and reported instead of the mean to reduce sensitivity to extreme values and to better reflect typical driver experience within the sector.</w:t>
      </w:r>
    </w:p>
    <w:bookmarkEnd w:id="141"/>
    <w:bookmarkStart w:id="142" w:name="variety-factor"/>
    <w:p>
      <w:pPr>
        <w:pStyle w:val="Heading3"/>
      </w:pPr>
      <w:r>
        <w:t xml:space="preserve">Variety Factor</w:t>
      </w:r>
    </w:p>
    <w:p>
      <w:pPr>
        <w:pStyle w:val="FirstParagraph"/>
      </w:pPr>
      <w:r>
        <w:t xml:space="preserve">There is no analysis related to this factor.</w:t>
      </w:r>
    </w:p>
    <w:bookmarkEnd w:id="142"/>
    <w:bookmarkEnd w:id="143"/>
    <w:bookmarkStart w:id="148" w:name="appendix-2-technical-methodology"/>
    <w:p>
      <w:pPr>
        <w:pStyle w:val="Heading2"/>
      </w:pPr>
      <w:r>
        <w:t xml:space="preserve">Appendix 2: Technical Methodology</w:t>
      </w:r>
    </w:p>
    <w:bookmarkStart w:id="147" w:name="new-vehicle-occupancy-rate"/>
    <w:p>
      <w:pPr>
        <w:pStyle w:val="Heading3"/>
      </w:pPr>
      <w:r>
        <w:t xml:space="preserve">New Vehicle Occupancy Rate</w:t>
      </w:r>
    </w:p>
    <w:p>
      <w:pPr>
        <w:pStyle w:val="FirstParagraph"/>
      </w:pPr>
      <w:r>
        <w:t xml:space="preserve">Table 14: U.S. Cities VOR (2016)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City</w:t>
            </w:r>
          </w:p>
        </w:tc>
        <w:tc>
          <w:tcPr/>
          <w:p>
            <w:pPr>
              <w:pStyle w:val="Compact"/>
            </w:pPr>
            <w:r>
              <w:t xml:space="preserve">Taxi VOR (%)</w:t>
            </w:r>
          </w:p>
        </w:tc>
        <w:tc>
          <w:tcPr/>
          <w:p>
            <w:pPr>
              <w:pStyle w:val="Compact"/>
            </w:pPr>
            <w:r>
              <w:t xml:space="preserve">Uber VOR (%)</w:t>
            </w:r>
          </w:p>
        </w:tc>
      </w:tr>
      <w:tr>
        <w:tc>
          <w:tcPr/>
          <w:p>
            <w:pPr>
              <w:pStyle w:val="Compact"/>
            </w:pPr>
            <w:r>
              <w:t xml:space="preserve">Boston</w:t>
            </w:r>
          </w:p>
        </w:tc>
        <w:tc>
          <w:tcPr/>
          <w:p>
            <w:pPr>
              <w:pStyle w:val="Compact"/>
            </w:pPr>
            <w:r>
              <w:t xml:space="preserve">47</w:t>
            </w:r>
          </w:p>
        </w:tc>
        <w:tc>
          <w:tcPr/>
          <w:p>
            <w:pPr>
              <w:pStyle w:val="Compact"/>
            </w:pPr>
            <w:r>
              <w:t xml:space="preserve">55</w:t>
            </w:r>
          </w:p>
        </w:tc>
      </w:tr>
      <w:tr>
        <w:tc>
          <w:tcPr/>
          <w:p>
            <w:pPr>
              <w:pStyle w:val="Compact"/>
            </w:pPr>
            <w:r>
              <w:t xml:space="preserve">Los Angeles</w:t>
            </w:r>
          </w:p>
        </w:tc>
        <w:tc>
          <w:tcPr/>
          <w:p>
            <w:pPr>
              <w:pStyle w:val="Compact"/>
            </w:pPr>
            <w:r>
              <w:t xml:space="preserve">53</w:t>
            </w:r>
          </w:p>
        </w:tc>
        <w:tc>
          <w:tcPr/>
          <w:p>
            <w:pPr>
              <w:pStyle w:val="Compact"/>
            </w:pPr>
            <w:r>
              <w:t xml:space="preserve">63</w:t>
            </w:r>
          </w:p>
        </w:tc>
      </w:tr>
      <w:tr>
        <w:tc>
          <w:tcPr/>
          <w:p>
            <w:pPr>
              <w:pStyle w:val="Compact"/>
            </w:pPr>
            <w:r>
              <w:t xml:space="preserve">New York City</w:t>
            </w:r>
          </w:p>
        </w:tc>
        <w:tc>
          <w:tcPr/>
          <w:p>
            <w:pPr>
              <w:pStyle w:val="Compact"/>
            </w:pPr>
            <w:r>
              <w:t xml:space="preserve">53</w:t>
            </w:r>
          </w:p>
        </w:tc>
        <w:tc>
          <w:tcPr/>
          <w:p>
            <w:pPr>
              <w:pStyle w:val="Compact"/>
            </w:pPr>
            <w:r>
              <w:t xml:space="preserve">68</w:t>
            </w:r>
          </w:p>
        </w:tc>
      </w:tr>
      <w:tr>
        <w:tc>
          <w:tcPr/>
          <w:p>
            <w:pPr>
              <w:pStyle w:val="Compact"/>
            </w:pPr>
            <w:r>
              <w:t xml:space="preserve">San Francisco</w:t>
            </w:r>
          </w:p>
        </w:tc>
        <w:tc>
          <w:tcPr/>
          <w:p>
            <w:pPr>
              <w:pStyle w:val="Compact"/>
            </w:pPr>
            <w:r>
              <w:t xml:space="preserve">52</w:t>
            </w:r>
          </w:p>
        </w:tc>
        <w:tc>
          <w:tcPr/>
          <w:p>
            <w:pPr>
              <w:pStyle w:val="Compact"/>
            </w:pPr>
            <w:r>
              <w:t xml:space="preserve">65</w:t>
            </w:r>
          </w:p>
        </w:tc>
      </w:tr>
      <w:tr>
        <w:tc>
          <w:tcPr/>
          <w:p>
            <w:pPr>
              <w:pStyle w:val="Compact"/>
            </w:pPr>
            <w:r>
              <w:t xml:space="preserve">Washington, D.C.</w:t>
            </w:r>
          </w:p>
        </w:tc>
        <w:tc>
          <w:tcPr/>
          <w:p>
            <w:pPr>
              <w:pStyle w:val="Compact"/>
            </w:pPr>
            <w:r>
              <w:t xml:space="preserve">50</w:t>
            </w:r>
          </w:p>
        </w:tc>
        <w:tc>
          <w:tcPr/>
          <w:p>
            <w:pPr>
              <w:pStyle w:val="Compact"/>
            </w:pPr>
            <w:r>
              <w:t xml:space="preserve">58</w:t>
            </w:r>
          </w:p>
        </w:tc>
      </w:tr>
    </w:tbl>
    <w:p>
      <w:pPr>
        <w:pStyle w:val="BodyText"/>
      </w:pPr>
      <w:r>
        <w:rPr>
          <w:i/>
          <w:iCs/>
        </w:rPr>
        <w:t xml:space="preserve">Figure 11: New York City VOR (2023 and 2024)</w:t>
      </w:r>
    </w:p>
    <w:p>
      <w:pPr>
        <w:pStyle w:val="BodyText"/>
      </w:pPr>
      <w:r>
        <w:drawing>
          <wp:inline>
            <wp:extent cx="5334000" cy="2667000"/>
            <wp:effectExtent b="0" l="0" r="0" t="0"/>
            <wp:docPr descr="" title="" id="145" name="Picture"/>
            <a:graphic>
              <a:graphicData uri="http://schemas.openxmlformats.org/drawingml/2006/picture">
                <pic:pic>
                  <pic:nvPicPr>
                    <pic:cNvPr descr="img-cache/VOR.png" id="146" name="Picture"/>
                    <pic:cNvPicPr>
                      <a:picLocks noChangeArrowheads="1" noChangeAspect="1"/>
                    </pic:cNvPicPr>
                  </pic:nvPicPr>
                  <pic:blipFill>
                    <a:blip r:embed="rId144"/>
                    <a:stretch>
                      <a:fillRect/>
                    </a:stretch>
                  </pic:blipFill>
                  <pic:spPr bwMode="auto">
                    <a:xfrm>
                      <a:off x="0" y="0"/>
                      <a:ext cx="5334000" cy="2667000"/>
                    </a:xfrm>
                    <a:prstGeom prst="rect">
                      <a:avLst/>
                    </a:prstGeom>
                    <a:noFill/>
                    <a:ln w="9525">
                      <a:noFill/>
                      <a:headEnd/>
                      <a:tailEnd/>
                    </a:ln>
                  </pic:spPr>
                </pic:pic>
              </a:graphicData>
            </a:graphic>
          </wp:inline>
        </w:drawing>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Year-over-year (YoY) compares September 2024 with September 2023, while year-to-date (YTD) compares the cumulative data from January to September 2024 with the same period in 2023. YoY evaluates specific monthly changes, while YTD assesses trends over a recent period of time.</w:t>
      </w:r>
    </w:p>
  </w:footnote>
  <w:footnote w:id="51">
    <w:p>
      <w:pPr>
        <w:pStyle w:val="FootnoteText"/>
      </w:pPr>
      <w:r>
        <w:rPr>
          <w:rStyle w:val="FootnoteReference"/>
        </w:rPr>
        <w:footnoteRef/>
      </w:r>
      <w:r>
        <w:t xml:space="preserve"> </w:t>
      </w:r>
      <w:r>
        <w:t xml:space="preserve">Statistics Canada. (2024). Table 17-10-0152-01 Population estimates, July 1, by census division, 2021 boundaries.https://www150.statcan.gc.ca/t1/tbl1/en/tv.action?pid=1710015201</w:t>
      </w:r>
    </w:p>
  </w:footnote>
  <w:footnote w:id="58">
    <w:p>
      <w:pPr>
        <w:pStyle w:val="FootnoteText"/>
      </w:pPr>
      <w:r>
        <w:rPr>
          <w:rStyle w:val="FootnoteReference"/>
        </w:rPr>
        <w:footnoteRef/>
      </w:r>
      <w:r>
        <w:t xml:space="preserve"> </w:t>
      </w:r>
      <w:r>
        <w:t xml:space="preserve">Statistics Canada. (2024). Table 14-10-0222-01 Employment, average hourly and weekly earnings (including overtime), and average weekly hours for the industrial aggregate excluding unclassified businesses, monthly,seasonally adjusted [Data table]. https://www150.statcan.gc.ca/t1/tbl1/en/tv.action?pid=1410022201&amp;pickMembers%5B0%5D=1.11&amp;cubeTimeFrame.startMonth=01&amp;cubeTimeFrame.startYear=2022&amp;cubeTimeFrame.endMonth=07&amp;cubeTimeFrame.endYear=2024&amp;referencePeriods=20220101%2C20240701</w:t>
      </w:r>
    </w:p>
  </w:footnote>
  <w:footnote w:id="65">
    <w:p>
      <w:pPr>
        <w:pStyle w:val="FootnoteText"/>
      </w:pPr>
      <w:r>
        <w:rPr>
          <w:rStyle w:val="FootnoteReference"/>
        </w:rPr>
        <w:footnoteRef/>
      </w:r>
      <w:r>
        <w:t xml:space="preserve"> </w:t>
      </w:r>
      <w:r>
        <w:t xml:space="preserve">There are a few trips whose distances are exactly 5 kilometres from the Trip Database. As such, all trips with distances not longer than 5.5 kilometres and not shorter than 4.5 kilometres were pooled together to calculate the fare distribution for a 5-kilometre trip. Fares for pooled trips were divided by their respective lengths, which is fare per kilometre, and then were multiplied by 5, yielding the fare distribution for a 5-kilometre trip.</w:t>
      </w:r>
    </w:p>
  </w:footnote>
  <w:footnote w:id="90">
    <w:p>
      <w:pPr>
        <w:pStyle w:val="FootnoteText"/>
      </w:pPr>
      <w:r>
        <w:rPr>
          <w:rStyle w:val="FootnoteReference"/>
        </w:rPr>
        <w:footnoteRef/>
      </w:r>
      <w:r>
        <w:t xml:space="preserve"> </w:t>
      </w:r>
      <w:r>
        <w:t xml:space="preserve">The method of calculating The Vehicle Occupancy Rate Possible Range has been included in the Appendix.</w:t>
      </w:r>
    </w:p>
  </w:footnote>
  <w:footnote w:id="91">
    <w:p>
      <w:pPr>
        <w:pStyle w:val="FootnoteText"/>
      </w:pPr>
      <w:r>
        <w:rPr>
          <w:rStyle w:val="FootnoteReference"/>
        </w:rPr>
        <w:footnoteRef/>
      </w:r>
      <w:r>
        <w:t xml:space="preserve"> </w:t>
      </w:r>
      <w:r>
        <w:t xml:space="preserve">Data from Cramer, J., &amp; Krueger, A. B. (2016). Disruptive Change in the Taxi Business: The Case of Uber. American Economic Review, 106(5), 177–182. https://www.aeaweb.org/articles?id=10.1257/aer.p20161002.</w:t>
      </w:r>
    </w:p>
  </w:footnote>
  <w:footnote w:id="92">
    <w:p>
      <w:pPr>
        <w:pStyle w:val="FootnoteText"/>
      </w:pPr>
      <w:r>
        <w:rPr>
          <w:rStyle w:val="FootnoteReference"/>
        </w:rPr>
        <w:footnoteRef/>
      </w:r>
      <w:r>
        <w:t xml:space="preserve"> </w:t>
      </w:r>
      <w:r>
        <w:t xml:space="preserve">Data from NYC Taxi &amp; Limousine Commission (TLC). (2024). TLC Factbook: Data Dashboard for Industry Trends. Available at https://app.powerbigov.us/view?r=eyJrIjoiY2FlNjI3YWQtMDkzOS00MjliLTk0MTQtODc2NzU4OTYwNjFiIiwidCI6IjMyZjU2ZmM3LTVmODEtNGUyMi1hOTViLTE1ZGE2NjUxM2JlZiJ9&amp;pageName=ReportSection28c004ce23fc37acd783.</w:t>
      </w:r>
    </w:p>
  </w:footnote>
  <w:footnote w:id="128">
    <w:p>
      <w:pPr>
        <w:pStyle w:val="FootnoteText"/>
      </w:pPr>
      <w:r>
        <w:rPr>
          <w:rStyle w:val="FootnoteReference"/>
        </w:rPr>
        <w:footnoteRef/>
      </w:r>
      <w:r>
        <w:t xml:space="preserve"> </w:t>
      </w:r>
      <w:r>
        <w:t xml:space="preserve">Novotný, J. (2007). On the measurement of regional inequality: Does spatial dimension of income inequality matter? Annals of Regional Science, 41(3), 563-580. https://web.natur.cuni.cz/~pepino/NOVOTNY2007AnnalsofRegionalScience.pdf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20" Target="https://www.ptboard.bc.ca/policy-manual" TargetMode="External" /></Relationships>
</file>

<file path=word/_rels/footnotes.xml.rels><?xml version="1.0" encoding="UTF-8"?><Relationships xmlns="http://schemas.openxmlformats.org/package/2006/relationships"><Relationship Type="http://schemas.openxmlformats.org/officeDocument/2006/relationships/hyperlink" Id="rId20" Target="https://www.ptboard.bc.ca/policy-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2026-02-02T03:35:10Z</dcterms:created>
  <dcterms:modified xsi:type="dcterms:W3CDTF">2026-02-02T03:35:10Z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_sections">
    <vt:lpwstr>True</vt:lpwstr>
  </property>
  <property fmtid="{D5CDD505-2E9C-101B-9397-08002B2CF9AE}" pid="9" name="toc-title">
    <vt:lpwstr>Table of contents</vt:lpwstr>
  </property>
</Properties>
</file>