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35.png" ContentType="image/png"/>
  <Override PartName="/word/media/rId38.png" ContentType="image/png"/>
  <Override PartName="/word/media/rId44.png" ContentType="image/png"/>
  <Override PartName="/word/media/rId47.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30"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9"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r>
        <w:br/>
      </w:r>
    </w:p>
    <w:p>
      <w:pPr>
        <w:pStyle w:val="Compact"/>
        <w:numPr>
          <w:ilvl w:val="0"/>
          <w:numId w:val="1008"/>
        </w:numPr>
      </w:pPr>
      <w:r>
        <w:t xml:space="preserve">Competition</w:t>
      </w:r>
      <w:r>
        <w:br/>
      </w:r>
    </w:p>
    <w:p>
      <w:pPr>
        <w:pStyle w:val="Compact"/>
        <w:numPr>
          <w:ilvl w:val="0"/>
          <w:numId w:val="1008"/>
        </w:numPr>
      </w:pPr>
      <w:r>
        <w:t xml:space="preserve">Innovation</w:t>
      </w:r>
      <w:r>
        <w:br/>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r>
        <w:drawing>
          <wp:inline>
            <wp:extent cx="5943600" cy="3552825"/>
            <wp:effectExtent b="0" l="0" r="0" t="0"/>
            <wp:docPr descr="" title="" id="27" name="Picture"/>
            <a:graphic>
              <a:graphicData uri="http://schemas.openxmlformats.org/drawingml/2006/picture">
                <pic:pic>
                  <pic:nvPicPr>
                    <pic:cNvPr descr="images/Picture1.png" id="28" name="Picture"/>
                    <pic:cNvPicPr>
                      <a:picLocks noChangeArrowheads="1" noChangeAspect="1"/>
                    </pic:cNvPicPr>
                  </pic:nvPicPr>
                  <pic:blipFill>
                    <a:blip r:embed="rId26"/>
                    <a:stretch>
                      <a:fillRect/>
                    </a:stretch>
                  </pic:blipFill>
                  <pic:spPr bwMode="auto">
                    <a:xfrm>
                      <a:off x="0" y="0"/>
                      <a:ext cx="5943600" cy="3552825"/>
                    </a:xfrm>
                    <a:prstGeom prst="rect">
                      <a:avLst/>
                    </a:prstGeom>
                    <a:noFill/>
                    <a:ln w="9525">
                      <a:noFill/>
                      <a:headEnd/>
                      <a:tailEnd/>
                    </a:ln>
                  </pic:spPr>
                </pic:pic>
              </a:graphicData>
            </a:graphic>
          </wp:inline>
        </w:drawing>
      </w: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9"/>
    <w:bookmarkEnd w:id="30"/>
    <w:bookmarkStart w:id="31"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31"/>
    <w:bookmarkStart w:id="32"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32"/>
    <w:bookmarkStart w:id="51"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4" w:name="demand-factor-pn"/>
    <w:p>
      <w:pPr>
        <w:pStyle w:val="Heading3"/>
      </w:pPr>
      <w:r>
        <w:t xml:space="preserve">Demand Factor (PN)</w:t>
      </w:r>
    </w:p>
    <w:bookmarkStart w:id="33"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3"/>
    <w:bookmarkEnd w:id="34"/>
    <w:bookmarkStart w:id="42" w:name="Xc775df737be167d1d889a18c2b7de24b8ba130d"/>
    <w:p>
      <w:pPr>
        <w:pStyle w:val="Heading3"/>
      </w:pPr>
      <w:r>
        <w:t xml:space="preserve">Metro Vancouver Regional District Trip Volume Findings</w:t>
      </w:r>
    </w:p>
    <w:p>
      <w:pPr>
        <w:pStyle w:val="FirstParagraph"/>
      </w:pPr>
      <w:r>
        <w:rPr>
          <w:b/>
          <w:bCs/>
        </w:rPr>
        <w:t xml:space="preserve">Table 1: Metro Vancouver Regional District Trip Volume</w:t>
      </w:r>
    </w:p>
    <w:p>
      <w:pPr>
        <w:pStyle w:val="BodyText"/>
      </w:pPr>
      <w:r>
        <w:drawing>
          <wp:inline>
            <wp:extent cx="5943600" cy="1485900"/>
            <wp:effectExtent b="0" l="0" r="0" t="0"/>
            <wp:docPr descr="" title="" id="36" name="Picture"/>
            <a:graphic>
              <a:graphicData uri="http://schemas.openxmlformats.org/drawingml/2006/picture">
                <pic:pic>
                  <pic:nvPicPr>
                    <pic:cNvPr descr="images/Picture2.png" id="37" name="Picture"/>
                    <pic:cNvPicPr>
                      <a:picLocks noChangeArrowheads="1" noChangeAspect="1"/>
                    </pic:cNvPicPr>
                  </pic:nvPicPr>
                  <pic:blipFill>
                    <a:blip r:embed="rId35"/>
                    <a:stretch>
                      <a:fillRect/>
                    </a:stretch>
                  </pic:blipFill>
                  <pic:spPr bwMode="auto">
                    <a:xfrm>
                      <a:off x="0" y="0"/>
                      <a:ext cx="5943600" cy="1485900"/>
                    </a:xfrm>
                    <a:prstGeom prst="rect">
                      <a:avLst/>
                    </a:prstGeom>
                    <a:noFill/>
                    <a:ln w="9525">
                      <a:noFill/>
                      <a:headEnd/>
                      <a:tailEnd/>
                    </a:ln>
                  </pic:spPr>
                </pic:pic>
              </a:graphicData>
            </a:graphic>
          </wp:inline>
        </w:drawing>
      </w:r>
    </w:p>
    <w:p>
      <w:pPr>
        <w:pStyle w:val="BodyText"/>
      </w:pPr>
      <w:r>
        <w:rPr>
          <w:i/>
          <w:iCs/>
        </w:rPr>
        <w:t xml:space="preserve">Figure 1: Metro Vancouver Regional District Trip Volume</w:t>
      </w:r>
    </w:p>
    <w:p>
      <w:pPr>
        <w:pStyle w:val="BodyText"/>
      </w:pPr>
      <w:r>
        <w:drawing>
          <wp:inline>
            <wp:extent cx="5943600" cy="1952625"/>
            <wp:effectExtent b="0" l="0" r="0" t="0"/>
            <wp:docPr descr="" title="" id="39" name="Picture"/>
            <a:graphic>
              <a:graphicData uri="http://schemas.openxmlformats.org/drawingml/2006/picture">
                <pic:pic>
                  <pic:nvPicPr>
                    <pic:cNvPr descr="images/Picture3.png" id="40" name="Picture"/>
                    <pic:cNvPicPr>
                      <a:picLocks noChangeArrowheads="1" noChangeAspect="1"/>
                    </pic:cNvPicPr>
                  </pic:nvPicPr>
                  <pic:blipFill>
                    <a:blip r:embed="rId38"/>
                    <a:stretch>
                      <a:fillRect/>
                    </a:stretch>
                  </pic:blipFill>
                  <pic:spPr bwMode="auto">
                    <a:xfrm>
                      <a:off x="0" y="0"/>
                      <a:ext cx="5943600" cy="1952625"/>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Metro Vancouver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41"/>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Metro Vancouver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p>
      <w:r>
        <w:pict>
          <v:rect style="width:0;height:1.5pt" o:hralign="center" o:hrstd="t" o:hr="t"/>
        </w:pict>
      </w:r>
    </w:p>
    <w:bookmarkEnd w:id="42"/>
    <w:bookmarkStart w:id="43" w:name="trip-revenue-jun"/>
    <w:p>
      <w:pPr>
        <w:pStyle w:val="Heading3"/>
      </w:pPr>
      <w:r>
        <w:t xml:space="preserve">Trip Revenue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revenue represents, in nominal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revenue is calculated as the total fare amount of all completed trips reported to the Trip Database in an area over a month.</w:t>
      </w:r>
    </w:p>
    <w:p>
      <w:pPr>
        <w:pStyle w:val="BodyText"/>
      </w:pPr>
      <w:r>
        <w:rPr>
          <w:b/>
          <w:bCs/>
        </w:rPr>
        <w:t xml:space="preserve">Interpretations:</w:t>
      </w:r>
      <w:r>
        <w:t xml:space="preserve"> </w:t>
      </w:r>
      <w:r>
        <w:t xml:space="preserve">Increases in taxi trip revenue or TNS trip revenue indicate growth of quantity demanded in the respective markets. Moreover, a shift in trip revenue from the taxi sector to the TNS sector can signify a structural change in market dynamics, suggesting evolving consumer preferences or competition between the two types of partially substitutable services.</w:t>
      </w:r>
    </w:p>
    <w:p>
      <w:pPr>
        <w:pStyle w:val="BodyText"/>
      </w:pPr>
      <w:r>
        <w:t xml:space="preserve">As stated previously, it is helpful to note that although taxis and TNS are similar, they are not the same. Taxis and TNS, while partially interchangeable, ultimately serve distinct consumer needs and preferences, reflecting their roles as separate yet complementary services in the transportation market. Any higher combined revenue of taxi and TNS trips can result from offering passengers greater choice, not the inherent superiority of one service over the other.</w:t>
      </w:r>
    </w:p>
    <w:p>
      <w:pPr>
        <w:pStyle w:val="BodyText"/>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revenue:</w:t>
      </w:r>
    </w:p>
    <w:p>
      <w:pPr>
        <w:pStyle w:val="Compact"/>
        <w:numPr>
          <w:ilvl w:val="0"/>
          <w:numId w:val="1013"/>
        </w:numPr>
      </w:pPr>
      <w:r>
        <w:t xml:space="preserve">There are people who would use the proposed service. There are people who require access to, or are seeking access to, or would likely access a new, expanded, or improved passenger transportation service.</w:t>
      </w:r>
    </w:p>
    <w:p>
      <w:pPr>
        <w:pStyle w:val="Compact"/>
        <w:numPr>
          <w:ilvl w:val="1"/>
          <w:numId w:val="1014"/>
        </w:numPr>
      </w:pPr>
      <w:r>
        <w:t xml:space="preserve">If the proposed service attracts current taxi or TNS users, it will result in a redistribution of market share as measured by trip revenue among existing providers.</w:t>
      </w:r>
      <w:r>
        <w:br/>
      </w:r>
    </w:p>
    <w:p>
      <w:pPr>
        <w:pStyle w:val="Compact"/>
        <w:numPr>
          <w:ilvl w:val="1"/>
          <w:numId w:val="1014"/>
        </w:numPr>
      </w:pPr>
      <w:r>
        <w:t xml:space="preserve">The redistribution can only be observed after the proposed service is introduced. However, historical trends can provide valuable indications. For instance, ongoing shifts in market share of sectors can indicate changes in customer preference.</w:t>
      </w:r>
    </w:p>
    <w:p>
      <w:r>
        <w:pict>
          <v:rect style="width:0;height:1.5pt" o:hralign="center" o:hrstd="t" o:hr="t"/>
        </w:pict>
      </w:r>
    </w:p>
    <w:bookmarkEnd w:id="43"/>
    <w:bookmarkStart w:id="50" w:name="X33d61c3e470eb2f9d5ae5ed2da08a29436fccc5"/>
    <w:p>
      <w:pPr>
        <w:pStyle w:val="Heading3"/>
      </w:pPr>
      <w:r>
        <w:t xml:space="preserve">Metro Vancouver Regional District Trip Revenue Findings</w:t>
      </w:r>
    </w:p>
    <w:p>
      <w:pPr>
        <w:pStyle w:val="FirstParagraph"/>
      </w:pPr>
      <w:r>
        <w:rPr>
          <w:b/>
          <w:bCs/>
        </w:rPr>
        <w:t xml:space="preserve">Table 2: Metro Vancouver Regional District Trip Revenue</w:t>
      </w:r>
    </w:p>
    <w:p>
      <w:pPr>
        <w:pStyle w:val="BodyText"/>
      </w:pPr>
      <w:r>
        <w:drawing>
          <wp:inline>
            <wp:extent cx="5943600" cy="1266825"/>
            <wp:effectExtent b="0" l="0" r="0" t="0"/>
            <wp:docPr descr="" title="" id="45" name="Picture"/>
            <a:graphic>
              <a:graphicData uri="http://schemas.openxmlformats.org/drawingml/2006/picture">
                <pic:pic>
                  <pic:nvPicPr>
                    <pic:cNvPr descr="images/Picture4.png" id="46" name="Picture"/>
                    <pic:cNvPicPr>
                      <a:picLocks noChangeArrowheads="1" noChangeAspect="1"/>
                    </pic:cNvPicPr>
                  </pic:nvPicPr>
                  <pic:blipFill>
                    <a:blip r:embed="rId44"/>
                    <a:stretch>
                      <a:fillRect/>
                    </a:stretch>
                  </pic:blipFill>
                  <pic:spPr bwMode="auto">
                    <a:xfrm>
                      <a:off x="0" y="0"/>
                      <a:ext cx="5943600" cy="1266825"/>
                    </a:xfrm>
                    <a:prstGeom prst="rect">
                      <a:avLst/>
                    </a:prstGeom>
                    <a:noFill/>
                    <a:ln w="9525">
                      <a:noFill/>
                      <a:headEnd/>
                      <a:tailEnd/>
                    </a:ln>
                  </pic:spPr>
                </pic:pic>
              </a:graphicData>
            </a:graphic>
          </wp:inline>
        </w:drawing>
      </w:r>
    </w:p>
    <w:p>
      <w:pPr>
        <w:pStyle w:val="BodyText"/>
      </w:pPr>
      <w:r>
        <w:rPr>
          <w:b/>
          <w:bCs/>
        </w:rPr>
        <w:t xml:space="preserve">Figure 2: Metro Vancouver Regional District Trip Revenue</w:t>
      </w:r>
    </w:p>
    <w:p>
      <w:pPr>
        <w:pStyle w:val="BodyText"/>
      </w:pPr>
      <w:r>
        <w:drawing>
          <wp:inline>
            <wp:extent cx="5943600" cy="1743075"/>
            <wp:effectExtent b="0" l="0" r="0" t="0"/>
            <wp:docPr descr="" title="" id="48" name="Picture"/>
            <a:graphic>
              <a:graphicData uri="http://schemas.openxmlformats.org/drawingml/2006/picture">
                <pic:pic>
                  <pic:nvPicPr>
                    <pic:cNvPr descr="images/Picture5.png" id="49" name="Picture"/>
                    <pic:cNvPicPr>
                      <a:picLocks noChangeArrowheads="1" noChangeAspect="1"/>
                    </pic:cNvPicPr>
                  </pic:nvPicPr>
                  <pic:blipFill>
                    <a:blip r:embed="rId47"/>
                    <a:stretch>
                      <a:fillRect/>
                    </a:stretch>
                  </pic:blipFill>
                  <pic:spPr bwMode="auto">
                    <a:xfrm>
                      <a:off x="0" y="0"/>
                      <a:ext cx="5943600" cy="1743075"/>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the Metro Vancouver Regional District saw a total of</w:t>
      </w:r>
      <w:r>
        <w:t xml:space="preserve"> </w:t>
      </w:r>
      <w:r>
        <w:rPr>
          <w:b/>
          <w:bCs/>
        </w:rPr>
        <w:t xml:space="preserve">$10,354,294 in taxi revenue</w:t>
      </w:r>
      <w:r>
        <w:t xml:space="preserve">. On a year-over-year basis, total taxi revenue increased by</w:t>
      </w:r>
      <w:r>
        <w:t xml:space="preserve"> </w:t>
      </w:r>
      <w:r>
        <w:rPr>
          <w:b/>
          <w:bCs/>
        </w:rPr>
        <w:t xml:space="preserve">7.85%</w:t>
      </w:r>
      <w:r>
        <w:t xml:space="preserve">, while on a year-to-date basis, taxi revenue rose by</w:t>
      </w:r>
      <w:r>
        <w:t xml:space="preserve"> </w:t>
      </w:r>
      <w:r>
        <w:rPr>
          <w:b/>
          <w:bCs/>
        </w:rPr>
        <w:t xml:space="preserve">6.45%</w:t>
      </w:r>
      <w:r>
        <w:t xml:space="preserve">.</w:t>
      </w:r>
      <w:r>
        <w:br/>
      </w:r>
      <w:r>
        <w:t xml:space="preserve">The increase in taxi trip revenue was modest (6.45% YTD), suggesting that the demand for taxi services was stable.</w:t>
      </w:r>
    </w:p>
    <w:p>
      <w:pPr>
        <w:pStyle w:val="BodyText"/>
      </w:pPr>
      <w:r>
        <w:t xml:space="preserve">Meanwhile, in March 2024, the TNS sector had a total of</w:t>
      </w:r>
      <w:r>
        <w:t xml:space="preserve"> </w:t>
      </w:r>
      <w:r>
        <w:rPr>
          <w:b/>
          <w:bCs/>
        </w:rPr>
        <w:t xml:space="preserve">$41,996,572 in trip revenue</w:t>
      </w:r>
      <w:r>
        <w:t xml:space="preserve"> </w:t>
      </w:r>
      <w:r>
        <w:t xml:space="preserve">in the Metro Vancouver Regional District. On a year-over-year basis, total TNS revenue increased by</w:t>
      </w:r>
      <w:r>
        <w:t xml:space="preserve"> </w:t>
      </w:r>
      <w:r>
        <w:rPr>
          <w:b/>
          <w:bCs/>
        </w:rPr>
        <w:t xml:space="preserve">30.74%</w:t>
      </w:r>
      <w:r>
        <w:t xml:space="preserve">, while on a year-to-date basis, TNS revenue increased by</w:t>
      </w:r>
      <w:r>
        <w:t xml:space="preserve"> </w:t>
      </w:r>
      <w:r>
        <w:rPr>
          <w:b/>
          <w:bCs/>
        </w:rPr>
        <w:t xml:space="preserve">27.33%</w:t>
      </w:r>
      <w:r>
        <w:t xml:space="preserve">.</w:t>
      </w:r>
      <w:r>
        <w:br/>
      </w:r>
      <w:r>
        <w:t xml:space="preserve">The TNS trip revenue experienced significant growth (27.33% YTD), reflecting a strong increase in demand for TNS services.</w:t>
      </w:r>
    </w:p>
    <w:p>
      <w:pPr>
        <w:pStyle w:val="BodyText"/>
      </w:pPr>
      <w:r>
        <w:rPr>
          <w:b/>
          <w:bCs/>
        </w:rPr>
        <w:t xml:space="preserve">Limitations:</w:t>
      </w:r>
      <w:r>
        <w:t xml:space="preserve"> </w:t>
      </w:r>
      <w:r>
        <w:t xml:space="preserve">Quantity demanded does not amount to demand. Quantity demanded refers to the actual trip revenue observed, whereas demand includes all potential trip revenue if there are no constraints. There can still be unmet demand due to limited vehicle availability preventing some customers from using the service. bbbbbbbbbbbbbbbbbbbb</w:t>
      </w:r>
    </w:p>
    <w:bookmarkEnd w:id="50"/>
    <w:bookmarkEnd w:id="51"/>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Normal"/>
    <w:link w:val="ListParagraphChar"/>
    <w:uiPriority w:val="34"/>
    <w:qFormat/>
    <w:rsid w:val="008B4570"/>
    <w:pPr>
      <w:contextualSpacing/>
    </w:pPr>
    <w:rPr>
      <w:szCs w:val="24"/>
    </w:rPr>
  </w:style>
  <w:style w:customStyle="1" w:styleId="ListParagraphChar" w:type="character">
    <w:name w:val="List Paragraph Char"/>
    <w:basedOn w:val="DefaultParagraphFont"/>
    <w:link w:val="ListParagraph"/>
    <w:uiPriority w:val="34"/>
    <w:locked/>
    <w:rsid w:val="008B4570"/>
    <w:rPr>
      <w:rFonts w:ascii="Heebo Light" w:hAnsi="Heebo Light"/>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2025-09-29T17:56:12Z</dcterms:created>
  <dcterms:modified xsi:type="dcterms:W3CDTF">2025-09-29T17:56:12Z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