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w:t>
      </w:r>
      <w:r>
        <w:t xml:space="preserve"> </w:t>
      </w:r>
      <w:r>
        <w:t xml:space="preserve">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Trip Volume:</w:t>
            </w:r>
          </w:p>
        </w:tc>
        <w:tc>
          <w:tcPr/>
          <w:p>
            <w:pPr>
              <w:pStyle w:val="Compact"/>
              <w:jc w:val="left"/>
            </w:pPr>
            <w:r>
              <w:t xml:space="preserve">✓</w:t>
            </w:r>
          </w:p>
        </w:tc>
      </w:tr>
      <w:tr>
        <w:tc>
          <w:tcPr/>
          <w:p>
            <w:pPr>
              <w:pStyle w:val="Compact"/>
              <w:jc w:val="left"/>
            </w:pPr>
            <w:r>
              <w:t xml:space="preserve">Trip Revenue:</w:t>
            </w:r>
          </w:p>
        </w:tc>
        <w:tc>
          <w:tcPr/>
          <w:p>
            <w:pPr>
              <w:pStyle w:val="Compact"/>
              <w:jc w:val="left"/>
            </w:pPr>
            <w:r>
              <w:t xml:space="preserve">✓</w:t>
            </w:r>
          </w:p>
        </w:tc>
      </w:tr>
      <w:tr>
        <w:tc>
          <w:tcPr/>
          <w:p>
            <w:pPr>
              <w:pStyle w:val="Compact"/>
              <w:jc w:val="left"/>
            </w:pPr>
            <w:r>
              <w:t xml:space="preserve">Number of Wheelchair Accessible Vehicles (WAVs):</w:t>
            </w:r>
          </w:p>
        </w:tc>
        <w:tc>
          <w:tcPr/>
          <w:p>
            <w:pPr>
              <w:pStyle w:val="Compact"/>
              <w:jc w:val="left"/>
            </w:pPr>
            <w:r>
              <w:t xml:space="preserve">✓</w:t>
            </w:r>
          </w:p>
        </w:tc>
      </w:tr>
      <w:tr>
        <w:tc>
          <w:tcPr/>
          <w:p>
            <w:pPr>
              <w:pStyle w:val="Compact"/>
              <w:jc w:val="left"/>
            </w:pPr>
            <w:r>
              <w:t xml:space="preserve">Number of Active Vehicles per 1,000 Persons:</w:t>
            </w:r>
          </w:p>
        </w:tc>
        <w:tc>
          <w:tcPr/>
          <w:p>
            <w:pPr>
              <w:pStyle w:val="Compact"/>
              <w:jc w:val="left"/>
            </w:pPr>
            <w:r>
              <w:t xml:space="preserve">✓</w:t>
            </w:r>
          </w:p>
        </w:tc>
      </w:tr>
      <w:tr>
        <w:tc>
          <w:tcPr/>
          <w:p>
            <w:pPr>
              <w:pStyle w:val="Compact"/>
              <w:jc w:val="left"/>
            </w:pPr>
            <w:r>
              <w:t xml:space="preserve">Fare per Kilometre:</w:t>
            </w:r>
          </w:p>
        </w:tc>
        <w:tc>
          <w:tcPr/>
          <w:p>
            <w:pPr>
              <w:pStyle w:val="Compact"/>
              <w:jc w:val="left"/>
            </w:pPr>
            <w:r>
              <w:t xml:space="preserve">✓</w:t>
            </w:r>
          </w:p>
        </w:tc>
      </w:tr>
      <w:tr>
        <w:tc>
          <w:tcPr/>
          <w:p>
            <w:pPr>
              <w:pStyle w:val="Compact"/>
              <w:jc w:val="left"/>
            </w:pPr>
            <w:r>
              <w:t xml:space="preserve">Wait Time:</w:t>
            </w:r>
          </w:p>
        </w:tc>
        <w:tc>
          <w:tcPr/>
          <w:p>
            <w:pPr>
              <w:pStyle w:val="Compact"/>
              <w:jc w:val="left"/>
            </w:pPr>
            <w:r>
              <w:t xml:space="preserve">✓</w:t>
            </w:r>
          </w:p>
        </w:tc>
      </w:tr>
      <w:tr>
        <w:tc>
          <w:tcPr/>
          <w:p>
            <w:pPr>
              <w:pStyle w:val="Compact"/>
              <w:jc w:val="left"/>
            </w:pPr>
            <w:r>
              <w:t xml:space="preserve">Concentration indices:</w:t>
            </w:r>
          </w:p>
        </w:tc>
        <w:tc>
          <w:tcPr/>
          <w:p>
            <w:pPr>
              <w:pStyle w:val="Compact"/>
              <w:jc w:val="left"/>
            </w:pPr>
            <w:r>
              <w:t xml:space="preserve">✓</w:t>
            </w:r>
          </w:p>
        </w:tc>
      </w:tr>
      <w:tr>
        <w:tc>
          <w:tcPr/>
          <w:p>
            <w:pPr>
              <w:pStyle w:val="Compact"/>
              <w:jc w:val="left"/>
            </w:pPr>
            <w:r>
              <w:t xml:space="preserve">Revenue per Active Vehicle:</w:t>
            </w:r>
          </w:p>
        </w:tc>
        <w:tc>
          <w:tcPr/>
          <w:p>
            <w:pPr>
              <w:pStyle w:val="Compact"/>
              <w:jc w:val="left"/>
            </w:pPr>
            <w:r>
              <w:t xml:space="preserve">✓</w:t>
            </w:r>
          </w:p>
        </w:tc>
      </w:tr>
      <w:tr>
        <w:tc>
          <w:tcPr/>
          <w:p>
            <w:pPr>
              <w:pStyle w:val="Compact"/>
              <w:jc w:val="left"/>
            </w:pPr>
            <w:r>
              <w:t xml:space="preserve">Taxi Fleet Utilization Rate:</w:t>
            </w:r>
          </w:p>
        </w:tc>
        <w:tc>
          <w:tcPr/>
          <w:p>
            <w:pPr>
              <w:pStyle w:val="Compact"/>
              <w:jc w:val="left"/>
            </w:pPr>
            <w:r>
              <w:t xml:space="preserve">✓</w:t>
            </w:r>
          </w:p>
        </w:tc>
      </w:tr>
      <w:tr>
        <w:tc>
          <w:tcPr/>
          <w:p>
            <w:pPr>
              <w:pStyle w:val="Compact"/>
              <w:jc w:val="left"/>
            </w:pPr>
            <w:r>
              <w:t xml:space="preserve">Taxi Vehicle Occupancy Rate:</w:t>
            </w:r>
          </w:p>
        </w:tc>
        <w:tc>
          <w:tcPr/>
          <w:p>
            <w:pPr>
              <w:pStyle w:val="Compact"/>
              <w:jc w:val="left"/>
            </w:pPr>
            <w:r>
              <w:t xml:space="preserve">✓</w:t>
            </w:r>
          </w:p>
        </w:tc>
      </w:tr>
      <w:tr>
        <w:tc>
          <w:tcPr/>
          <w:p>
            <w:pPr>
              <w:pStyle w:val="Compact"/>
              <w:jc w:val="left"/>
            </w:pPr>
            <w:r>
              <w:t xml:space="preserve">Peak-Hour Taxi Vehicle Occupancy Rate:</w:t>
            </w:r>
          </w:p>
        </w:tc>
        <w:tc>
          <w:tcPr/>
          <w:p>
            <w:pPr>
              <w:pStyle w:val="Compact"/>
              <w:jc w:val="lef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Cs/>
          <w:b/>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numPr>
          <w:ilvl w:val="0"/>
          <w:numId w:val="1001"/>
        </w:numPr>
        <w:pStyle w:val="Compact"/>
      </w:pPr>
      <w:r>
        <w:t xml:space="preserve">Proposed operating area: West Vancouver, North Vancouver, Vancouver, YVR</w:t>
      </w:r>
    </w:p>
    <w:p>
      <w:pPr>
        <w:numPr>
          <w:ilvl w:val="0"/>
          <w:numId w:val="1001"/>
        </w:numPr>
        <w:pStyle w:val="Compact"/>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Cs/>
          <w:i/>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Cs/>
          <w:b/>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Cs/>
          <w:i/>
        </w:rPr>
        <w:t xml:space="preserve">MoTI</w:t>
      </w:r>
      <w:r>
        <w:t xml:space="preserve">). The Board refers to this database as the</w:t>
      </w:r>
      <w:r>
        <w:t xml:space="preserve"> </w:t>
      </w:r>
      <w:r>
        <w:t xml:space="preserve">“</w:t>
      </w:r>
      <w:r>
        <w:t xml:space="preserve">single source of licensee data</w:t>
      </w:r>
      <w:r>
        <w:t xml:space="preserve">”</w:t>
      </w:r>
      <w:r>
        <w:t xml:space="preserve"> </w:t>
      </w:r>
      <w:r>
        <w:t xml:space="preserve">or</w:t>
      </w:r>
      <w:r>
        <w:t xml:space="preserve"> </w:t>
      </w:r>
      <w:r>
        <w:rPr>
          <w:bCs/>
          <w:b/>
        </w:rPr>
        <w:t xml:space="preserve">SSOLD</w:t>
      </w:r>
      <w:r>
        <w:t xml:space="preserve">. Based on the SSOLD, last updated on</w:t>
      </w:r>
      <w:r>
        <w:t xml:space="preserve"> </w:t>
      </w:r>
      <w:r>
        <w:rPr>
          <w:bCs/>
          <w:b/>
        </w:rPr>
        <w:t xml:space="preserve">September 30, 2024</w:t>
      </w:r>
      <w:r>
        <w:t xml:space="preserve">, the following relevant information can be observed about the existing licensees in the area:</w:t>
      </w:r>
    </w:p>
    <w:p>
      <w:pPr>
        <w:numPr>
          <w:ilvl w:val="0"/>
          <w:numId w:val="1002"/>
        </w:numPr>
        <w:pStyle w:val="Compact"/>
      </w:pPr>
      <w:r>
        <w:t xml:space="preserve">At the municipal level,</w:t>
      </w:r>
    </w:p>
    <w:p>
      <w:pPr>
        <w:numPr>
          <w:ilvl w:val="1"/>
          <w:numId w:val="1003"/>
        </w:numPr>
        <w:pStyle w:val="Compact"/>
      </w:pPr>
      <w:r>
        <w:t xml:space="preserve">Number of taxi licensees operating: 8</w:t>
      </w:r>
    </w:p>
    <w:p>
      <w:pPr>
        <w:numPr>
          <w:ilvl w:val="1"/>
          <w:numId w:val="1003"/>
        </w:numPr>
        <w:pStyle w:val="Compact"/>
      </w:pPr>
      <w:r>
        <w:t xml:space="preserve">Combined Board-approved maximum fleet size: 1,226</w:t>
      </w:r>
    </w:p>
    <w:p>
      <w:pPr>
        <w:numPr>
          <w:ilvl w:val="0"/>
          <w:numId w:val="1002"/>
        </w:numPr>
        <w:pStyle w:val="Compact"/>
      </w:pPr>
      <w:r>
        <w:t xml:space="preserve">At the Regional District level,</w:t>
      </w:r>
    </w:p>
    <w:p>
      <w:pPr>
        <w:numPr>
          <w:ilvl w:val="1"/>
          <w:numId w:val="1004"/>
        </w:numPr>
        <w:pStyle w:val="Compact"/>
      </w:pPr>
      <w:r>
        <w:t xml:space="preserve">Number of taxi licensees operating: 29</w:t>
      </w:r>
    </w:p>
    <w:p>
      <w:pPr>
        <w:numPr>
          <w:ilvl w:val="1"/>
          <w:numId w:val="1004"/>
        </w:numPr>
        <w:pStyle w:val="Compact"/>
      </w:pPr>
      <w:r>
        <w:t xml:space="preserve">Combined Board-approved maximum fleet size: 2,384</w:t>
      </w:r>
    </w:p>
    <w:p>
      <w:pPr>
        <w:numPr>
          <w:ilvl w:val="0"/>
          <w:numId w:val="1002"/>
        </w:numPr>
        <w:pStyle w:val="Compact"/>
      </w:pPr>
      <w:r>
        <w:t xml:space="preserve">At the Region level,</w:t>
      </w:r>
    </w:p>
    <w:p>
      <w:pPr>
        <w:numPr>
          <w:ilvl w:val="1"/>
          <w:numId w:val="1005"/>
        </w:numPr>
        <w:pStyle w:val="Compact"/>
      </w:pPr>
      <w:r>
        <w:t xml:space="preserve">Number of taxi licensees operating: 49</w:t>
      </w:r>
    </w:p>
    <w:p>
      <w:pPr>
        <w:numPr>
          <w:ilvl w:val="1"/>
          <w:numId w:val="1005"/>
        </w:numPr>
        <w:pStyle w:val="Compact"/>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numPr>
          <w:ilvl w:val="0"/>
          <w:numId w:val="1006"/>
        </w:numPr>
        <w:pStyle w:val="Compact"/>
      </w:pPr>
      <w:r>
        <w:t xml:space="preserve">Whether the applicant is fit, proper, and capable of providing the service applied for (threshold test);</w:t>
      </w:r>
    </w:p>
    <w:p>
      <w:pPr>
        <w:numPr>
          <w:ilvl w:val="0"/>
          <w:numId w:val="1006"/>
        </w:numPr>
        <w:pStyle w:val="Compact"/>
      </w:pPr>
      <w:r>
        <w:t xml:space="preserve">Whether there is a public need for the service; and</w:t>
      </w:r>
    </w:p>
    <w:p>
      <w:pPr>
        <w:numPr>
          <w:ilvl w:val="0"/>
          <w:numId w:val="1006"/>
        </w:numPr>
        <w:pStyle w:val="Compact"/>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w:t>
      </w:r>
      <w:r>
        <w:t xml:space="preserve">public need</w:t>
      </w:r>
      <w:r>
        <w:t xml:space="preserve">”</w:t>
      </w:r>
      <w:r>
        <w:t xml:space="preserve"> </w:t>
      </w:r>
      <w:r>
        <w:t xml:space="preserve">(PN) and</w:t>
      </w:r>
      <w:r>
        <w:t xml:space="preserve"> </w:t>
      </w:r>
      <w:r>
        <w:t xml:space="preserve">“</w:t>
      </w:r>
      <w:r>
        <w:t xml:space="preserve">sound economic conditions</w:t>
      </w:r>
      <w:r>
        <w:t xml:space="preserve">”</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Cs/>
          <w:i/>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Cs/>
          <w:i/>
        </w:rPr>
        <w:t xml:space="preserve">Policy Manual</w:t>
      </w:r>
      <w:r>
        <w:t xml:space="preserve">, PN is divided into the following factors:</w:t>
      </w:r>
    </w:p>
    <w:p>
      <w:pPr>
        <w:numPr>
          <w:ilvl w:val="0"/>
          <w:numId w:val="1007"/>
        </w:numPr>
        <w:pStyle w:val="Compact"/>
      </w:pPr>
      <w:r>
        <w:t xml:space="preserve">Demand</w:t>
      </w:r>
    </w:p>
    <w:p>
      <w:pPr>
        <w:numPr>
          <w:ilvl w:val="0"/>
          <w:numId w:val="1007"/>
        </w:numPr>
        <w:pStyle w:val="Compact"/>
      </w:pPr>
      <w:r>
        <w:t xml:space="preserve">Accessibility</w:t>
      </w:r>
    </w:p>
    <w:p>
      <w:pPr>
        <w:numPr>
          <w:ilvl w:val="0"/>
          <w:numId w:val="1007"/>
        </w:numPr>
        <w:pStyle w:val="Compact"/>
      </w:pPr>
      <w:r>
        <w:t xml:space="preserve">Affordability</w:t>
      </w:r>
    </w:p>
    <w:p>
      <w:pPr>
        <w:numPr>
          <w:ilvl w:val="0"/>
          <w:numId w:val="1007"/>
        </w:numPr>
        <w:pStyle w:val="Compact"/>
      </w:pPr>
      <w:r>
        <w:t xml:space="preserve">Safety</w:t>
      </w:r>
    </w:p>
    <w:p>
      <w:pPr>
        <w:numPr>
          <w:ilvl w:val="0"/>
          <w:numId w:val="1007"/>
        </w:numPr>
        <w:pStyle w:val="Compact"/>
      </w:pPr>
      <w:r>
        <w:t xml:space="preserve">Service Quality</w:t>
      </w:r>
    </w:p>
    <w:p>
      <w:pPr>
        <w:pStyle w:val="FirstParagraph"/>
      </w:pPr>
      <w:r>
        <w:t xml:space="preserve">Under the sound economic conditions policy in the</w:t>
      </w:r>
      <w:r>
        <w:t xml:space="preserve"> </w:t>
      </w:r>
      <w:r>
        <w:rPr>
          <w:iCs/>
          <w:i/>
        </w:rPr>
        <w:t xml:space="preserve">Policy Manual</w:t>
      </w:r>
      <w:r>
        <w:t xml:space="preserve">, SEC is divided into the following factors:</w:t>
      </w:r>
    </w:p>
    <w:p>
      <w:pPr>
        <w:numPr>
          <w:ilvl w:val="0"/>
          <w:numId w:val="1008"/>
        </w:numPr>
        <w:pStyle w:val="Compact"/>
      </w:pPr>
      <w:r>
        <w:t xml:space="preserve">Sustainability</w:t>
      </w:r>
    </w:p>
    <w:p>
      <w:pPr>
        <w:numPr>
          <w:ilvl w:val="0"/>
          <w:numId w:val="1008"/>
        </w:numPr>
        <w:pStyle w:val="Compact"/>
      </w:pPr>
      <w:r>
        <w:t xml:space="preserve">Competition</w:t>
      </w:r>
    </w:p>
    <w:p>
      <w:pPr>
        <w:numPr>
          <w:ilvl w:val="0"/>
          <w:numId w:val="1008"/>
        </w:numPr>
        <w:pStyle w:val="Compact"/>
      </w:pPr>
      <w:r>
        <w:t xml:space="preserve">Innovation</w:t>
      </w:r>
    </w:p>
    <w:p>
      <w:pPr>
        <w:numPr>
          <w:ilvl w:val="0"/>
          <w:numId w:val="1008"/>
        </w:numPr>
        <w:pStyle w:val="Compact"/>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Cs/>
          <w:i/>
        </w:rPr>
        <w:t xml:space="preserve">Please note that this economics report does not provide an analysis of the</w:t>
      </w:r>
      <w:r>
        <w:rPr>
          <w:iCs/>
          <w:i/>
        </w:rPr>
        <w:t xml:space="preserve"> </w:t>
      </w:r>
      <w:r>
        <w:rPr>
          <w:iCs/>
          <w:i/>
        </w:rPr>
        <w:t xml:space="preserve">“</w:t>
      </w:r>
      <w:r>
        <w:rPr>
          <w:iCs/>
          <w:i/>
        </w:rPr>
        <w:t xml:space="preserve">innovation</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variety</w:t>
      </w:r>
      <w:r>
        <w:rPr>
          <w:iCs/>
          <w:i/>
        </w:rPr>
        <w:t xml:space="preserve">”</w:t>
      </w:r>
      <w:r>
        <w:rPr>
          <w:iCs/>
          <w:i/>
        </w:rPr>
        <w:t xml:space="preserve"> </w:t>
      </w:r>
      <w:r>
        <w:rPr>
          <w:iCs/>
          <w:i/>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Cs/>
          <w:i/>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w:t>
      </w:r>
      <w:r>
        <w:t xml:space="preserve">data warehouse</w:t>
      </w:r>
      <w:r>
        <w:t xml:space="preserv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Cs/>
          <w:i/>
        </w:rPr>
        <w:t xml:space="preserve">at this time</w:t>
      </w:r>
      <w:r>
        <w:t xml:space="preserve">.</w:t>
      </w:r>
    </w:p>
    <w:p>
      <w:pPr>
        <w:pStyle w:val="BodyText"/>
      </w:pPr>
      <w:r>
        <w:t xml:space="preserve">Due to data limitations, only two regions will be analyzed:</w:t>
      </w:r>
    </w:p>
    <w:p>
      <w:pPr>
        <w:numPr>
          <w:ilvl w:val="0"/>
          <w:numId w:val="1009"/>
        </w:numPr>
        <w:pStyle w:val="Compact"/>
      </w:pPr>
      <w:r>
        <w:t xml:space="preserve">Region 1 – Lower Mainland including Whistler; and,</w:t>
      </w:r>
    </w:p>
    <w:p>
      <w:pPr>
        <w:numPr>
          <w:ilvl w:val="0"/>
          <w:numId w:val="1009"/>
        </w:numPr>
        <w:pStyle w:val="Compact"/>
      </w:pPr>
      <w:r>
        <w:t xml:space="preserve">Region 2 – Capital Regional District (CRD).</w:t>
      </w:r>
    </w:p>
    <w:p>
      <w:pPr>
        <w:pStyle w:val="FirstParagraph"/>
      </w:pPr>
      <w:r>
        <w:rPr>
          <w:bCs/>
          <w:b/>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Cs/>
          <w:b/>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Cs/>
          <w:b/>
        </w:rPr>
        <w:t xml:space="preserve">Primary Factor:</w:t>
      </w:r>
      <w:r>
        <w:t xml:space="preserve"> </w:t>
      </w:r>
      <w:r>
        <w:t xml:space="preserve">Demand</w:t>
      </w:r>
    </w:p>
    <w:p>
      <w:pPr>
        <w:pStyle w:val="BodyText"/>
      </w:pPr>
      <w:r>
        <w:rPr>
          <w:bCs/>
          <w:b/>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Cs/>
          <w:b/>
        </w:rPr>
        <w:t xml:space="preserve">Measurement:</w:t>
      </w:r>
      <w:r>
        <w:t xml:space="preserve"> </w:t>
      </w:r>
      <w:r>
        <w:t xml:space="preserve">Trip volume is calculated as the number of completed trips reported to the Trip Database in an area over a month.</w:t>
      </w:r>
    </w:p>
    <w:p>
      <w:pPr>
        <w:pStyle w:val="BodyText"/>
      </w:pPr>
      <w:r>
        <w:rPr>
          <w:bCs/>
          <w:b/>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Cs/>
          <w:i/>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Cs/>
          <w:i/>
        </w:rPr>
        <w:t xml:space="preserve">Policy Manual</w:t>
      </w:r>
      <w:r>
        <w:t xml:space="preserve"> </w:t>
      </w:r>
      <w:r>
        <w:t xml:space="preserve">lists examples of the demand factor, which are set out below alongside their corresponding implications on trip volume:</w:t>
      </w:r>
    </w:p>
    <w:p>
      <w:pPr>
        <w:numPr>
          <w:ilvl w:val="0"/>
          <w:numId w:val="1010"/>
        </w:numPr>
        <w:pStyle w:val="Compact"/>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numPr>
          <w:ilvl w:val="1"/>
          <w:numId w:val="1012"/>
        </w:numPr>
        <w:pStyle w:val="Compact"/>
      </w:pPr>
      <w:r>
        <w:t xml:space="preserve">If the proposed service attracts current users of taxis or TNS, it will result in a redistribution of market share measured by trip volume among existing providers.</w:t>
      </w:r>
    </w:p>
    <w:p>
      <w:pPr>
        <w:numPr>
          <w:ilvl w:val="1"/>
          <w:numId w:val="1012"/>
        </w:numPr>
        <w:pStyle w:val="Compact"/>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1"/>
        <w:gridCol w:w="861"/>
        <w:gridCol w:w="861"/>
        <w:gridCol w:w="861"/>
        <w:gridCol w:w="861"/>
        <w:gridCol w:w="861"/>
        <w:gridCol w:w="861"/>
        <w:gridCol w:w="861"/>
        <w:gridCol w:w="861"/>
        <w:gridCol w:w="861"/>
        <w:gridCol w:w="861"/>
        <w:gridCol w:w="861"/>
        <w:gridCol w:w="861"/>
      </w:tblGrid>
      <w:tr>
        <w:trPr>
          <w:trHeight w:val="577"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ACTIVE_VEHICLE (2023–2025)</w:t>
            </w:r>
          </w:p>
        </w:tc>
      </w:tr>
      <w:tr>
        <w:trPr>
          <w:trHeight w:val="57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Dec</w:t>
            </w:r>
          </w:p>
        </w:tc>
      </w:tr>
      <w:tr>
        <w:trPr>
          <w:trHeight w:val="540"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TAXI</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1,361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1,621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1,670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1,764</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r>
        <w:trPr>
          <w:trHeight w:val="544"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TNS</w:t>
            </w:r>
          </w:p>
        </w:tc>
      </w:tr>
      <w:tr>
        <w:trPr>
          <w:trHeight w:val="569"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6,565</w:t>
            </w:r>
          </w:p>
        </w:tc>
      </w:tr>
      <w:tr>
        <w:trPr>
          <w:trHeight w:val="569"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6,311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6,789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7,442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7,816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8,192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8,279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8,620</w:t>
            </w:r>
          </w:p>
        </w:tc>
      </w:tr>
      <w:tr>
        <w:trPr>
          <w:trHeight w:val="569"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r>
          </w:p>
        </w:tc>
      </w:tr>
    </w:tbl>
    <w:p>
      <w:pPr>
        <w:pStyle w:val="FirstParagraph"/>
      </w:pPr>
      <w:r>
        <w:rPr>
          <w:bCs/>
          <w:b/>
        </w:rPr>
        <w:t xml:space="preserve">Table 1: Metro Vancouver Regional District Trip Volume</w:t>
      </w:r>
    </w:p>
    <w:p>
      <w:pPr>
        <w:pStyle w:val="BodyText"/>
      </w:pPr>
      <w:r>
        <w:drawing>
          <wp:inline>
            <wp:extent cx="5334000" cy="26670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Cs/>
          <w:i/>
        </w:rPr>
        <w:t xml:space="preserve">Figure 1: Metro Vancouver Regional District Trip Volume</w:t>
      </w:r>
    </w:p>
    <w:bookmarkEnd w:id="35"/>
    <w:bookmarkEnd w:id="36"/>
    <w:bookmarkStart w:id="40"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Cs/>
          <w:b/>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Cs/>
          <w:b/>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67"/>
        <w:gridCol w:w="1156"/>
        <w:gridCol w:w="1156"/>
        <w:gridCol w:w="1156"/>
        <w:gridCol w:w="1156"/>
        <w:gridCol w:w="1156"/>
        <w:gridCol w:w="1156"/>
        <w:gridCol w:w="1156"/>
        <w:gridCol w:w="1156"/>
        <w:gridCol w:w="1156"/>
        <w:gridCol w:w="1156"/>
        <w:gridCol w:w="1156"/>
        <w:gridCol w:w="1156"/>
      </w:tblGrid>
      <w:tr>
        <w:trPr>
          <w:trHeight w:val="415"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Metro Vancouver TRIP_REVENUE (2023–2025)</w:t>
            </w:r>
          </w:p>
        </w:tc>
      </w:tr>
      <w:tr>
        <w:trPr>
          <w:trHeight w:val="415"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Dec</w:t>
            </w:r>
          </w:p>
        </w:tc>
      </w:tr>
      <w:tr>
        <w:trPr>
          <w:trHeight w:val="381"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TAXI</w:t>
            </w:r>
          </w:p>
        </w:tc>
      </w:tr>
      <w:tr>
        <w:trPr>
          <w:trHeight w:val="41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$8,576,658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$8,784,663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$9,622,954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$9,749,588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$10,802,674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$11,301,212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$11,269,487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$11,351,943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$11,683,366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$11,344,302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$10,685,957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$10,970,949</w:t>
            </w:r>
          </w:p>
        </w:tc>
      </w:tr>
      <w:tr>
        <w:trPr>
          <w:trHeight w:val="4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$10,093,291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$9,249,657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$10,342,150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$10,373,336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$10,932,292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$11,720,075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$10,885,815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$10,354,262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$10,155,087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$9,972,247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$9,941,830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$11,080,072</w:t>
            </w:r>
          </w:p>
        </w:tc>
      </w:tr>
      <w:tr>
        <w:trPr>
          <w:trHeight w:val="41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$9,712,690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$9,651,935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$10,437,417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r>
        <w:trPr>
          <w:trHeight w:val="385"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TNS</w:t>
            </w:r>
          </w:p>
        </w:tc>
      </w:tr>
      <w:tr>
        <w:trPr>
          <w:trHeight w:val="4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$30,115,227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$28,922,280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$32,068,205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$35,587,505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$36,236,760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$38,625,264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$42,474,025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$41,562,879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$41,600,251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$42,217,881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$39,292,905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$45,253,614</w:t>
            </w:r>
          </w:p>
        </w:tc>
      </w:tr>
      <w:tr>
        <w:trPr>
          <w:trHeight w:val="41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$41,551,026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$36,696,618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$41,997,359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$42,567,270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$47,183,209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$47,730,113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$50,908,248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$50,543,390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$48,631,974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$44,534,318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$42,724,829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$50,759,170</w:t>
            </w:r>
          </w:p>
        </w:tc>
      </w:tr>
      <w:tr>
        <w:trPr>
          <w:trHeight w:val="4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$40,980,693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$41,402,476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$45,443,537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
            </w:r>
          </w:p>
        </w:tc>
      </w:tr>
    </w:tbl>
    <w:p>
      <w:pPr>
        <w:pStyle w:val="BodyText"/>
      </w:pPr>
      <w:r>
        <w:drawing>
          <wp:inline>
            <wp:extent cx="5334000" cy="2667000"/>
            <wp:effectExtent b="0" l="0" r="0" t="0"/>
            <wp:docPr descr="" title="" id="38" name="Picture"/>
            <a:graphic>
              <a:graphicData uri="http://schemas.openxmlformats.org/drawingml/2006/picture">
                <pic:pic>
                  <pic:nvPicPr>
                    <pic:cNvPr descr="main_output_files/figure-docx/unnamed-chunk-6-1.png" id="39" name="Picture"/>
                    <pic:cNvPicPr>
                      <a:picLocks noChangeArrowheads="1" noChangeAspect="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2025-11-04T18:52:34Z</dcterms:created>
  <dcterms:modified xsi:type="dcterms:W3CDTF">2025-11-04T18:52:34Z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