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62.png" ContentType="image/png"/>
  <Override PartName="/word/media/rId65.png" ContentType="image/png"/>
  <Override PartName="/word/media/rId74.png" ContentType="image/png"/>
  <Override PartName="/word/media/rId77.png" ContentType="image/png"/>
  <Override PartName="/word/media/rId85.png" ContentType="image/png"/>
  <Override PartName="/word/media/rId91.png" ContentType="image/png"/>
  <Override PartName="/word/media/rId100.png" ContentType="image/png"/>
  <Override PartName="/word/media/rId106.png" ContentType="image/png"/>
  <Override PartName="/word/media/rId34.png" ContentType="image/png"/>
  <Override PartName="/word/media/rId40.png" ContentType="image/png"/>
  <Override PartName="/word/media/rId47.png" ContentType="image/png"/>
  <Override PartName="/word/media/rId14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roduction"/>
    <w:p>
      <w:pPr>
        <w:pStyle w:val="Heading1"/>
      </w:pPr>
      <w:r>
        <w:t xml:space="preserve">Introduction</w:t>
      </w:r>
    </w:p>
    <w:bookmarkStart w:id="21"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r:id="rId20">
        <w:r>
          <w:rPr>
            <w:rStyle w:val="Hyperlink"/>
          </w:rPr>
          <w:t xml:space="preserve">Policy Manual</w:t>
        </w:r>
      </w:hyperlink>
      <w:r>
        <w:t xml:space="preserve">). The Board investigation was commenced on ([DATE to be inserted]), with respect to application #([Application number to be inserted]).</w:t>
      </w:r>
    </w:p>
    <w:p>
      <w:pPr>
        <w:pStyle w:val="BodyText"/>
      </w:pPr>
      <w:r>
        <w:t xml:space="preserve">The Board’s letter of instruction to Senior Economist included the application details, outlined below, along with a request for economic analysis pertaining to the following relevant indicators:</w:t>
      </w:r>
      <w:r>
        <w:t xml:space="preserve"> </w:t>
      </w:r>
      <w:r>
        <w:t xml:space="preserve">[The indicators listed below should be reviewed and updated as required to reflect the specific scope and needs of the application.]</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Driver hourly revenue:</w:t>
            </w:r>
          </w:p>
        </w:tc>
        <w:tc>
          <w:tcPr/>
          <w:p>
            <w:pPr>
              <w:pStyle w:val="Compact"/>
            </w:pPr>
            <w:r>
              <w:t xml:space="preserve">✓</w:t>
            </w:r>
          </w:p>
        </w:tc>
      </w:tr>
    </w:tbl>
    <w:bookmarkEnd w:id="21"/>
    <w:bookmarkStart w:id="22"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[Applicant Legal Name]</w:t>
      </w:r>
      <w:r>
        <w:t xml:space="preserve">, which is doing business as MS Taxi. The application summary states the following:</w:t>
      </w:r>
    </w:p>
    <w:p>
      <w:pPr>
        <w:pStyle w:val="BodyText"/>
      </w:pPr>
      <w:r>
        <w:t xml:space="preserve">[This section is provided as a template and should be reviewed and revised as necessary to reflect the specific details of the application.]</w:t>
      </w:r>
      <w:r>
        <w:t xml:space="preserve"> </w:t>
      </w: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Vancouver[Municipality A], District of West Vancouver[Municipality B], and District of North Vancouver[Municipality C]. These municipalities are located in the Greater Vancouver Regional District[Regional District Name].</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1[Regional District number]</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2024[Date to be inserted]</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49</w:t>
      </w:r>
    </w:p>
    <w:p>
      <w:pPr>
        <w:pStyle w:val="Compact"/>
        <w:numPr>
          <w:ilvl w:val="1"/>
          <w:numId w:val="1003"/>
        </w:numPr>
      </w:pPr>
      <w:r>
        <w:t xml:space="preserve">Combined Board-approved maximum fleet size: 359</w:t>
      </w:r>
    </w:p>
    <w:p>
      <w:pPr>
        <w:pStyle w:val="Compact"/>
        <w:numPr>
          <w:ilvl w:val="0"/>
          <w:numId w:val="1002"/>
        </w:numPr>
      </w:pPr>
      <w:r>
        <w:t xml:space="preserve">At the Regional District level,</w:t>
      </w:r>
    </w:p>
    <w:p>
      <w:pPr>
        <w:pStyle w:val="Compact"/>
        <w:numPr>
          <w:ilvl w:val="1"/>
          <w:numId w:val="1004"/>
        </w:numPr>
      </w:pPr>
      <w:r>
        <w:t xml:space="preserve">Number of taxi licensees operating: 50</w:t>
      </w:r>
    </w:p>
    <w:p>
      <w:pPr>
        <w:pStyle w:val="Compact"/>
        <w:numPr>
          <w:ilvl w:val="1"/>
          <w:numId w:val="1004"/>
        </w:numPr>
      </w:pPr>
      <w:r>
        <w:t xml:space="preserve">Combined Board-approved maximum fleet size: 350</w:t>
      </w:r>
    </w:p>
    <w:p>
      <w:pPr>
        <w:pStyle w:val="Compact"/>
        <w:numPr>
          <w:ilvl w:val="0"/>
          <w:numId w:val="1002"/>
        </w:numPr>
      </w:pPr>
      <w:r>
        <w:t xml:space="preserve">At the Region level,</w:t>
      </w:r>
    </w:p>
    <w:p>
      <w:pPr>
        <w:pStyle w:val="Compact"/>
        <w:numPr>
          <w:ilvl w:val="1"/>
          <w:numId w:val="1005"/>
        </w:numPr>
      </w:pPr>
      <w:r>
        <w:t xml:space="preserve">Number of taxi licensees operating: 50</w:t>
      </w:r>
    </w:p>
    <w:p>
      <w:pPr>
        <w:pStyle w:val="Compact"/>
        <w:numPr>
          <w:ilvl w:val="1"/>
          <w:numId w:val="1005"/>
        </w:numPr>
      </w:pPr>
      <w:r>
        <w:t xml:space="preserve">Combined Board-approved maximum fleet size: 350</w:t>
      </w:r>
    </w:p>
    <w:bookmarkEnd w:id="24"/>
    <w:bookmarkEnd w:id="25"/>
    <w:bookmarkStart w:id="33" w:name="background"/>
    <w:p>
      <w:pPr>
        <w:pStyle w:val="Heading1"/>
      </w:pPr>
      <w:r>
        <w:t xml:space="preserve">Background</w:t>
      </w:r>
    </w:p>
    <w:bookmarkStart w:id="26"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6"/>
    <w:bookmarkStart w:id="30"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 Policy Manual,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8" name="Picture"/>
            <a:graphic>
              <a:graphicData uri="http://schemas.openxmlformats.org/drawingml/2006/picture">
                <pic:pic>
                  <pic:nvPicPr>
                    <pic:cNvPr descr="img-cache/table_image.png" id="29" name="Picture"/>
                    <pic:cNvPicPr>
                      <a:picLocks noChangeArrowheads="1" noChangeAspect="1"/>
                    </pic:cNvPicPr>
                  </pic:nvPicPr>
                  <pic:blipFill>
                    <a:blip r:embed="rId27"/>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30"/>
    <w:bookmarkStart w:id="31"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two[Number to be inserted]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Compact"/>
        <w:numPr>
          <w:ilvl w:val="0"/>
          <w:numId w:val="1009"/>
        </w:numPr>
      </w:pPr>
      <w:r>
        <w:t xml:space="preserve">Region 3 – Vancouver Island excluding CRD [To be specified, if applicable]</w:t>
      </w:r>
    </w:p>
    <w:p>
      <w:pPr>
        <w:pStyle w:val="Compact"/>
        <w:numPr>
          <w:ilvl w:val="0"/>
          <w:numId w:val="1009"/>
        </w:numPr>
      </w:pPr>
      <w:r>
        <w:t xml:space="preserve">Region 4 – Interior [To be specified, if applicable]</w:t>
      </w:r>
    </w:p>
    <w:p>
      <w:pPr>
        <w:pStyle w:val="Compact"/>
        <w:numPr>
          <w:ilvl w:val="0"/>
          <w:numId w:val="1009"/>
        </w:numPr>
      </w:pPr>
      <w:r>
        <w:t xml:space="preserve">Region 5 – Northern B.C. and other [To be specified, if applicable]</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1"/>
    <w:bookmarkStart w:id="32"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2"/>
    <w:bookmarkEnd w:id="33"/>
    <w:bookmarkStart w:id="146"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p>
      <w:r>
        <w:br w:type="page"/>
      </w:r>
    </w:p>
    <w:bookmarkStart w:id="46" w:name="demand-factor-pn"/>
    <w:p>
      <w:pPr>
        <w:pStyle w:val="Heading2"/>
      </w:pPr>
      <w:r>
        <w:t xml:space="preserve">Demand Factor (PN)</w:t>
      </w:r>
    </w:p>
    <w:bookmarkStart w:id="39"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but they are not the same.Taxis and TNS are partially interchangeable but ultimately serve distinct consumer needs, functioning as complementary services in the transportation market. Increases in combined trip volume reflect expanded consumer choice rather than the inherent superiority of either service.</w:t>
      </w:r>
    </w:p>
    <w:p>
      <w:pPr>
        <w:pStyle w:val="BodyText"/>
      </w:pPr>
      <w:r>
        <w:t xml:space="preserve">The Board’s public need policy in the Policy Manual 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pStyle w:val="Compact"/>
        <w:numPr>
          <w:ilvl w:val="1"/>
          <w:numId w:val="1011"/>
        </w:numPr>
      </w:pPr>
      <w:r>
        <w:t xml:space="preserve">When the proposed service fulfills previously unmet demand and brings new users into the market, it will result in an overall increase in trip volume.</w:t>
      </w:r>
    </w:p>
    <w:p>
      <w:pPr>
        <w:pStyle w:val="Compact"/>
        <w:numPr>
          <w:ilvl w:val="1"/>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Compact"/>
        <w:numPr>
          <w:ilvl w:val="0"/>
          <w:numId w:val="1010"/>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p>
      <w:r>
        <w:br w:type="page"/>
      </w:r>
    </w:p>
    <w:bookmarkStart w:id="37" w:name="Xe12675f1099c1414932725932b450eba6dd5213"/>
    <w:p>
      <w:pPr>
        <w:pStyle w:val="Heading4"/>
      </w:pPr>
      <w:r>
        <w:t xml:space="preserve">Capital Regional District Trip Volume Findings</w:t>
      </w:r>
    </w:p>
    <w:p>
      <w:pPr>
        <w:pStyle w:val="FirstParagraph"/>
      </w:pPr>
      <w:r>
        <w:t xml:space="preserve">Table 1: Capital Regional District Trip Volume (thousands of trips)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114</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129</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137</w:t>
            </w:r>
          </w:p>
        </w:tc>
      </w:tr>
    </w:tbl>
    <w:p>
      <w:pPr>
        <w:pStyle w:val="BodyText"/>
      </w:pPr>
      <w:r>
        <w:t xml:space="preserve">Figure 1: Capital Regional District Trip Volume</w:t>
      </w:r>
    </w:p>
    <w:p>
      <w:pPr>
        <w:pStyle w:val="BodyText"/>
      </w:pPr>
      <w:r>
        <w:drawing>
          <wp:inline>
            <wp:extent cx="5334000" cy="2667000"/>
            <wp:effectExtent b="0" l="0" r="0" t="0"/>
            <wp:docPr descr="" title="" id="35" name="Picture"/>
            <a:graphic>
              <a:graphicData uri="http://schemas.openxmlformats.org/drawingml/2006/picture">
                <pic:pic>
                  <pic:nvPicPr>
                    <pic:cNvPr descr="0_3master_peter_files/figure-docx/unnamed-chunk-4-1.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bookmarkEnd w:id="37"/>
    <w:bookmarkStart w:id="38" w:name="analysis-and-conclusions"/>
    <w:p>
      <w:pPr>
        <w:pStyle w:val="Heading4"/>
      </w:pPr>
      <w:r>
        <w:t xml:space="preserve">Analysis and Conclusions</w:t>
      </w:r>
    </w:p>
    <w:p>
      <w:pPr>
        <w:pStyle w:val="FirstParagraph"/>
      </w:pPr>
      <w:r>
        <w:t xml:space="preserve">In Capital Regional District, total taxi trip volume in December 2025 was</w:t>
      </w:r>
      <w:r>
        <w:t xml:space="preserve"> </w:t>
      </w:r>
      <w:r>
        <w:t xml:space="preserve">129.0 thousand trips,</w:t>
      </w:r>
      <w:r>
        <w:t xml:space="preserve"> </w:t>
      </w:r>
      <w:r>
        <w:t xml:space="preserve">compared with</w:t>
      </w:r>
      <w:r>
        <w:t xml:space="preserve"> </w:t>
      </w:r>
      <w:r>
        <w:t xml:space="preserve">120.5 thousand trips</w:t>
      </w:r>
      <w:r>
        <w:t xml:space="preserve"> </w:t>
      </w:r>
      <w:r>
        <w:t xml:space="preserve">in November 2025, representing</w:t>
      </w:r>
      <w:r>
        <w:t xml:space="preserve"> </w:t>
      </w:r>
      <w:r>
        <w:t xml:space="preserve">an increase of 7.02 per cent month over month.</w:t>
      </w:r>
      <w:r>
        <w:t xml:space="preserve"> </w:t>
      </w:r>
      <w:r>
        <w:t xml:space="preserve">Short-term results are not conclusive regarding a shift in market direction.</w:t>
      </w:r>
    </w:p>
    <w:p>
      <w:pPr>
        <w:pStyle w:val="BodyText"/>
      </w:pPr>
      <w:r>
        <w:t xml:space="preserve">On a year-over-year basis, trip volume in December 2025 was</w:t>
      </w:r>
      <w:r>
        <w:t xml:space="preserve"> </w:t>
      </w:r>
      <w:r>
        <w:t xml:space="preserve">129.0 thousand trips,</w:t>
      </w:r>
      <w:r>
        <w:t xml:space="preserve"> </w:t>
      </w:r>
      <w:r>
        <w:t xml:space="preserve">compared with</w:t>
      </w:r>
      <w:r>
        <w:t xml:space="preserve"> </w:t>
      </w:r>
      <w:r>
        <w:t xml:space="preserve">113.8 thousand trips</w:t>
      </w:r>
      <w:r>
        <w:t xml:space="preserve"> </w:t>
      </w:r>
      <w:r>
        <w:t xml:space="preserve">in December 2024, representing</w:t>
      </w:r>
      <w:r>
        <w:t xml:space="preserve"> </w:t>
      </w:r>
      <w:r>
        <w:t xml:space="preserve">an increase of 13.31 per cent year over year.</w:t>
      </w:r>
    </w:p>
    <w:p>
      <w:pPr>
        <w:pStyle w:val="BodyText"/>
      </w:pPr>
      <w:r>
        <w:t xml:space="preserve">On a year-to-date basis, taxi trip volume from January to December 2025 totalled</w:t>
      </w:r>
      <w:r>
        <w:t xml:space="preserve"> </w:t>
      </w:r>
      <w:r>
        <w:t xml:space="preserve">1506.7 thousand trips,</w:t>
      </w:r>
      <w:r>
        <w:t xml:space="preserve"> </w:t>
      </w:r>
      <w:r>
        <w:t xml:space="preserve">an increase of 1.56 per cent from</w:t>
      </w:r>
      <w:r>
        <w:t xml:space="preserve"> </w:t>
      </w:r>
      <w:r>
        <w:t xml:space="preserve">1483.5 thousand trips</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In Capital Regional District, total TNS trip volume in December 2025 was</w:t>
      </w:r>
      <w:r>
        <w:t xml:space="preserve"> </w:t>
      </w:r>
      <w:r>
        <w:t xml:space="preserve">137.2 thousand trips,</w:t>
      </w:r>
      <w:r>
        <w:t xml:space="preserve"> </w:t>
      </w:r>
      <w:r>
        <w:t xml:space="preserve">compared with</w:t>
      </w:r>
      <w:r>
        <w:t xml:space="preserve"> </w:t>
      </w:r>
      <w:r>
        <w:t xml:space="preserve">128.1 thousand trips</w:t>
      </w:r>
      <w:r>
        <w:t xml:space="preserve"> </w:t>
      </w:r>
      <w:r>
        <w:t xml:space="preserve">in November 2025, representing</w:t>
      </w:r>
      <w:r>
        <w:t xml:space="preserve"> </w:t>
      </w:r>
      <w:r>
        <w:t xml:space="preserve">an increase of 7.12 per cent month over month.</w:t>
      </w:r>
      <w:r>
        <w:t xml:space="preserve"> </w:t>
      </w:r>
      <w:r>
        <w:t xml:space="preserve">Short-term results are not conclusive regarding a shift in market direction.</w:t>
      </w:r>
    </w:p>
    <w:p>
      <w:pPr>
        <w:pStyle w:val="BodyText"/>
      </w:pPr>
      <w:r>
        <w:t xml:space="preserve">On a year-over-year basis, trip volume in December 2025 was</w:t>
      </w:r>
      <w:r>
        <w:t xml:space="preserve"> </w:t>
      </w:r>
      <w:r>
        <w:t xml:space="preserve">137.2 thousand trips,</w:t>
      </w:r>
      <w:r>
        <w:t xml:space="preserve"> </w:t>
      </w:r>
      <w:r>
        <w:t xml:space="preserve">compared with</w:t>
      </w:r>
      <w:r>
        <w:t xml:space="preserve"> </w:t>
      </w:r>
      <w:r>
        <w:t xml:space="preserve">91.7 thousand trips</w:t>
      </w:r>
      <w:r>
        <w:t xml:space="preserve"> </w:t>
      </w:r>
      <w:r>
        <w:t xml:space="preserve">in December 2024, representing</w:t>
      </w:r>
      <w:r>
        <w:t xml:space="preserve"> </w:t>
      </w:r>
      <w:r>
        <w:t xml:space="preserve">an increase of 49.65 per cent year over year.</w:t>
      </w:r>
    </w:p>
    <w:p>
      <w:pPr>
        <w:pStyle w:val="BodyText"/>
      </w:pPr>
      <w:r>
        <w:t xml:space="preserve">On a year-to-date basis, TNS trip volume from January to December 2025 totalled</w:t>
      </w:r>
      <w:r>
        <w:t xml:space="preserve"> </w:t>
      </w:r>
      <w:r>
        <w:t xml:space="preserve">1365.1 thousand trips,</w:t>
      </w:r>
      <w:r>
        <w:t xml:space="preserve"> </w:t>
      </w:r>
      <w:r>
        <w:t xml:space="preserve">an increase of 42.54 per cent from</w:t>
      </w:r>
      <w:r>
        <w:t xml:space="preserve"> </w:t>
      </w:r>
      <w:r>
        <w:t xml:space="preserve">957.7 thousand trips</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p>
      <w:r>
        <w:br w:type="page"/>
      </w:r>
    </w:p>
    <w:bookmarkEnd w:id="38"/>
    <w:bookmarkEnd w:id="39"/>
    <w:bookmarkStart w:id="45"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 </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p>
      <w:r>
        <w:br w:type="page"/>
      </w:r>
    </w:p>
    <w:bookmarkStart w:id="43" w:name="X7d7494e015680b0c03f84c9abde0b72fa58d992"/>
    <w:p>
      <w:pPr>
        <w:pStyle w:val="Heading4"/>
      </w:pPr>
      <w:r>
        <w:t xml:space="preserve">Capital Regional District Trip Revenue Findings</w:t>
      </w:r>
    </w:p>
    <w:p>
      <w:pPr>
        <w:pStyle w:val="FirstParagraph"/>
      </w:pPr>
      <w:r>
        <w:t xml:space="preserve">Table 2: Capital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$3,780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$3,519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$3,219</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$2,588</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$2,862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$2,800</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$1,252</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$2,077</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$2,958</w:t>
            </w:r>
          </w:p>
        </w:tc>
      </w:tr>
    </w:tbl>
    <w:p>
      <w:pPr>
        <w:pStyle w:val="BodyText"/>
      </w:pPr>
      <w:r>
        <w:t xml:space="preserve">Figure 2: Capital Regional District Trip Revenue</w:t>
      </w:r>
    </w:p>
    <w:p>
      <w:pPr>
        <w:pStyle w:val="BodyText"/>
      </w:pPr>
      <w:r>
        <w:drawing>
          <wp:inline>
            <wp:extent cx="5334000" cy="2667000"/>
            <wp:effectExtent b="0" l="0" r="0" t="0"/>
            <wp:docPr descr="" title="" id="41" name="Picture"/>
            <a:graphic>
              <a:graphicData uri="http://schemas.openxmlformats.org/drawingml/2006/picture">
                <pic:pic>
                  <pic:nvPicPr>
                    <pic:cNvPr descr="0_3master_peter_files/figure-docx/unnamed-chunk-6-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bookmarkEnd w:id="43"/>
    <w:bookmarkStart w:id="44" w:name="analysis-and-conclusions-1"/>
    <w:p>
      <w:pPr>
        <w:pStyle w:val="Heading4"/>
      </w:pPr>
      <w:r>
        <w:t xml:space="preserve">Analysis and Conclusions</w:t>
      </w:r>
    </w:p>
    <w:p>
      <w:pPr>
        <w:pStyle w:val="FirstParagraph"/>
      </w:pPr>
      <w:r>
        <w:t xml:space="preserve">In Capital Regional District, total taxi trip revenue in December 2025 was</w:t>
      </w:r>
      <w:r>
        <w:t xml:space="preserve"> </w:t>
      </w:r>
      <w:r>
        <w:t xml:space="preserve">$2.8 million,</w:t>
      </w:r>
      <w:r>
        <w:t xml:space="preserve"> </w:t>
      </w:r>
      <w:r>
        <w:t xml:space="preserve">compared with</w:t>
      </w:r>
      <w:r>
        <w:t xml:space="preserve"> </w:t>
      </w:r>
      <w:r>
        <w:t xml:space="preserve">$2.6 million</w:t>
      </w:r>
      <w:r>
        <w:t xml:space="preserve"> </w:t>
      </w:r>
      <w:r>
        <w:t xml:space="preserve">in November 2025, representing</w:t>
      </w:r>
      <w:r>
        <w:t xml:space="preserve"> </w:t>
      </w:r>
      <w:r>
        <w:t xml:space="preserve">an increase of 6.48 per cent month over month.</w:t>
      </w:r>
      <w:r>
        <w:t xml:space="preserve"> </w:t>
      </w:r>
      <w:r>
        <w:t xml:space="preserve">Short-term results are not conclusive regarding a shift in market direction.</w:t>
      </w:r>
    </w:p>
    <w:p>
      <w:pPr>
        <w:pStyle w:val="BodyText"/>
      </w:pPr>
      <w:r>
        <w:t xml:space="preserve">On a year-over-year basis, revenue in December 2025 was</w:t>
      </w:r>
      <w:r>
        <w:t xml:space="preserve"> </w:t>
      </w:r>
      <w:r>
        <w:t xml:space="preserve">$2.8 million,</w:t>
      </w:r>
      <w:r>
        <w:t xml:space="preserve"> </w:t>
      </w:r>
      <w:r>
        <w:t xml:space="preserve">compared with</w:t>
      </w:r>
      <w:r>
        <w:t xml:space="preserve"> </w:t>
      </w:r>
      <w:r>
        <w:t xml:space="preserve">$2.6 million</w:t>
      </w:r>
      <w:r>
        <w:t xml:space="preserve"> </w:t>
      </w:r>
      <w:r>
        <w:t xml:space="preserve">in December 2024, representing</w:t>
      </w:r>
      <w:r>
        <w:t xml:space="preserve"> </w:t>
      </w:r>
      <w:r>
        <w:t xml:space="preserve">an increase of 8.2 per cent year over year.</w:t>
      </w:r>
    </w:p>
    <w:p>
      <w:pPr>
        <w:pStyle w:val="BodyText"/>
      </w:pPr>
      <w:r>
        <w:t xml:space="preserve">On a year-to-date basis, taxi trip revenue from January to December 2025 totalled</w:t>
      </w:r>
      <w:r>
        <w:t xml:space="preserve"> </w:t>
      </w:r>
      <w:r>
        <w:t xml:space="preserve">$34.0 million,</w:t>
      </w:r>
      <w:r>
        <w:t xml:space="preserve"> </w:t>
      </w:r>
      <w:r>
        <w:t xml:space="preserve">an increase of 3.51 per cent from</w:t>
      </w:r>
      <w:r>
        <w:t xml:space="preserve"> </w:t>
      </w:r>
      <w:r>
        <w:t xml:space="preserve">$32.9 million</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In Capital Regional District, total TNS trip revenue in December 2025 was</w:t>
      </w:r>
      <w:r>
        <w:t xml:space="preserve"> </w:t>
      </w:r>
      <w:r>
        <w:t xml:space="preserve">$3.0 million,</w:t>
      </w:r>
      <w:r>
        <w:t xml:space="preserve"> </w:t>
      </w:r>
      <w:r>
        <w:t xml:space="preserve">compared with</w:t>
      </w:r>
      <w:r>
        <w:t xml:space="preserve"> </w:t>
      </w:r>
      <w:r>
        <w:t xml:space="preserve">$2.8 million</w:t>
      </w:r>
      <w:r>
        <w:t xml:space="preserve"> </w:t>
      </w:r>
      <w:r>
        <w:t xml:space="preserve">in November 2025, representing</w:t>
      </w:r>
      <w:r>
        <w:t xml:space="preserve"> </w:t>
      </w:r>
      <w:r>
        <w:t xml:space="preserve">an increase of 4.18 per cent month over month.</w:t>
      </w:r>
      <w:r>
        <w:t xml:space="preserve"> </w:t>
      </w:r>
      <w:r>
        <w:t xml:space="preserve">Short-term results are not conclusive regarding a shift in market direction.</w:t>
      </w:r>
    </w:p>
    <w:p>
      <w:pPr>
        <w:pStyle w:val="BodyText"/>
      </w:pPr>
      <w:r>
        <w:t xml:space="preserve">On a year-over-year basis, revenue in December 2025 was</w:t>
      </w:r>
      <w:r>
        <w:t xml:space="preserve"> </w:t>
      </w:r>
      <w:r>
        <w:t xml:space="preserve">$3.0 million,</w:t>
      </w:r>
      <w:r>
        <w:t xml:space="preserve"> </w:t>
      </w:r>
      <w:r>
        <w:t xml:space="preserve">compared with</w:t>
      </w:r>
      <w:r>
        <w:t xml:space="preserve"> </w:t>
      </w:r>
      <w:r>
        <w:t xml:space="preserve">$2.1 million</w:t>
      </w:r>
      <w:r>
        <w:t xml:space="preserve"> </w:t>
      </w:r>
      <w:r>
        <w:t xml:space="preserve">in December 2024, representing</w:t>
      </w:r>
      <w:r>
        <w:t xml:space="preserve"> </w:t>
      </w:r>
      <w:r>
        <w:t xml:space="preserve">an increase of 42.45 per cent year over year.</w:t>
      </w:r>
    </w:p>
    <w:p>
      <w:pPr>
        <w:pStyle w:val="BodyText"/>
      </w:pPr>
      <w:r>
        <w:t xml:space="preserve">On a year-to-date basis, TNS trip revenue from January to December 2025 totalled</w:t>
      </w:r>
      <w:r>
        <w:t xml:space="preserve"> </w:t>
      </w:r>
      <w:r>
        <w:t xml:space="preserve">$30.7 million,</w:t>
      </w:r>
      <w:r>
        <w:t xml:space="preserve"> </w:t>
      </w:r>
      <w:r>
        <w:t xml:space="preserve">an increase of 40.09 per cent from</w:t>
      </w:r>
      <w:r>
        <w:t xml:space="preserve"> </w:t>
      </w:r>
      <w:r>
        <w:t xml:space="preserve">$21.9 million</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p>
      <w:r>
        <w:br w:type="page"/>
      </w:r>
    </w:p>
    <w:bookmarkEnd w:id="44"/>
    <w:bookmarkEnd w:id="45"/>
    <w:bookmarkEnd w:id="46"/>
    <w:bookmarkStart w:id="60" w:name="accessibility-factor-pn"/>
    <w:p>
      <w:pPr>
        <w:pStyle w:val="Heading2"/>
      </w:pPr>
      <w:r>
        <w:t xml:space="preserve">Accessibility Factor (PN)</w:t>
      </w:r>
    </w:p>
    <w:bookmarkStart w:id="52"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 </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license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5"/>
        </w:numPr>
      </w:pPr>
      <w:r>
        <w:rPr>
          <w:b/>
          <w:bCs/>
        </w:rPr>
        <w:t xml:space="preserve">The proposed service provides more or improved service to persons with mobility disabilities, including WAVs.</w:t>
      </w:r>
      <w:r>
        <w:br/>
      </w:r>
    </w:p>
    <w:p>
      <w:pPr>
        <w:pStyle w:val="Compact"/>
        <w:numPr>
          <w:ilvl w:val="0"/>
          <w:numId w:val="1015"/>
        </w:numPr>
      </w:pPr>
      <w:r>
        <w:t xml:space="preserve">There are people who require access to, or are seeking access to, or would likely access a new, expanded, or improved passenger transportation service.</w:t>
      </w:r>
    </w:p>
    <w:p>
      <w:pPr>
        <w:pStyle w:val="Compact"/>
        <w:numPr>
          <w:ilvl w:val="0"/>
          <w:numId w:val="1015"/>
        </w:numPr>
      </w:pPr>
      <w:r>
        <w:t xml:space="preserve">The number of WAVs on the road directly and positively correlates with the extent and quality of service provided to individuals with mobility disabilities.</w:t>
      </w:r>
    </w:p>
    <w:p>
      <w:r>
        <w:br w:type="page"/>
      </w:r>
    </w:p>
    <w:bookmarkStart w:id="50" w:name="X0559e7a20364afb02e9fb16f79ead8932e92d37"/>
    <w:p>
      <w:pPr>
        <w:pStyle w:val="Heading4"/>
      </w:pPr>
      <w:r>
        <w:t xml:space="preserve">Capital Regional District Number of Wheelchair Accessible Vehicles Findings</w:t>
      </w:r>
    </w:p>
    <w:p>
      <w:pPr>
        <w:pStyle w:val="FirstParagraph"/>
      </w:pPr>
      <w:r>
        <w:t xml:space="preserve">Table 3: Capital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r>
    </w:tbl>
    <w:p>
      <w:pPr>
        <w:pStyle w:val="BodyText"/>
      </w:pPr>
      <w:r>
        <w:t xml:space="preserve">Table 4: Capital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r>
    </w:tbl>
    <w:p>
      <w:pPr>
        <w:pStyle w:val="BodyText"/>
      </w:pPr>
      <w:r>
        <w:t xml:space="preserve">Figure 3: Capital Regional District Trip Volume</w:t>
      </w:r>
    </w:p>
    <w:p>
      <w:pPr>
        <w:pStyle w:val="BodyText"/>
      </w:pPr>
      <w:r>
        <w:drawing>
          <wp:inline>
            <wp:extent cx="5334000" cy="2667000"/>
            <wp:effectExtent b="0" l="0" r="0" t="0"/>
            <wp:docPr descr="" title="" id="48" name="Picture"/>
            <a:graphic>
              <a:graphicData uri="http://schemas.openxmlformats.org/drawingml/2006/picture">
                <pic:pic>
                  <pic:nvPicPr>
                    <pic:cNvPr descr="0_3master_peter_files/figure-docx/unnamed-chunk-9-1.png" id="49"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p>
    <w:bookmarkEnd w:id="50"/>
    <w:bookmarkStart w:id="51" w:name="analysis-and-conclusions-2"/>
    <w:p>
      <w:pPr>
        <w:pStyle w:val="Heading4"/>
      </w:pPr>
      <w:r>
        <w:t xml:space="preserve">Analysis and Conclusions</w:t>
      </w:r>
    </w:p>
    <w:p>
      <w:pPr>
        <w:pStyle w:val="FirstParagraph"/>
      </w:pPr>
      <w:r>
        <w:t xml:space="preserve">In Capital Regional District, the number of active Taxi WAVs in December 2025 was</w:t>
      </w:r>
      <w:r>
        <w:t xml:space="preserve"> </w:t>
      </w:r>
      <w:r>
        <w:t xml:space="preserve">19,</w:t>
      </w:r>
      <w:r>
        <w:t xml:space="preserve"> </w:t>
      </w:r>
      <w:r>
        <w:t xml:space="preserve">compared with</w:t>
      </w:r>
      <w:r>
        <w:t xml:space="preserve"> </w:t>
      </w:r>
      <w:r>
        <w:t xml:space="preserve">20</w:t>
      </w:r>
      <w:r>
        <w:t xml:space="preserve"> </w:t>
      </w:r>
      <w:r>
        <w:t xml:space="preserve">in November 2025, representing</w:t>
      </w:r>
      <w:r>
        <w:t xml:space="preserve"> </w:t>
      </w:r>
      <w:r>
        <w:t xml:space="preserve">a decrease of 5 per cent month over month.</w:t>
      </w:r>
      <w:r>
        <w:t xml:space="preserve"> </w:t>
      </w:r>
      <w:r>
        <w:t xml:space="preserve">Short-term results are not conclusive regarding a shift in market direction.</w:t>
      </w:r>
    </w:p>
    <w:p>
      <w:pPr>
        <w:pStyle w:val="BodyText"/>
      </w:pPr>
      <w:r>
        <w:t xml:space="preserve">The Board approved 36 WAVs in December 2025, indicating that the number of active WAVs remained below the approved allocation.</w:t>
      </w:r>
    </w:p>
    <w:p>
      <w:pPr>
        <w:pStyle w:val="BodyText"/>
      </w:pPr>
      <w:r>
        <w:t xml:space="preserve">On a year-over-year basis, the number of active Taxi WAVs in December 2025 was</w:t>
      </w:r>
      <w:r>
        <w:t xml:space="preserve"> </w:t>
      </w:r>
      <w:r>
        <w:t xml:space="preserve">19,</w:t>
      </w:r>
      <w:r>
        <w:t xml:space="preserve"> </w:t>
      </w:r>
      <w:r>
        <w:t xml:space="preserve">compared with</w:t>
      </w:r>
      <w:r>
        <w:t xml:space="preserve"> </w:t>
      </w:r>
      <w:r>
        <w:t xml:space="preserve">19</w:t>
      </w:r>
      <w:r>
        <w:t xml:space="preserve"> </w:t>
      </w:r>
      <w:r>
        <w:t xml:space="preserve">in December 2024, representing</w:t>
      </w:r>
      <w:r>
        <w:t xml:space="preserve"> </w:t>
      </w:r>
      <w:r>
        <w:t xml:space="preserve">no change year over year.</w:t>
      </w:r>
    </w:p>
    <w:p>
      <w:pPr>
        <w:pStyle w:val="BodyText"/>
      </w:pPr>
      <w:r>
        <w:t xml:space="preserve">On a year-to-date basis, the average number of active Taxi WAVs from January to December 2025 was</w:t>
      </w:r>
      <w:r>
        <w:t xml:space="preserve"> </w:t>
      </w:r>
      <w:r>
        <w:t xml:space="preserve">20,</w:t>
      </w:r>
      <w:r>
        <w:t xml:space="preserve"> </w:t>
      </w:r>
      <w:r>
        <w:t xml:space="preserve">an increase of 34.83 per cent from</w:t>
      </w:r>
      <w:r>
        <w:t xml:space="preserve"> </w:t>
      </w:r>
      <w:r>
        <w:t xml:space="preserve">15</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t xml:space="preserve">The number of active WAVs providing accessible trips in December 2025 was</w:t>
      </w:r>
      <w:r>
        <w:t xml:space="preserve"> </w:t>
      </w:r>
      <w:r>
        <w:t xml:space="preserve">18,</w:t>
      </w:r>
      <w:r>
        <w:t xml:space="preserve"> </w:t>
      </w:r>
      <w:r>
        <w:t xml:space="preserve">compared with</w:t>
      </w:r>
      <w:r>
        <w:t xml:space="preserve"> </w:t>
      </w:r>
      <w:r>
        <w:t xml:space="preserve">18</w:t>
      </w:r>
      <w:r>
        <w:t xml:space="preserve"> </w:t>
      </w:r>
      <w:r>
        <w:t xml:space="preserve">in November 2025, representing</w:t>
      </w:r>
      <w:r>
        <w:t xml:space="preserve"> </w:t>
      </w:r>
      <w:r>
        <w:t xml:space="preserve">no change month over month.</w:t>
      </w:r>
      <w:r>
        <w:t xml:space="preserve"> </w:t>
      </w:r>
      <w:r>
        <w:t xml:space="preserve">NA</w:t>
      </w:r>
    </w:p>
    <w:p>
      <w:pPr>
        <w:pStyle w:val="BodyText"/>
      </w:pPr>
      <w:r>
        <w:t xml:space="preserve">On a year-over-year basis, the number of WAVs providing accessible trips in December 2025 was</w:t>
      </w:r>
      <w:r>
        <w:t xml:space="preserve"> </w:t>
      </w:r>
      <w:r>
        <w:t xml:space="preserve">18,</w:t>
      </w:r>
      <w:r>
        <w:t xml:space="preserve"> </w:t>
      </w:r>
      <w:r>
        <w:t xml:space="preserve">compared with</w:t>
      </w:r>
      <w:r>
        <w:t xml:space="preserve"> </w:t>
      </w:r>
      <w:r>
        <w:t xml:space="preserve">15</w:t>
      </w:r>
      <w:r>
        <w:t xml:space="preserve"> </w:t>
      </w:r>
      <w:r>
        <w:t xml:space="preserve">in December 2024, representing</w:t>
      </w:r>
      <w:r>
        <w:t xml:space="preserve"> </w:t>
      </w:r>
      <w:r>
        <w:t xml:space="preserve">an increase of 20 per cent year over year.</w:t>
      </w:r>
    </w:p>
    <w:p>
      <w:pPr>
        <w:pStyle w:val="BodyText"/>
      </w:pPr>
      <w:r>
        <w:t xml:space="preserve">On a year-to-date basis, the average number of WAVs providing accessible trips from January to December 2025 was</w:t>
      </w:r>
      <w:r>
        <w:t xml:space="preserve"> </w:t>
      </w:r>
      <w:r>
        <w:t xml:space="preserve">17,</w:t>
      </w:r>
      <w:r>
        <w:t xml:space="preserve"> </w:t>
      </w:r>
      <w:r>
        <w:t xml:space="preserve">an increase of 54.48 per cent from</w:t>
      </w:r>
      <w:r>
        <w:t xml:space="preserve"> </w:t>
      </w:r>
      <w:r>
        <w:t xml:space="preserve">11</w:t>
      </w:r>
      <w:r>
        <w:t xml:space="preserve"> </w:t>
      </w:r>
      <w:r>
        <w:t xml:space="preserve">over the same period (January to December 2024).</w:t>
      </w:r>
      <w:r>
        <w:t xml:space="preserve"> </w:t>
      </w:r>
      <w:r>
        <w:t xml:space="preserve">NA</w:t>
      </w:r>
    </w:p>
    <w:p>
      <w:pPr>
        <w:pStyle w:val="BodyText"/>
      </w:pPr>
      <w:r>
        <w:t xml:space="preserve">Total number of accessible WAV trips in December 2025</w:t>
      </w:r>
      <w:r>
        <w:t xml:space="preserve"> </w:t>
      </w:r>
      <w:r>
        <w:t xml:space="preserve">584,</w:t>
      </w:r>
      <w:r>
        <w:t xml:space="preserve"> </w:t>
      </w:r>
      <w:r>
        <w:t xml:space="preserve">compared with</w:t>
      </w:r>
      <w:r>
        <w:t xml:space="preserve"> </w:t>
      </w:r>
      <w:r>
        <w:t xml:space="preserve">424</w:t>
      </w:r>
      <w:r>
        <w:t xml:space="preserve"> </w:t>
      </w:r>
      <w:r>
        <w:t xml:space="preserve">in November 2025, representing</w:t>
      </w:r>
      <w:r>
        <w:t xml:space="preserve"> </w:t>
      </w:r>
      <w:r>
        <w:t xml:space="preserve">an increase of 37.74 per cent month over month.</w:t>
      </w:r>
      <w:r>
        <w:t xml:space="preserve"> </w:t>
      </w:r>
      <w:r>
        <w:t xml:space="preserve">Short-term results are not conclusive regarding a shift in market direction.</w:t>
      </w:r>
    </w:p>
    <w:p>
      <w:pPr>
        <w:pStyle w:val="BodyText"/>
      </w:pPr>
      <w:r>
        <w:t xml:space="preserve">On a year-over-year basis, Total number of accessible WAV trips in December 2025</w:t>
      </w:r>
      <w:r>
        <w:t xml:space="preserve"> </w:t>
      </w:r>
      <w:r>
        <w:t xml:space="preserve">584,</w:t>
      </w:r>
      <w:r>
        <w:t xml:space="preserve"> </w:t>
      </w:r>
      <w:r>
        <w:t xml:space="preserve">compared with</w:t>
      </w:r>
      <w:r>
        <w:t xml:space="preserve"> </w:t>
      </w:r>
      <w:r>
        <w:t xml:space="preserve">337</w:t>
      </w:r>
      <w:r>
        <w:t xml:space="preserve"> </w:t>
      </w:r>
      <w:r>
        <w:t xml:space="preserve">in December 2024, representing</w:t>
      </w:r>
      <w:r>
        <w:t xml:space="preserve"> </w:t>
      </w:r>
      <w:r>
        <w:t xml:space="preserve">an increase of 73.29 per cent year over year.</w:t>
      </w:r>
    </w:p>
    <w:p>
      <w:pPr>
        <w:pStyle w:val="BodyText"/>
      </w:pPr>
      <w:r>
        <w:t xml:space="preserve">On a year-to-date basis, total number of accessible WAV trips from January to December 2025</w:t>
      </w:r>
      <w:r>
        <w:t xml:space="preserve"> </w:t>
      </w:r>
      <w:r>
        <w:t xml:space="preserve">5361,</w:t>
      </w:r>
      <w:r>
        <w:t xml:space="preserve"> </w:t>
      </w:r>
      <w:r>
        <w:t xml:space="preserve">an increase of 113.08 per cent from</w:t>
      </w:r>
      <w:r>
        <w:t xml:space="preserve"> </w:t>
      </w:r>
      <w:r>
        <w:t xml:space="preserve">2516</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p>
      <w:r>
        <w:br w:type="page"/>
      </w:r>
    </w:p>
    <w:bookmarkEnd w:id="51"/>
    <w:bookmarkEnd w:id="52"/>
    <w:bookmarkStart w:id="59"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Compact"/>
        <w:numPr>
          <w:ilvl w:val="0"/>
          <w:numId w:val="1016"/>
        </w:numPr>
      </w:pPr>
      <w:r>
        <w:t xml:space="preserve">The proposed service enhances availability of passenger transportation services to everyone in the province, including in low-density areas, such as rural and remote communities.</w:t>
      </w:r>
    </w:p>
    <w:p>
      <w:pPr>
        <w:pStyle w:val="Compact"/>
        <w:numPr>
          <w:ilvl w:val="0"/>
          <w:numId w:val="1016"/>
        </w:numPr>
      </w:pPr>
      <w:r>
        <w:t xml:space="preserve">A higher number of active vehicles per 1,000 persons directly and positively correlates with greater service availability.</w:t>
      </w:r>
    </w:p>
    <w:p>
      <w:pPr>
        <w:pStyle w:val="Compact"/>
        <w:numPr>
          <w:ilvl w:val="0"/>
          <w:numId w:val="1016"/>
        </w:numPr>
      </w:pPr>
      <w:r>
        <w:t xml:space="preserve">The number of vehicles per 1,000 persons in low-density areas provides an area-specific assessment of overall service availability.</w:t>
      </w:r>
    </w:p>
    <w:p>
      <w:r>
        <w:br w:type="page"/>
      </w:r>
    </w:p>
    <w:bookmarkStart w:id="57" w:name="X33d2095f461c181194d75a82d0a97a8bd25843f"/>
    <w:p>
      <w:pPr>
        <w:pStyle w:val="Heading4"/>
      </w:pPr>
      <w:r>
        <w:t xml:space="preserve">Capital Regional District Active Vehicles per 1,000 Persons Findings</w:t>
      </w:r>
    </w:p>
    <w:p>
      <w:pPr>
        <w:pStyle w:val="FirstParagraph"/>
      </w:pPr>
      <w:r>
        <w:t xml:space="preserve">Table 5: Capital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0.73</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w:t>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w:t>
      </w:r>
      <w:r>
        <w:rPr>
          <w:rStyle w:val="FootnoteReference"/>
        </w:rPr>
        <w:footnoteReference w:id="53"/>
      </w:r>
    </w:p>
    <w:p>
      <w:pPr>
        <w:pStyle w:val="BodyText"/>
      </w:pPr>
      <w:r>
        <w:t xml:space="preserve">Figure 4: Capital Regional District Active Vehicles per 1,000 Persons</w:t>
      </w:r>
    </w:p>
    <w:p>
      <w:pPr>
        <w:pStyle w:val="BodyText"/>
      </w:pPr>
      <w:r>
        <w:drawing>
          <wp:inline>
            <wp:extent cx="5334000" cy="2667000"/>
            <wp:effectExtent b="0" l="0" r="0" t="0"/>
            <wp:docPr descr="" title="" id="55" name="Picture"/>
            <a:graphic>
              <a:graphicData uri="http://schemas.openxmlformats.org/drawingml/2006/picture">
                <pic:pic>
                  <pic:nvPicPr>
                    <pic:cNvPr descr="0_3master_peter_files/figure-docx/unnamed-chunk-11-1.png" id="56"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p>
    <w:bookmarkEnd w:id="57"/>
    <w:bookmarkStart w:id="58" w:name="analysis-and-conclusions-3"/>
    <w:p>
      <w:pPr>
        <w:pStyle w:val="Heading4"/>
      </w:pPr>
      <w:r>
        <w:t xml:space="preserve">Analysis and Conclusions</w:t>
      </w:r>
    </w:p>
    <w:p>
      <w:pPr>
        <w:pStyle w:val="FirstParagraph"/>
      </w:pPr>
      <w:r>
        <w:t xml:space="preserve">In Capital Regional District, the number of active taxi vehicles per 1000 persons in December 2025 was</w:t>
      </w:r>
      <w:r>
        <w:t xml:space="preserve"> </w:t>
      </w:r>
      <w:r>
        <w:t xml:space="preserve">0.73,</w:t>
      </w:r>
      <w:r>
        <w:t xml:space="preserve"> </w:t>
      </w:r>
      <w:r>
        <w:t xml:space="preserve">compared with</w:t>
      </w:r>
      <w:r>
        <w:t xml:space="preserve"> </w:t>
      </w:r>
      <w:r>
        <w:t xml:space="preserve">0.73</w:t>
      </w:r>
      <w:r>
        <w:t xml:space="preserve"> </w:t>
      </w:r>
      <w:r>
        <w:t xml:space="preserve">in November 2025, representing</w:t>
      </w:r>
      <w:r>
        <w:t xml:space="preserve"> </w:t>
      </w:r>
      <w:r>
        <w:t xml:space="preserve">an increase of 0.61 per cent month over month.</w:t>
      </w:r>
      <w:r>
        <w:t xml:space="preserve"> </w:t>
      </w:r>
      <w:r>
        <w:t xml:space="preserve">Short-term results are not conclusive regarding a shift in market direction.</w:t>
      </w:r>
    </w:p>
    <w:p>
      <w:pPr>
        <w:pStyle w:val="BodyText"/>
      </w:pPr>
      <w:r>
        <w:t xml:space="preserve">On a year-over-year basis, the number of active taxi vehicles per 1000 persons in December 2025 was</w:t>
      </w:r>
      <w:r>
        <w:t xml:space="preserve"> </w:t>
      </w:r>
      <w:r>
        <w:t xml:space="preserve">0.73,</w:t>
      </w:r>
      <w:r>
        <w:t xml:space="preserve"> </w:t>
      </w:r>
      <w:r>
        <w:t xml:space="preserve">compared with</w:t>
      </w:r>
      <w:r>
        <w:t xml:space="preserve"> </w:t>
      </w:r>
      <w:r>
        <w:t xml:space="preserve">0.72</w:t>
      </w:r>
      <w:r>
        <w:t xml:space="preserve"> </w:t>
      </w:r>
      <w:r>
        <w:t xml:space="preserve">in December 2024, representing</w:t>
      </w:r>
      <w:r>
        <w:t xml:space="preserve"> </w:t>
      </w:r>
      <w:r>
        <w:t xml:space="preserve">an increase of 1.6 per cent year over year.</w:t>
      </w:r>
    </w:p>
    <w:p>
      <w:pPr>
        <w:pStyle w:val="BodyText"/>
      </w:pPr>
      <w:r>
        <w:t xml:space="preserve">On a year-to-date basis, the average number of active taxi vehicles per 1000 persons from January to December 2025 was</w:t>
      </w:r>
      <w:r>
        <w:t xml:space="preserve"> </w:t>
      </w:r>
      <w:r>
        <w:t xml:space="preserve">0.70,</w:t>
      </w:r>
      <w:r>
        <w:t xml:space="preserve"> </w:t>
      </w:r>
      <w:r>
        <w:t xml:space="preserve">an increase of 2.1 per cent from</w:t>
      </w:r>
      <w:r>
        <w:t xml:space="preserve"> </w:t>
      </w:r>
      <w:r>
        <w:t xml:space="preserve">0.70</w:t>
      </w:r>
      <w:r>
        <w:t xml:space="preserve"> </w:t>
      </w:r>
      <w:r>
        <w:t xml:space="preserve">over the same period (January to December 2024).</w:t>
      </w:r>
      <w:r>
        <w:t xml:space="preserve"> </w:t>
      </w:r>
      <w:r>
        <w:t xml:space="preserve">Looking over the past two years, results are not conclusive regarding a long-term trend.</w:t>
      </w:r>
    </w:p>
    <w:p>
      <w:pPr>
        <w:pStyle w:val="BodyText"/>
      </w:pPr>
      <w:r>
        <w:t xml:space="preserve">The number of active TNS vehicles per 1000 persons in December 2025 was</w:t>
      </w:r>
      <w:r>
        <w:t xml:space="preserve"> </w:t>
      </w:r>
      <w:r>
        <w:t xml:space="preserve">0.9,</w:t>
      </w:r>
      <w:r>
        <w:t xml:space="preserve"> </w:t>
      </w:r>
      <w:r>
        <w:t xml:space="preserve">compared with</w:t>
      </w:r>
      <w:r>
        <w:t xml:space="preserve"> </w:t>
      </w:r>
      <w:r>
        <w:t xml:space="preserve">0.86</w:t>
      </w:r>
      <w:r>
        <w:t xml:space="preserve"> </w:t>
      </w:r>
      <w:r>
        <w:t xml:space="preserve">in November 2025, representing</w:t>
      </w:r>
      <w:r>
        <w:t xml:space="preserve"> </w:t>
      </w:r>
      <w:r>
        <w:t xml:space="preserve">an increase of 4.85 per cent month over month.</w:t>
      </w:r>
      <w:r>
        <w:t xml:space="preserve"> </w:t>
      </w:r>
      <w:r>
        <w:t xml:space="preserve">Short-term results are not conclusive regarding a shift in market direction.</w:t>
      </w:r>
    </w:p>
    <w:p>
      <w:pPr>
        <w:pStyle w:val="BodyText"/>
      </w:pPr>
      <w:r>
        <w:t xml:space="preserve">On a year-over-year basis, the number of active TNS vehicles per 1000 persons in December 2025 was</w:t>
      </w:r>
      <w:r>
        <w:t xml:space="preserve"> </w:t>
      </w:r>
      <w:r>
        <w:t xml:space="preserve">0.9,</w:t>
      </w:r>
      <w:r>
        <w:t xml:space="preserve"> </w:t>
      </w:r>
      <w:r>
        <w:t xml:space="preserve">compared with</w:t>
      </w:r>
      <w:r>
        <w:t xml:space="preserve"> </w:t>
      </w:r>
      <w:r>
        <w:t xml:space="preserve">0.61</w:t>
      </w:r>
      <w:r>
        <w:t xml:space="preserve"> </w:t>
      </w:r>
      <w:r>
        <w:t xml:space="preserve">in December 2024, representing</w:t>
      </w:r>
      <w:r>
        <w:t xml:space="preserve"> </w:t>
      </w:r>
      <w:r>
        <w:t xml:space="preserve">an increase of 46.92 per cent year over year.</w:t>
      </w:r>
    </w:p>
    <w:p>
      <w:pPr>
        <w:pStyle w:val="BodyText"/>
      </w:pPr>
      <w:r>
        <w:t xml:space="preserve">On a year-to-date basis, the average number of active TNS vehicles per 1000 persons from January to December 2025 was</w:t>
      </w:r>
      <w:r>
        <w:t xml:space="preserve"> </w:t>
      </w:r>
      <w:r>
        <w:t xml:space="preserve">0.70,</w:t>
      </w:r>
      <w:r>
        <w:t xml:space="preserve"> </w:t>
      </w:r>
      <w:r>
        <w:t xml:space="preserve">an increase of 52 per cent from</w:t>
      </w:r>
      <w:r>
        <w:t xml:space="preserve"> </w:t>
      </w:r>
      <w:r>
        <w:t xml:space="preserve">0.50</w:t>
      </w:r>
      <w:r>
        <w:t xml:space="preserve"> </w:t>
      </w:r>
      <w:r>
        <w:t xml:space="preserve">over the same period (January to December 2024).</w:t>
      </w:r>
      <w:r>
        <w:t xml:space="preserve"> </w:t>
      </w:r>
      <w:r>
        <w:t xml:space="preserve">Looking over the past two years, statistical analysis of the long-term trend suggests that this indicator is on an upward trajectory.</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58"/>
    <w:bookmarkEnd w:id="59"/>
    <w:bookmarkEnd w:id="60"/>
    <w:bookmarkStart w:id="72" w:name="affordability-factor-pn"/>
    <w:p>
      <w:pPr>
        <w:pStyle w:val="Heading2"/>
      </w:pPr>
      <w:r>
        <w:t xml:space="preserve">Affordability Factor (PN)</w:t>
      </w:r>
    </w:p>
    <w:bookmarkStart w:id="71"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61"/>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7"/>
        </w:numPr>
      </w:pPr>
      <w:r>
        <w:t xml:space="preserve">The proposed service provides more affordable options or services for consumers.</w:t>
      </w:r>
    </w:p>
    <w:p>
      <w:pPr>
        <w:pStyle w:val="Compact"/>
        <w:numPr>
          <w:ilvl w:val="1"/>
          <w:numId w:val="1018"/>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p>
      <w:r>
        <w:br w:type="page"/>
      </w:r>
    </w:p>
    <w:bookmarkStart w:id="68" w:name="Xa0397dab4c4077dd24ba2d0e160ec84e0d6a5cd"/>
    <w:p>
      <w:pPr>
        <w:pStyle w:val="Heading4"/>
      </w:pPr>
      <w:r>
        <w:t xml:space="preserve">Capital Regional District Fare for a 5-Kilometre Trip Findings</w:t>
      </w:r>
    </w:p>
    <w:p>
      <w:pPr>
        <w:pStyle w:val="FirstParagraph"/>
      </w:pPr>
      <w:r>
        <w:t xml:space="preserve">Table 6: Capital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$17.12</w:t>
            </w:r>
          </w:p>
        </w:tc>
      </w:tr>
      <w:tr>
        <w:trPr>
          <w:trHeight w:val="529" w:hRule="auto"/>
        </w:trPr>
        body4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body5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$17.50</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$16.91</w:t>
            </w:r>
          </w:p>
        </w:tc>
      </w:tr>
      <w:tr>
        <w:trPr>
          <w:trHeight w:val="552" w:hRule="auto"/>
        </w:trPr>
        body7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$16.31</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$16.87</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$16.70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$16.82</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$16.68</w:t>
            </w:r>
          </w:p>
        </w:tc>
      </w:tr>
    </w:tbl>
    <w:p>
      <w:pPr>
        <w:pStyle w:val="BodyText"/>
      </w:pPr>
      <w:r>
        <w:t xml:space="preserve">Figure 5: Capital Regional District Fare for a 5-Kilometre Trips</w:t>
      </w:r>
    </w:p>
    <w:p>
      <w:pPr>
        <w:pStyle w:val="BodyText"/>
      </w:pPr>
      <w:r>
        <w:drawing>
          <wp:inline>
            <wp:extent cx="5334000" cy="2667000"/>
            <wp:effectExtent b="0" l="0" r="0" t="0"/>
            <wp:docPr descr="" title="" id="63" name="Picture"/>
            <a:graphic>
              <a:graphicData uri="http://schemas.openxmlformats.org/drawingml/2006/picture">
                <pic:pic>
                  <pic:nvPicPr>
                    <pic:cNvPr descr="0_3master_peter_files/figure-docx/unnamed-chunk-13-1.png" id="64" name="Picture"/>
                    <pic:cNvPicPr>
                      <a:picLocks noChangeArrowheads="1" noChangeAspect="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5818909"/>
            <wp:effectExtent b="0" l="0" r="0" t="0"/>
            <wp:docPr descr="" title="" id="66" name="Picture"/>
            <a:graphic>
              <a:graphicData uri="http://schemas.openxmlformats.org/drawingml/2006/picture">
                <pic:pic>
                  <pic:nvPicPr>
                    <pic:cNvPr descr="0_3master_peter_files/figure-docx/unnamed-chunk-14-1.png" id="67" name="Picture"/>
                    <pic:cNvPicPr>
                      <a:picLocks noChangeArrowheads="1" noChangeAspect="1"/>
                    </pic:cNvPicPr>
                  </pic:nvPicPr>
                  <pic:blipFill>
                    <a:blip r:embed="rId65"/>
                    <a:stretch>
                      <a:fillRect/>
                    </a:stretch>
                  </pic:blipFill>
                  <pic:spPr bwMode="auto">
                    <a:xfrm>
                      <a:off x="0" y="0"/>
                      <a:ext cx="5334000" cy="5818909"/>
                    </a:xfrm>
                    <a:prstGeom prst="rect">
                      <a:avLst/>
                    </a:prstGeom>
                    <a:noFill/>
                    <a:ln w="9525">
                      <a:noFill/>
                      <a:headEnd/>
                      <a:tailEnd/>
                    </a:ln>
                  </pic:spPr>
                </pic:pic>
              </a:graphicData>
            </a:graphic>
          </wp:inline>
        </w:drawing>
      </w:r>
    </w:p>
    <w:bookmarkEnd w:id="68"/>
    <w:bookmarkStart w:id="70" w:name="analysis-and-conclusions-4"/>
    <w:p>
      <w:pPr>
        <w:pStyle w:val="Heading4"/>
      </w:pPr>
      <w:r>
        <w:t xml:space="preserve">Analysis and Conclusions</w:t>
      </w:r>
    </w:p>
    <w:p>
      <w:pPr>
        <w:pStyle w:val="FirstParagraph"/>
      </w:pPr>
      <w:r>
        <w:t xml:space="preserve">In December 2025, Capital Regional District recorded a total of $17.12 in fare per 5 km for taxi trips. On a year-over-year (YoY) basis, the fare per 5 km for taxi trips was -0.84% while on a year-to-date (YTD) basis it was +50.39% relative to the same period in 2024.On a month-over-month (MoM) basis, the fare per 5 km for taxi trips changed by +0.09%. Looking over the past two years, statistical analysis of the long-term trend suggests that this indicator is on a downward trajectory. Short-term results are not conclusive regarding a shift in market direction.</w:t>
      </w:r>
      <w:r>
        <w:rPr>
          <w:rStyle w:val="FootnoteReference"/>
        </w:rPr>
        <w:footnoteReference w:id="69"/>
      </w:r>
    </w:p>
    <w:p>
      <w:pPr>
        <w:pStyle w:val="BodyText"/>
      </w:pPr>
      <w:r>
        <w:t xml:space="preserve">In December 2025, the Capital Regional District recorded a total of $16.68 in fare per 5 km for TNS trips. Compared with December 2024, the fare per 5 km for TNS trips was -1.39% (YoY). Year-to-date through December 2025, the fare per 5 km for TNS trips was -0.76% relative to the same period in 2024. On a month-over-month (MoM) basis, the fare per 5 km for TNS trips changed by -0.82%. Looking over the past two years, results are not conclusive regarding a long-term trend. Short-term results are not conclusive regarding a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p>
      <w:r>
        <w:br w:type="page"/>
      </w:r>
    </w:p>
    <w:bookmarkEnd w:id="70"/>
    <w:bookmarkEnd w:id="71"/>
    <w:bookmarkEnd w:id="72"/>
    <w:bookmarkStart w:id="73" w:name="safety-factor-pn"/>
    <w:p>
      <w:pPr>
        <w:pStyle w:val="Heading2"/>
      </w:pPr>
      <w:r>
        <w:t xml:space="preserve">Safety Factor (PN)</w:t>
      </w:r>
    </w:p>
    <w:p>
      <w:pPr>
        <w:pStyle w:val="FirstParagraph"/>
      </w:pPr>
      <w:r>
        <w:t xml:space="preserve">There is no analysis related to this factor.</w:t>
      </w:r>
    </w:p>
    <w:bookmarkEnd w:id="73"/>
    <w:bookmarkStart w:id="83" w:name="service-quality-factor-pn"/>
    <w:p>
      <w:pPr>
        <w:pStyle w:val="Heading2"/>
      </w:pPr>
      <w:r>
        <w:t xml:space="preserve">Service Quality Factor (PN)</w:t>
      </w:r>
    </w:p>
    <w:bookmarkStart w:id="82"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9"/>
        </w:numPr>
      </w:pPr>
      <w:r>
        <w:t xml:space="preserve">The proposed service provides more or improved service where there is currently inadequate service.</w:t>
      </w:r>
    </w:p>
    <w:p>
      <w:pPr>
        <w:pStyle w:val="Compact"/>
        <w:numPr>
          <w:ilvl w:val="1"/>
          <w:numId w:val="1020"/>
        </w:numPr>
      </w:pPr>
      <w:r>
        <w:t xml:space="preserve">A long wait time suggests an inadequate level of service supplied.</w:t>
      </w:r>
    </w:p>
    <w:p>
      <w:pPr>
        <w:pStyle w:val="Compact"/>
        <w:numPr>
          <w:ilvl w:val="0"/>
          <w:numId w:val="1019"/>
        </w:numPr>
      </w:pPr>
      <w:r>
        <w:t xml:space="preserve">The proposed service provides more reliable service.</w:t>
      </w:r>
    </w:p>
    <w:p>
      <w:pPr>
        <w:pStyle w:val="Compact"/>
        <w:numPr>
          <w:ilvl w:val="1"/>
          <w:numId w:val="1021"/>
        </w:numPr>
      </w:pPr>
      <w:r>
        <w:t xml:space="preserve">Consistent short wait times suggest that the service is reliable.</w:t>
      </w:r>
    </w:p>
    <w:p>
      <w:pPr>
        <w:pStyle w:val="Compact"/>
        <w:numPr>
          <w:ilvl w:val="1"/>
          <w:numId w:val="1021"/>
        </w:numPr>
      </w:pPr>
      <w:r>
        <w:t xml:space="preserve">Significant changes in wait times can suggest that the service is not reliable.</w:t>
      </w:r>
    </w:p>
    <w:p>
      <w:pPr>
        <w:pStyle w:val="Compact"/>
        <w:numPr>
          <w:ilvl w:val="1"/>
          <w:numId w:val="1021"/>
        </w:numPr>
      </w:pPr>
      <w:r>
        <w:t xml:space="preserve">Consistently long wait times suggest that the service is not reliable.</w:t>
      </w:r>
    </w:p>
    <w:p>
      <w:pPr>
        <w:pStyle w:val="Compact"/>
        <w:numPr>
          <w:ilvl w:val="0"/>
          <w:numId w:val="1019"/>
        </w:numPr>
      </w:pPr>
      <w:r>
        <w:t xml:space="preserve">The proposed service encourages more efficient service to the public, including trip speed.</w:t>
      </w:r>
    </w:p>
    <w:p>
      <w:pPr>
        <w:pStyle w:val="Compact"/>
        <w:numPr>
          <w:ilvl w:val="1"/>
          <w:numId w:val="1022"/>
        </w:numPr>
      </w:pPr>
      <w:r>
        <w:t xml:space="preserve">A long wait time suggests an inadequate level of service supplied.</w:t>
      </w:r>
    </w:p>
    <w:p>
      <w:pPr>
        <w:pStyle w:val="Compact"/>
        <w:numPr>
          <w:ilvl w:val="0"/>
          <w:numId w:val="1019"/>
        </w:numPr>
      </w:pPr>
      <w:r>
        <w:t xml:space="preserve">The proposed service provides a service that is comfortable and convenient.</w:t>
      </w:r>
    </w:p>
    <w:p>
      <w:pPr>
        <w:pStyle w:val="Compact"/>
        <w:numPr>
          <w:ilvl w:val="1"/>
          <w:numId w:val="1023"/>
        </w:numPr>
      </w:pPr>
      <w:r>
        <w:t xml:space="preserve">A short wait time contributes to a more comfortable and convenient service.</w:t>
      </w:r>
    </w:p>
    <w:p>
      <w:pPr>
        <w:pStyle w:val="Compact"/>
        <w:numPr>
          <w:ilvl w:val="1"/>
          <w:numId w:val="1023"/>
        </w:numPr>
      </w:pPr>
      <w:r>
        <w:t xml:space="preserve">The proposed service supports better customer service and customer satisfaction. A short wait time contributes to better customer service and customer satisfaction.</w:t>
      </w:r>
    </w:p>
    <w:p>
      <w:r>
        <w:br w:type="page"/>
      </w:r>
    </w:p>
    <w:bookmarkStart w:id="80" w:name="Xf1f76b1591297d61c32cdf4bbdca88f4878c618"/>
    <w:p>
      <w:pPr>
        <w:pStyle w:val="Heading4"/>
      </w:pPr>
      <w:r>
        <w:t xml:space="preserve">Capital Regional District Wait Time Findings</w:t>
      </w:r>
    </w:p>
    <w:p>
      <w:pPr>
        <w:pStyle w:val="FirstParagraph"/>
      </w:pPr>
      <w:r>
        <w:t xml:space="preserve">Table 7: Capital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5.02</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6.23</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7.82</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6.20</w:t>
            </w:r>
          </w:p>
        </w:tc>
      </w:tr>
    </w:tbl>
    <w:p>
      <w:pPr>
        <w:pStyle w:val="BodyText"/>
      </w:pPr>
      <w:r>
        <w:t xml:space="preserve">Figure 6: Capital Regional District Wait Time (minutes)</w:t>
      </w:r>
    </w:p>
    <w:p>
      <w:pPr>
        <w:pStyle w:val="BodyText"/>
      </w:pPr>
      <w:r>
        <w:drawing>
          <wp:inline>
            <wp:extent cx="5334000" cy="2667000"/>
            <wp:effectExtent b="0" l="0" r="0" t="0"/>
            <wp:docPr descr="" title="" id="75" name="Picture"/>
            <a:graphic>
              <a:graphicData uri="http://schemas.openxmlformats.org/drawingml/2006/picture">
                <pic:pic>
                  <pic:nvPicPr>
                    <pic:cNvPr descr="0_3master_peter_files/figure-docx/unnamed-chunk-16-1.png" id="76" name="Picture"/>
                    <pic:cNvPicPr>
                      <a:picLocks noChangeArrowheads="1" noChangeAspect="1"/>
                    </pic:cNvPicPr>
                  </pic:nvPicPr>
                  <pic:blipFill>
                    <a:blip r:embed="rId7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8" name="Picture"/>
            <a:graphic>
              <a:graphicData uri="http://schemas.openxmlformats.org/drawingml/2006/picture">
                <pic:pic>
                  <pic:nvPicPr>
                    <pic:cNvPr descr="0_3master_peter_files/figure-docx/unnamed-chunk-17-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bookmarkEnd w:id="80"/>
    <w:bookmarkStart w:id="81" w:name="analysis-and-conclusions-5"/>
    <w:p>
      <w:pPr>
        <w:pStyle w:val="Heading4"/>
      </w:pPr>
      <w:r>
        <w:t xml:space="preserve">Analysis and Conclusions</w:t>
      </w:r>
    </w:p>
    <w:p>
      <w:pPr>
        <w:pStyle w:val="FirstParagraph"/>
      </w:pPr>
      <w:r>
        <w:t xml:space="preserve">In December 2025, Capital Regional District recorded a total of 5 min in wait time for taxi trips. On a year-over-year (YoY) basis, the wait time for taxi trips was +0.00%while on a year-to-date (YTD) basis it was +0.76% relative to the same period in 2024.On a month-over-month (MoM) basis, taxi wait time changed by +3.06%. Looking over the past two years, results are not conclusive regarding a long-term trend. Short-term results are not conclusive regarding a shift in market direction.</w:t>
      </w:r>
    </w:p>
    <w:p>
      <w:pPr>
        <w:pStyle w:val="BodyText"/>
      </w:pPr>
      <w:r>
        <w:t xml:space="preserve">In December 2025, the Capital Regional District recorded a total of 6.2 min in wait time for TNS trips. Compared with December 2024, the wait time for TNS trips was -20.68% (YoY). Year-to-date through December 2025, the wait time for TNS trips was +4.43% relative to the same period in 2024. On a month-over-month (MoM) basis, TNS wait time changed by +8.77%. Looking over the past two years, results are not conclusive regarding a long-term trend. Statistical analysis of the short-term trend suggests that there is a downward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p>
      <w:r>
        <w:br w:type="page"/>
      </w:r>
    </w:p>
    <w:bookmarkEnd w:id="81"/>
    <w:bookmarkEnd w:id="82"/>
    <w:bookmarkEnd w:id="83"/>
    <w:bookmarkStart w:id="84" w:name="innovation-factor-sec"/>
    <w:p>
      <w:pPr>
        <w:pStyle w:val="Heading2"/>
      </w:pPr>
      <w:r>
        <w:t xml:space="preserve">Innovation Factor (SEC)</w:t>
      </w:r>
    </w:p>
    <w:p>
      <w:pPr>
        <w:pStyle w:val="FirstParagraph"/>
      </w:pPr>
      <w:r>
        <w:t xml:space="preserve">There is no analysis related to this factor.</w:t>
      </w:r>
    </w:p>
    <w:bookmarkEnd w:id="84"/>
    <w:bookmarkStart w:id="112" w:name="sustainability-factor-sec"/>
    <w:p>
      <w:pPr>
        <w:pStyle w:val="Heading2"/>
      </w:pPr>
      <w:r>
        <w:t xml:space="preserve">Sustainability Factor (SEC)</w:t>
      </w:r>
    </w:p>
    <w:bookmarkStart w:id="90"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4"/>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4"/>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4"/>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4"/>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p>
      <w:r>
        <w:br w:type="page"/>
      </w:r>
    </w:p>
    <w:bookmarkStart w:id="88" w:name="Xf68786a6ce7714b218e6261afae68f6956ae434"/>
    <w:p>
      <w:pPr>
        <w:pStyle w:val="Heading4"/>
      </w:pPr>
      <w:r>
        <w:t xml:space="preserve">Capital Regional District Revenue per Active Vehicle Findings</w:t>
      </w:r>
    </w:p>
    <w:p>
      <w:pPr>
        <w:pStyle w:val="FirstParagraph"/>
      </w:pPr>
      <w:r>
        <w:t xml:space="preserve">Table 8: Capital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$8,555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$8,461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$8,190</w:t>
            </w:r>
          </w:p>
        </w:tc>
      </w:tr>
      <w:tr>
        <w:trPr>
          <w:trHeight w:val="55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$6,391</w:t>
            </w:r>
          </w:p>
        </w:tc>
      </w:tr>
      <w:tr>
        <w:trPr>
          <w:trHeight w:val="55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$6,564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$6,871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$6,368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$6,847</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$3,853</w:t>
            </w:r>
          </w:p>
        </w:tc>
      </w:tr>
      <w:tr>
        <w:trPr>
          <w:trHeight w:val="55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$3,322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$3,856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$3,578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$3,502</w:t>
            </w:r>
          </w:p>
        </w:tc>
      </w:tr>
      <w:tr>
        <w:trPr>
          <w:trHeight w:val="55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$3,802</w:t>
            </w:r>
          </w:p>
        </w:tc>
      </w:tr>
    </w:tbl>
    <w:p>
      <w:pPr>
        <w:pStyle w:val="BodyText"/>
      </w:pPr>
      <w:r>
        <w:t xml:space="preserve">Figure 7: Capital Regional District Revenue per Active Vehicle</w:t>
      </w:r>
    </w:p>
    <w:p>
      <w:pPr>
        <w:pStyle w:val="BodyText"/>
      </w:pPr>
      <w:r>
        <w:drawing>
          <wp:inline>
            <wp:extent cx="5334000" cy="2667000"/>
            <wp:effectExtent b="0" l="0" r="0" t="0"/>
            <wp:docPr descr="" title="" id="86" name="Picture"/>
            <a:graphic>
              <a:graphicData uri="http://schemas.openxmlformats.org/drawingml/2006/picture">
                <pic:pic>
                  <pic:nvPicPr>
                    <pic:cNvPr descr="0_3master_peter_files/figure-docx/unnamed-chunk-19-1.png" id="87" name="Picture"/>
                    <pic:cNvPicPr>
                      <a:picLocks noChangeArrowheads="1" noChangeAspect="1"/>
                    </pic:cNvPicPr>
                  </pic:nvPicPr>
                  <pic:blipFill>
                    <a:blip r:embed="rId85"/>
                    <a:stretch>
                      <a:fillRect/>
                    </a:stretch>
                  </pic:blipFill>
                  <pic:spPr bwMode="auto">
                    <a:xfrm>
                      <a:off x="0" y="0"/>
                      <a:ext cx="5334000" cy="2667000"/>
                    </a:xfrm>
                    <a:prstGeom prst="rect">
                      <a:avLst/>
                    </a:prstGeom>
                    <a:noFill/>
                    <a:ln w="9525">
                      <a:noFill/>
                      <a:headEnd/>
                      <a:tailEnd/>
                    </a:ln>
                  </pic:spPr>
                </pic:pic>
              </a:graphicData>
            </a:graphic>
          </wp:inline>
        </w:drawing>
      </w:r>
    </w:p>
    <w:bookmarkEnd w:id="88"/>
    <w:bookmarkStart w:id="89" w:name="analysis-and-conclusions-6"/>
    <w:p>
      <w:pPr>
        <w:pStyle w:val="Heading4"/>
      </w:pPr>
      <w:r>
        <w:t xml:space="preserve">Analysis and Conclusions</w:t>
      </w:r>
    </w:p>
    <w:p>
      <w:pPr>
        <w:pStyle w:val="FirstParagraph"/>
      </w:pPr>
      <w:r>
        <w:t xml:space="preserve">In December 2025, Capital Regional District recorded a total of $6,847 in revenue per active vehicle for taxi trips. On a year-over-year (YoY) basis, the revenue per active vehicle for taxi trips was +7.14% while on a year-to-date (YTD) basis it was -4.43% relative to the same period in 2024. On a month-over-month (MoM) basis, revenue per active taxi vehicle changed by +7.52%. Looking over the past two years, results are not conclusive regarding a long-term trend. Short-term results are not conclusive regarding a shift in market direction.</w:t>
      </w:r>
    </w:p>
    <w:p>
      <w:pPr>
        <w:pStyle w:val="BodyText"/>
      </w:pPr>
      <w:r>
        <w:t xml:space="preserve">In December 2025, the Capital Regional District recorded a total of $3,802 in revenue per active vehicle for TNS trips. Compared with December 2024, the revenue per active vehicle for TNS trips was +8.58% (YoY). Year-to-date through December 2025, the revenue per active vehicle for TNS trips was -1.31% relative to the same period in 2024. On a month-over-month (MoM) basis, revenue per active TNS vehicle changed by +0.16%. Looking over the past two years, results are not conclusive regarding a long-term trend. Short-term results are not conclusive regarding a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p>
      <w:r>
        <w:br w:type="page"/>
      </w:r>
    </w:p>
    <w:bookmarkEnd w:id="89"/>
    <w:bookmarkEnd w:id="90"/>
    <w:bookmarkStart w:id="96"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5"/>
        </w:numPr>
      </w:pPr>
      <w:r>
        <w:t xml:space="preserve">The proposed service promotes long-term stability for the passenger transportation industry.</w:t>
      </w:r>
    </w:p>
    <w:p>
      <w:pPr>
        <w:pStyle w:val="Compact"/>
        <w:numPr>
          <w:ilvl w:val="1"/>
          <w:numId w:val="1026"/>
        </w:numPr>
      </w:pPr>
      <w:r>
        <w:t xml:space="preserve">Stability in taxi fleet utilization rate can indicate the long-term stability of the industry.</w:t>
      </w:r>
    </w:p>
    <w:p>
      <w:pPr>
        <w:numPr>
          <w:ilvl w:val="0"/>
          <w:numId w:val="1025"/>
        </w:numPr>
      </w:pPr>
      <w:r>
        <w:t xml:space="preserve">A higher taxi fleet utilization rate indicates greater resiliency in the passenger transportation industry.</w:t>
      </w:r>
    </w:p>
    <w:p>
      <w:pPr>
        <w:pStyle w:val="Compact"/>
        <w:numPr>
          <w:ilvl w:val="1"/>
          <w:numId w:val="1027"/>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5"/>
        </w:numPr>
      </w:pPr>
      <w:r>
        <w:t xml:space="preserve">The proposed service minimizes significant market disruption.</w:t>
      </w:r>
    </w:p>
    <w:p>
      <w:pPr>
        <w:pStyle w:val="Compact"/>
        <w:numPr>
          <w:ilvl w:val="1"/>
          <w:numId w:val="1028"/>
        </w:numPr>
      </w:pPr>
      <w:r>
        <w:t xml:space="preserve">A low taxi fleet utilization rate increases the risk of market oversupply.</w:t>
      </w:r>
    </w:p>
    <w:p>
      <w:pPr>
        <w:numPr>
          <w:ilvl w:val="0"/>
          <w:numId w:val="1025"/>
        </w:numPr>
      </w:pPr>
      <w:r>
        <w:t xml:space="preserve">The proposed service protects the taxi sector from rapid disruption to ensure its long-term stability as an essential service.</w:t>
      </w:r>
    </w:p>
    <w:p>
      <w:pPr>
        <w:pStyle w:val="Compact"/>
        <w:numPr>
          <w:ilvl w:val="1"/>
          <w:numId w:val="1029"/>
        </w:numPr>
      </w:pPr>
      <w:r>
        <w:t xml:space="preserve">A low taxi fleet utilization rate increases the risk of rapid disruption in the taxi sector.</w:t>
      </w:r>
    </w:p>
    <w:p>
      <w:pPr>
        <w:numPr>
          <w:ilvl w:val="0"/>
          <w:numId w:val="1025"/>
        </w:numPr>
      </w:pPr>
      <w:r>
        <w:t xml:space="preserve">The proposed service promotes overall profitability and economic sustainability of the industry.</w:t>
      </w:r>
    </w:p>
    <w:p>
      <w:pPr>
        <w:pStyle w:val="Compact"/>
        <w:numPr>
          <w:ilvl w:val="1"/>
          <w:numId w:val="1030"/>
        </w:numPr>
      </w:pPr>
      <w:r>
        <w:t xml:space="preserve">A low taxi fleet utilization rate suggests lower profitability or economic unsustainability in the market.</w:t>
      </w:r>
    </w:p>
    <w:p>
      <w:r>
        <w:br w:type="page"/>
      </w:r>
    </w:p>
    <w:bookmarkStart w:id="94" w:name="Xf7e91acfc8344ad23a88500e1efad649838c1a6"/>
    <w:p>
      <w:pPr>
        <w:pStyle w:val="Heading4"/>
      </w:pPr>
      <w:r>
        <w:t xml:space="preserve">Capital Regional District Taxi Fleet Utilization Rate Findings</w:t>
      </w:r>
    </w:p>
    <w:p>
      <w:pPr>
        <w:pStyle w:val="FirstParagraph"/>
      </w:pPr>
      <w:r>
        <w:t xml:space="preserve">Table 9: Capital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r>
        <w:trPr>
          <w:trHeight w:val="528" w:hRule="auto"/>
        </w:trPr>
        body4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0.93</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0.99</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0.98</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0.94</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w:t>
            </w:r>
          </w:p>
        </w:tc>
      </w:tr>
    </w:tbl>
    <w:p>
      <w:pPr>
        <w:pStyle w:val="BodyText"/>
      </w:pPr>
      <w:r>
        <w:t xml:space="preserve">Figure 8: Capital Regional District taxi fleet utilization rate</w:t>
      </w:r>
    </w:p>
    <w:p>
      <w:pPr>
        <w:pStyle w:val="BodyText"/>
      </w:pPr>
      <w:r>
        <w:drawing>
          <wp:inline>
            <wp:extent cx="5334000" cy="2667000"/>
            <wp:effectExtent b="0" l="0" r="0" t="0"/>
            <wp:docPr descr="" title="" id="92" name="Picture"/>
            <a:graphic>
              <a:graphicData uri="http://schemas.openxmlformats.org/drawingml/2006/picture">
                <pic:pic>
                  <pic:nvPicPr>
                    <pic:cNvPr descr="0_3master_peter_files/figure-docx/unnamed-chunk-21-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bookmarkEnd w:id="94"/>
    <w:bookmarkStart w:id="95" w:name="analysis-and-conclusions-7"/>
    <w:p>
      <w:pPr>
        <w:pStyle w:val="Heading4"/>
      </w:pPr>
      <w:r>
        <w:t xml:space="preserve">Analysis and Conclusions</w:t>
      </w:r>
    </w:p>
    <w:p>
      <w:pPr>
        <w:pStyle w:val="FirstParagraph"/>
      </w:pPr>
      <w:r>
        <w:t xml:space="preserve">In December 2025, Capital Regional District recorded a total of 95.4% in taxi fleet utilization rate trips. On a year-over-year (YoY) basis, the taxi fleet utilization rate trips was +0.91% while on a year-to-date (YTD) basis it was +1.40% relative to the same period in 2024. On a month-over-month (MoM) basis, taxi fleet utilization changed by +0.60%. Looking over the past two years, results are not conclusive regarding a long-term trend. Short-term results are not conclusive regarding a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p>
      <w:r>
        <w:br w:type="page"/>
      </w:r>
    </w:p>
    <w:bookmarkEnd w:id="95"/>
    <w:bookmarkEnd w:id="96"/>
    <w:bookmarkStart w:id="105"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31"/>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31"/>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31"/>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31"/>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31"/>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31"/>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97"/>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98"/>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9"/>
      </w:r>
      <w:r>
        <w:t xml:space="preserve">.</w:t>
      </w:r>
    </w:p>
    <w:p>
      <w:r>
        <w:br w:type="page"/>
      </w:r>
    </w:p>
    <w:bookmarkStart w:id="103" w:name="Xc808520b89c2c6b23a607824ea19131cc130242"/>
    <w:p>
      <w:pPr>
        <w:pStyle w:val="Heading4"/>
      </w:pPr>
      <w:r>
        <w:t xml:space="preserve">Capital Regional District Taxi and TNS Vehicle Occupancy Rate Findings</w:t>
      </w:r>
    </w:p>
    <w:p>
      <w:pPr>
        <w:pStyle w:val="FirstParagraph"/>
      </w:pPr>
      <w:r>
        <w:t xml:space="preserve">Table 10: Capital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2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r>
      <w:tr>
        <w:trPr>
          <w:trHeight w:val="52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r>
      <w:tr>
        <w:trPr>
          <w:trHeight w:val="52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0.48</w:t>
            </w:r>
          </w:p>
        </w:tc>
      </w:tr>
    </w:tbl>
    <w:p>
      <w:pPr>
        <w:pStyle w:val="BodyText"/>
      </w:pPr>
      <w:r>
        <w:t xml:space="preserve">Figure 9: Capital Regional District taxi and TNS Vehicle Occupancy Rate Findings</w:t>
      </w:r>
    </w:p>
    <w:p>
      <w:pPr>
        <w:pStyle w:val="BodyText"/>
      </w:pPr>
      <w:r>
        <w:drawing>
          <wp:inline>
            <wp:extent cx="5334000" cy="2667000"/>
            <wp:effectExtent b="0" l="0" r="0" t="0"/>
            <wp:docPr descr="" title="" id="101" name="Picture"/>
            <a:graphic>
              <a:graphicData uri="http://schemas.openxmlformats.org/drawingml/2006/picture">
                <pic:pic>
                  <pic:nvPicPr>
                    <pic:cNvPr descr="0_3master_peter_files/figure-docx/unnamed-chunk-23-1.png" id="102" name="Picture"/>
                    <pic:cNvPicPr>
                      <a:picLocks noChangeArrowheads="1" noChangeAspect="1"/>
                    </pic:cNvPicPr>
                  </pic:nvPicPr>
                  <pic:blipFill>
                    <a:blip r:embed="rId100"/>
                    <a:stretch>
                      <a:fillRect/>
                    </a:stretch>
                  </pic:blipFill>
                  <pic:spPr bwMode="auto">
                    <a:xfrm>
                      <a:off x="0" y="0"/>
                      <a:ext cx="5334000" cy="2667000"/>
                    </a:xfrm>
                    <a:prstGeom prst="rect">
                      <a:avLst/>
                    </a:prstGeom>
                    <a:noFill/>
                    <a:ln w="9525">
                      <a:noFill/>
                      <a:headEnd/>
                      <a:tailEnd/>
                    </a:ln>
                  </pic:spPr>
                </pic:pic>
              </a:graphicData>
            </a:graphic>
          </wp:inline>
        </w:drawing>
      </w:r>
    </w:p>
    <w:bookmarkEnd w:id="103"/>
    <w:bookmarkStart w:id="104" w:name="analysis-and-conclusions-8"/>
    <w:p>
      <w:pPr>
        <w:pStyle w:val="Heading4"/>
      </w:pPr>
      <w:r>
        <w:t xml:space="preserve">Analysis and Conclusions</w:t>
      </w:r>
    </w:p>
    <w:p>
      <w:pPr>
        <w:pStyle w:val="FirstParagraph"/>
      </w:pPr>
      <w:r>
        <w:t xml:space="preserve">In December 2025, Capital Regional District recorded a total of 41.0% in Vehicle Occupancy Rate Findings for taxi trips. On a year-over-year (YoY) basis, the Vehicle Occupancy Rate Findings for taxi trips was -4.41% while on a year-to-date (YTD) basis it was -0.26% relative to the same period in 2024. On a month-over-month (MoM) basis, vehicle occupancy for taxi trips changed by +1.01%. Looking over the past two years, results are not conclusive regarding a long-term trend. Short-term results are not conclusive regarding a shift in market direction.</w:t>
      </w:r>
    </w:p>
    <w:p>
      <w:pPr>
        <w:pStyle w:val="BodyText"/>
      </w:pPr>
      <w:r>
        <w:t xml:space="preserve">In December 2025, the Capital Regional District recorded a total of 48.1% in Vehicle Occupancy Rate Findings for TNS trips. Compared with December 2024, the Vehicle Occupancy Rate Findings for TNS trips was -3.88% (YoY). Year-to-date through December 2025, the Vehicle Occupancy Rate Findings for TNS trips was -2.52% relative to the same period in 2024. On a month-over-month (MoM) basis, vehicle occupancy for TNS trips changed by -0.52%. Looking over the past two years, results are not conclusive regarding a long-term trend. Short-term results are not conclusive regarding a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p>
      <w:r>
        <w:br w:type="page"/>
      </w:r>
    </w:p>
    <w:bookmarkEnd w:id="104"/>
    <w:bookmarkEnd w:id="105"/>
    <w:bookmarkStart w:id="111"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 of the total fare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p>
      <w:r>
        <w:br w:type="page"/>
      </w:r>
    </w:p>
    <w:bookmarkStart w:id="109" w:name="Xe05dee33508e447699a4858cc4cc6cb9e4f415e"/>
    <w:p>
      <w:pPr>
        <w:pStyle w:val="Heading4"/>
      </w:pPr>
      <w:r>
        <w:t xml:space="preserve">Capital Regional District taxi and TNS Driver hourly revenue Findings</w:t>
      </w:r>
    </w:p>
    <w:p>
      <w:pPr>
        <w:pStyle w:val="FirstParagraph"/>
      </w:pPr>
      <w:r>
        <w:t xml:space="preserve">Table 11: Capital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52"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$40.93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$44.28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$44.31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$42.48</w:t>
            </w:r>
          </w:p>
        </w:tc>
      </w:tr>
      <w:tr>
        <w:trPr>
          <w:trHeight w:val="55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$43.67</w:t>
            </w:r>
          </w:p>
        </w:tc>
      </w:tr>
      <w:tr>
        <w:trPr>
          <w:trHeight w:val="552"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$43.33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$41.68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$41.08</w:t>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52"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$54.64</w:t>
            </w:r>
          </w:p>
        </w:tc>
      </w:tr>
      <w:tr>
        <w:trPr>
          <w:trHeight w:val="552"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$52.39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$54.06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$53.03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r>
      <w:tr>
        <w:trPr>
          <w:trHeight w:val="552"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$49.42</w:t>
            </w:r>
          </w:p>
        </w:tc>
      </w:tr>
    </w:tbl>
    <w:p>
      <w:pPr>
        <w:pStyle w:val="BodyText"/>
      </w:pPr>
      <w:r>
        <w:t xml:space="preserve">Figure 10: Capital Regional District taxi and TNS Driver hourly revenue Findings</w:t>
      </w:r>
    </w:p>
    <w:p>
      <w:pPr>
        <w:pStyle w:val="BodyText"/>
      </w:pPr>
      <w:r>
        <w:drawing>
          <wp:inline>
            <wp:extent cx="5334000" cy="2667000"/>
            <wp:effectExtent b="0" l="0" r="0" t="0"/>
            <wp:docPr descr="" title="" id="107" name="Picture"/>
            <a:graphic>
              <a:graphicData uri="http://schemas.openxmlformats.org/drawingml/2006/picture">
                <pic:pic>
                  <pic:nvPicPr>
                    <pic:cNvPr descr="0_3master_peter_files/figure-docx/unnamed-chunk-25-1.png" id="108" name="Picture"/>
                    <pic:cNvPicPr>
                      <a:picLocks noChangeArrowheads="1" noChangeAspect="1"/>
                    </pic:cNvPicPr>
                  </pic:nvPicPr>
                  <pic:blipFill>
                    <a:blip r:embed="rId106"/>
                    <a:stretch>
                      <a:fillRect/>
                    </a:stretch>
                  </pic:blipFill>
                  <pic:spPr bwMode="auto">
                    <a:xfrm>
                      <a:off x="0" y="0"/>
                      <a:ext cx="5334000" cy="2667000"/>
                    </a:xfrm>
                    <a:prstGeom prst="rect">
                      <a:avLst/>
                    </a:prstGeom>
                    <a:noFill/>
                    <a:ln w="9525">
                      <a:noFill/>
                      <a:headEnd/>
                      <a:tailEnd/>
                    </a:ln>
                  </pic:spPr>
                </pic:pic>
              </a:graphicData>
            </a:graphic>
          </wp:inline>
        </w:drawing>
      </w:r>
    </w:p>
    <w:bookmarkEnd w:id="109"/>
    <w:bookmarkStart w:id="110" w:name="analysis-and-conclusions-9"/>
    <w:p>
      <w:pPr>
        <w:pStyle w:val="Heading4"/>
      </w:pPr>
      <w:r>
        <w:t xml:space="preserve">Analysis and Conclusions</w:t>
      </w:r>
    </w:p>
    <w:p>
      <w:pPr>
        <w:pStyle w:val="FirstParagraph"/>
      </w:pPr>
      <w:r>
        <w:t xml:space="preserve">In December 2025, Capital Regional District recorded a total of $41 in driver earnings for taxi services. On a year-over-year (YoY) basis, average driver earnings for taxi services were -5.92% while on a year-to-date (YTD) basis it was -0.47% relative to the same period in 2024. On a month-over-month (MoM) basis, driver earnings for taxi trips changed by +2.27%. Looking over the past two years, results are not conclusive regarding a long-term trend. Short-term results are not conclusive regarding a shift in market direction.</w:t>
      </w:r>
    </w:p>
    <w:p>
      <w:pPr>
        <w:pStyle w:val="BodyText"/>
      </w:pPr>
      <w:r>
        <w:t xml:space="preserve">In December 2025, the Capital Regional District recorded a total of $49 in driver earnings for TNS services. Compared with December 2024, average driver earnings for TNS services were -5.78% (YoY). Year-to-date through December 2025, earnings for TNS services were -3.62% relative to the same period in 2024. On a month-over-month (MoM) basis, driver earnings for TNS trips changed by -5.08%. Looking over the past two years, results are not conclusive regarding a long-term trend. Short-term results are not conclusive regarding a shift in market direction.</w:t>
      </w:r>
    </w:p>
    <w:p>
      <w:pPr>
        <w:pStyle w:val="BodyText"/>
      </w:pPr>
      <w:r>
        <w:rPr>
          <w:b/>
          <w:bCs/>
        </w:rPr>
        <w:t xml:space="preserve">Limitations:</w:t>
      </w:r>
    </w:p>
    <w:bookmarkEnd w:id="110"/>
    <w:bookmarkEnd w:id="111"/>
    <w:bookmarkEnd w:id="112"/>
    <w:bookmarkStart w:id="113" w:name="variety-factor-sec"/>
    <w:p>
      <w:pPr>
        <w:pStyle w:val="Heading2"/>
      </w:pPr>
      <w:r>
        <w:t xml:space="preserve">Variety Factor (SEC)</w:t>
      </w:r>
    </w:p>
    <w:p>
      <w:pPr>
        <w:pStyle w:val="FirstParagraph"/>
      </w:pPr>
      <w:r>
        <w:t xml:space="preserve">There is no analysis related to this factor.</w:t>
      </w:r>
    </w:p>
    <w:p>
      <w:r>
        <w:br w:type="page"/>
      </w:r>
    </w:p>
    <w:bookmarkEnd w:id="113"/>
    <w:bookmarkStart w:id="140"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p>
      <w:pPr>
        <w:pStyle w:val="BodyText"/>
      </w:pPr>
      <w:r>
        <w:t xml:space="preserve">(temporary) list of indicators: - Utilization (Feb) - Wait time (Mar) - WAVs (APR) - Fare Cost (May) - Availability (Jun) - Driver Hourly Earning (Sep) - Trip Vol (Nov) - Trip Rev (Dec) - VOR (not yet published)</w:t>
      </w:r>
    </w:p>
    <w:bookmarkStart w:id="117" w:name="demand-factorpn"/>
    <w:p>
      <w:pPr>
        <w:pStyle w:val="Heading3"/>
      </w:pPr>
      <w:r>
        <w:t xml:space="preserve">Demand Factor(PN)</w:t>
      </w:r>
    </w:p>
    <w:bookmarkStart w:id="115" w:name="trip-volume-1"/>
    <w:p>
      <w:pPr>
        <w:pStyle w:val="Heading4"/>
      </w:pPr>
      <w:r>
        <w:t xml:space="preserve">Trip Volume</w:t>
      </w:r>
    </w:p>
    <w:p>
      <w:pPr>
        <w:pStyle w:val="FirstParagraph"/>
      </w:pPr>
      <w:r>
        <w:t xml:space="preserve">Trip volume is the total count of trip IDs of completed trips.</w:t>
      </w:r>
    </w:p>
    <w:p>
      <w:pPr>
        <w:pStyle w:val="BodyText"/>
      </w:pPr>
      <w:bookmarkStart w:id="114" w:name="eq-tv"/>
      <m:oMathPara>
        <m:oMathParaPr>
          <m:jc m:val="center"/>
        </m:oMathParaPr>
        <m:oMath>
          <m:r>
            <m:t>T</m:t>
          </m:r>
          <m:sSub>
            <m:e>
              <m:r>
                <m:t>V</m:t>
              </m:r>
            </m:e>
            <m:sub>
              <m:r>
                <m:t>j</m:t>
              </m:r>
              <m:r>
                <m:rPr>
                  <m:sty m:val="p"/>
                </m:rPr>
                <m:t>,</m:t>
              </m:r>
              <m:r>
                <m:t>t</m:t>
              </m:r>
            </m:sub>
          </m:sSub>
          <m:r>
            <m:rPr>
              <m:sty m:val="p"/>
            </m:rPr>
            <m:t>=</m:t>
          </m:r>
          <m:nary>
            <m:naryPr>
              <m:chr m:val="∑"/>
              <m:limLoc m:val="undOvr"/>
              <m:subHide m:val="off"/>
              <m:supHide m:val="off"/>
            </m:naryPr>
            <m:sub>
              <m:r>
                <m:t>i</m:t>
              </m:r>
              <m:r>
                <m:rPr>
                  <m:sty m:val="p"/>
                </m:rPr>
                <m:t>∈</m:t>
              </m:r>
              <m:r>
                <m:rPr>
                  <m:nor/>
                  <m:sty m:val="p"/>
                </m:rPr>
                <m:t>completed_trips</m:t>
              </m:r>
            </m:sub>
            <m:sup>
              <m:sSub>
                <m:e>
                  <m:r>
                    <m:t>N</m:t>
                  </m:r>
                </m:e>
                <m:sub>
                  <m:r>
                    <m:t>j</m:t>
                  </m:r>
                  <m:r>
                    <m:rPr>
                      <m:sty m:val="p"/>
                    </m:rPr>
                    <m:t>,</m:t>
                  </m:r>
                  <m:r>
                    <m:t>t</m:t>
                  </m:r>
                </m:sub>
              </m:sSub>
            </m:sup>
            <m:e>
              <m:r>
                <m:t>1</m:t>
              </m:r>
            </m:e>
          </m:nary>
          <m:r>
            <m:t>  </m:t>
          </m:r>
          <m:d>
            <m:dPr>
              <m:begChr m:val="("/>
              <m:sepChr m:val=""/>
              <m:endChr m:val=")"/>
              <m:grow/>
            </m:dPr>
            <m:e>
              <m:r>
                <m:t>1</m:t>
              </m:r>
            </m:e>
          </m:d>
        </m:oMath>
      </m:oMathPara>
      <w:bookmarkEnd w:id="114"/>
    </w:p>
    <w:p>
      <w:pPr>
        <w:pStyle w:val="FirstParagraph"/>
      </w:pPr>
      <w:r>
        <w:t xml:space="preserve">where</w:t>
      </w:r>
      <w:r>
        <w:t xml:space="preserve"> </w:t>
      </w:r>
      <m:oMath>
        <m:r>
          <m:t>T</m:t>
        </m:r>
        <m:sSub>
          <m:e>
            <m:r>
              <m:t>V</m:t>
            </m:r>
          </m:e>
          <m:sub>
            <m:r>
              <m:t>j</m:t>
            </m:r>
            <m:r>
              <m:rPr>
                <m:sty m:val="p"/>
              </m:rPr>
              <m:t>,</m:t>
            </m:r>
            <m:r>
              <m:t>t</m:t>
            </m:r>
          </m:sub>
        </m:sSub>
      </m:oMath>
      <w:r>
        <w:t xml:space="preserve"> </w:t>
      </w:r>
      <w:r>
        <w:t xml:space="preserve">represents trip volume in area j during period t, i on the right hand side denotes the index of trips.</w:t>
      </w:r>
      <w:r>
        <w:t xml:space="preserve"> </w:t>
      </w:r>
      <m:oMath>
        <m:sSub>
          <m:e>
            <m:r>
              <m:t>N</m:t>
            </m:r>
          </m:e>
          <m:sub>
            <m:r>
              <m:t>j</m:t>
            </m:r>
            <m:r>
              <m:rPr>
                <m:sty m:val="p"/>
              </m:rPr>
              <m:t>,</m:t>
            </m:r>
            <m:r>
              <m:t>t</m:t>
            </m:r>
          </m:sub>
        </m:sSub>
      </m:oMath>
      <w:r>
        <w:t xml:space="preserve"> </w:t>
      </w:r>
      <w:r>
        <w:t xml:space="preserve">is the total number of completed trips in area j during period t. Each completed trip contributes a value of 1 to the summation. Observation selection note: In our data query, completed trips with valid data quality and a fare amount greater than $2.25 are included.</w:t>
      </w:r>
    </w:p>
    <w:bookmarkEnd w:id="115"/>
    <w:bookmarkStart w:id="116" w:name="trip-revenue-1"/>
    <w:p>
      <w:pPr>
        <w:pStyle w:val="Heading4"/>
      </w:pPr>
      <w:r>
        <w:t xml:space="preserve">Trip Revenue</w:t>
      </w:r>
    </w:p>
    <w:p>
      <w:pPr>
        <w:pStyle w:val="FirstParagraph"/>
      </w:pPr>
      <w:r>
        <w:t xml:space="preserve">Trip revenue is the total fare amount collected from all completed trips.</w:t>
      </w:r>
    </w:p>
    <w:p>
      <w:pPr>
        <w:pStyle w:val="BodyText"/>
      </w:pPr>
      <m:oMathPara>
        <m:oMathParaPr>
          <m:jc m:val="center"/>
        </m:oMathParaPr>
        <m:oMath>
          <m:r>
            <m:t>T</m:t>
          </m:r>
          <m:sSub>
            <m:e>
              <m:r>
                <m:t>R</m:t>
              </m:r>
            </m:e>
            <m:sub>
              <m:r>
                <m:t>j</m:t>
              </m:r>
              <m:r>
                <m:rPr>
                  <m:sty m:val="p"/>
                </m:rPr>
                <m:t>,</m:t>
              </m:r>
              <m:r>
                <m:t>t</m:t>
              </m:r>
            </m:sub>
          </m:sSub>
          <m:r>
            <m:rPr>
              <m:sty m:val="p"/>
            </m:rPr>
            <m:t>=</m:t>
          </m:r>
          <m:nary>
            <m:naryPr>
              <m:chr m:val="∑"/>
              <m:limLoc m:val="undOvr"/>
              <m:subHide m:val="off"/>
              <m:supHide m:val="off"/>
            </m:naryPr>
            <m:sub>
              <m:r>
                <m:t>i</m:t>
              </m:r>
              <m:r>
                <m:rPr>
                  <m:sty m:val="p"/>
                </m:rPr>
                <m:t>=</m:t>
              </m:r>
              <m:r>
                <m:t>1</m:t>
              </m:r>
            </m:sub>
            <m:sup>
              <m:sSub>
                <m:e>
                  <m:r>
                    <m:t>N</m:t>
                  </m:r>
                </m:e>
                <m:sub>
                  <m:r>
                    <m:t>j</m:t>
                  </m:r>
                  <m:r>
                    <m:rPr>
                      <m:sty m:val="p"/>
                    </m:rPr>
                    <m:t>,</m:t>
                  </m:r>
                  <m:r>
                    <m:t>t</m:t>
                  </m:r>
                </m:sub>
              </m:sSub>
            </m:sup>
            <m:e>
              <m:sSub>
                <m:e>
                  <m:r>
                    <m:t>r</m:t>
                  </m:r>
                </m:e>
                <m:sub>
                  <m:r>
                    <m:t>i</m:t>
                  </m:r>
                </m:sub>
              </m:sSub>
            </m:e>
          </m:nary>
        </m:oMath>
      </m:oMathPara>
    </w:p>
    <w:p>
      <w:pPr>
        <w:pStyle w:val="FirstParagraph"/>
      </w:pPr>
      <w:r>
        <w:t xml:space="preserve">where</w:t>
      </w:r>
      <w:r>
        <w:t xml:space="preserve"> </w:t>
      </w:r>
      <m:oMath>
        <m:r>
          <m:t>T</m:t>
        </m:r>
        <m:sSub>
          <m:e>
            <m:r>
              <m:t>R</m:t>
            </m:r>
          </m:e>
          <m:sub>
            <m:r>
              <m:t>j</m:t>
            </m:r>
            <m:r>
              <m:rPr>
                <m:sty m:val="p"/>
              </m:rPr>
              <m:t>,</m:t>
            </m:r>
            <m:r>
              <m:t>t</m:t>
            </m:r>
          </m:sub>
        </m:sSub>
      </m:oMath>
      <w:r>
        <w:t xml:space="preserve"> </w:t>
      </w:r>
      <w:r>
        <w:t xml:space="preserve">represents trip revenue in area j during period t,</w:t>
      </w:r>
      <w:r>
        <w:t xml:space="preserve"> </w:t>
      </w:r>
      <m:oMath>
        <m:sSub>
          <m:e>
            <m:r>
              <m:t>r</m:t>
            </m:r>
          </m:e>
          <m:sub>
            <m:r>
              <m:t>i</m:t>
            </m:r>
          </m:sub>
        </m:sSub>
      </m:oMath>
      <w:r>
        <w:t xml:space="preserve"> </w:t>
      </w:r>
      <w:r>
        <w:t xml:space="preserve">is the gross revenue (reported to the Trip Database) with i indexes completed trips,</w:t>
      </w:r>
      <w:r>
        <w:t xml:space="preserve"> </w:t>
      </w:r>
      <m:oMath>
        <m:sSub>
          <m:e>
            <m:r>
              <m:t>N</m:t>
            </m:r>
          </m:e>
          <m:sub>
            <m:r>
              <m:t>j</m:t>
            </m:r>
            <m:r>
              <m:rPr>
                <m:sty m:val="p"/>
              </m:rPr>
              <m:t>,</m:t>
            </m:r>
            <m:r>
              <m:t>t</m:t>
            </m:r>
          </m:sub>
        </m:sSub>
      </m:oMath>
      <w:r>
        <w:t xml:space="preserve"> </w:t>
      </w:r>
      <w:r>
        <w:t xml:space="preserve">is the total number of completed trips in area j during period t. Observation selection note: In our data query, completed trips with valid data quality (strictly positive duration) and a fare amount strictly greater than 0 are included.</w:t>
      </w:r>
    </w:p>
    <w:bookmarkEnd w:id="116"/>
    <w:bookmarkEnd w:id="117"/>
    <w:bookmarkStart w:id="119" w:name="accessibility-factorpn"/>
    <w:p>
      <w:pPr>
        <w:pStyle w:val="Heading3"/>
      </w:pPr>
      <w:r>
        <w:t xml:space="preserve">Accessibility Factor(PN)</w:t>
      </w:r>
    </w:p>
    <w:bookmarkStart w:id="118" w:name="X3f01986ff74be165f184185d370c44b7c5ee626"/>
    <w:p>
      <w:pPr>
        <w:pStyle w:val="Heading4"/>
      </w:pPr>
      <w:r>
        <w:t xml:space="preserve">Number of Wheelchair Accessible Vehicles (WAVs)</w:t>
      </w:r>
    </w:p>
    <w:p>
      <w:pPr>
        <w:pStyle w:val="FirstParagraph"/>
      </w:pPr>
      <w:r>
        <w:t xml:space="preserve">Recall that this indicator counts the number of distinct wheelchair-accessible vehicles (WAVs) that actively provided completed accessible trips during a given month. Let:</w:t>
      </w:r>
    </w:p>
    <w:p>
      <w:pPr>
        <w:numPr>
          <w:ilvl w:val="0"/>
          <w:numId w:val="1032"/>
        </w:numPr>
      </w:pPr>
      <m:oMath>
        <m:r>
          <m:t>W</m:t>
        </m:r>
        <m:r>
          <m:t>A</m:t>
        </m:r>
        <m:sSub>
          <m:e>
            <m:r>
              <m:t>V</m:t>
            </m:r>
          </m:e>
          <m:sub>
            <m:r>
              <m:t>i</m:t>
            </m:r>
            <m:r>
              <m:rPr>
                <m:sty m:val="p"/>
              </m:rPr>
              <m:t>,</m:t>
            </m:r>
            <m:r>
              <m:t>t</m:t>
            </m:r>
          </m:sub>
        </m:sSub>
      </m:oMath>
      <w:r>
        <w:t xml:space="preserve">= Number of distinct WAVs active in pickup area i during month t, based on observed accessible trips. Observation selection note: the following criteria and logic are applied:</w:t>
      </w:r>
    </w:p>
    <w:p>
      <w:pPr>
        <w:numPr>
          <w:ilvl w:val="0"/>
          <w:numId w:val="1032"/>
        </w:numPr>
      </w:pPr>
      <w:r>
        <w:t xml:space="preserve">1. Trip-Level Filters: - Only completed trips.</w:t>
      </w:r>
    </w:p>
    <w:p>
      <w:pPr>
        <w:numPr>
          <w:ilvl w:val="1"/>
          <w:numId w:val="1033"/>
        </w:numPr>
      </w:pPr>
      <w:r>
        <w:t xml:space="preserve">Trip type must be flagged as accessible.</w:t>
      </w:r>
    </w:p>
    <w:p>
      <w:pPr>
        <w:numPr>
          <w:ilvl w:val="1"/>
          <w:numId w:val="1033"/>
        </w:numPr>
      </w:pPr>
      <w:r>
        <w:t xml:space="preserve">Trip type must be flagged as accessible.</w:t>
      </w:r>
    </w:p>
    <w:p>
      <w:pPr>
        <w:numPr>
          <w:ilvl w:val="0"/>
          <w:numId w:val="1032"/>
        </w:numPr>
      </w:pPr>
      <w:r>
        <w:t xml:space="preserve">2. Vehicle Identification:</w:t>
      </w:r>
    </w:p>
    <w:p>
      <w:pPr>
        <w:numPr>
          <w:ilvl w:val="1"/>
          <w:numId w:val="1034"/>
        </w:numPr>
      </w:pPr>
      <w:r>
        <w:t xml:space="preserve">A WAV is counted as</w:t>
      </w:r>
      <w:r>
        <w:t xml:space="preserve"> </w:t>
      </w:r>
      <w:r>
        <w:t xml:space="preserve">“active”</w:t>
      </w:r>
      <w:r>
        <w:t xml:space="preserve"> </w:t>
      </w:r>
      <w:r>
        <w:t xml:space="preserve">if it is associated with at least one completed accessible trip during the month.</w:t>
      </w:r>
    </w:p>
    <w:p>
      <w:pPr>
        <w:numPr>
          <w:ilvl w:val="1"/>
          <w:numId w:val="1034"/>
        </w:numPr>
      </w:pPr>
      <w:r>
        <w:t xml:space="preserve">Distinct WAVs are counted by unique VEHICLE_ID and VEHICLE_REGISTRATION_NO per area and month. Note that regular trips by WAVs (i.e., not flagged as accessible riders) are excluded. Moreover, WAV status is inferred based on actual trip provision, not registry cross-referencing.</w:t>
      </w:r>
    </w:p>
    <w:bookmarkEnd w:id="118"/>
    <w:bookmarkEnd w:id="119"/>
    <w:bookmarkStart w:id="123" w:name="availability-indicatorpn"/>
    <w:p>
      <w:pPr>
        <w:pStyle w:val="Heading3"/>
      </w:pPr>
      <w:r>
        <w:t xml:space="preserve">Availability indicator(PN)</w:t>
      </w:r>
    </w:p>
    <w:p>
      <w:pPr>
        <w:pStyle w:val="FirstParagraph"/>
      </w:pPr>
      <w:r>
        <w:t xml:space="preserve">Recall that this indicator captures patterns in the presence of drivers, vehicles, and completed trips throughout the day. This indicator is composed of three complementary metrics, each calculated by hour then aggregated monthly:</w:t>
      </w:r>
    </w:p>
    <w:bookmarkStart w:id="120" w:name="X794ff604ec7589a6da5a7aa8cdc983e7ce1c391"/>
    <w:p>
      <w:pPr>
        <w:pStyle w:val="Heading4"/>
      </w:pPr>
      <w:r>
        <w:t xml:space="preserve">Metric 1: Number of 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oMath>
      <w:r>
        <w:t xml:space="preserve"> </w:t>
      </w:r>
      <w:r>
        <w:t xml:space="preserve">in area j during time period t 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oMath>
      </m:oMathPara>
    </w:p>
    <w:bookmarkEnd w:id="120"/>
    <w:bookmarkStart w:id="121" w:name="Xe904aea69ebdf480bdd620398b19c748b1dd462"/>
    <w:p>
      <w:pPr>
        <w:pStyle w:val="Heading4"/>
      </w:pPr>
      <w:r>
        <w:t xml:space="preserve">Metric 2: Matching time by hour of the week Trip-level wait time definition:</w:t>
      </w:r>
    </w:p>
    <w:p>
      <w:pPr>
        <w:pStyle w:val="FirstParagraph"/>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Where:</w:t>
      </w:r>
      <w:r>
        <w:t xml:space="preserve"> </w:t>
      </w:r>
      <m:oMath>
        <m:sSub>
          <m:e>
            <m:r>
              <m:t>t</m:t>
            </m:r>
          </m:e>
          <m:sub>
            <m:sSup>
              <m:e>
                <m:r>
                  <m:t>i</m:t>
                </m:r>
              </m:e>
              <m:sup>
                <m:r>
                  <m:t>p</m:t>
                </m:r>
              </m:sup>
            </m:sSup>
          </m:sub>
        </m:sSub>
      </m:oMath>
      <w:r>
        <w:t xml:space="preserve"> </w:t>
      </w:r>
      <w:r>
        <w:t xml:space="preserve">is pickup arrival time for trip</w:t>
      </w:r>
      <w:r>
        <w:t xml:space="preserve"> </w:t>
      </w:r>
      <m:oMath>
        <m:r>
          <m:t>i</m:t>
        </m:r>
      </m:oMath>
      <w:r>
        <w:t xml:space="preserve">,</w:t>
      </w:r>
      <w:r>
        <w:t xml:space="preserve"> </w:t>
      </w:r>
      <m:oMath>
        <m:sSub>
          <m:e>
            <m:r>
              <m:t>t</m:t>
            </m:r>
          </m:e>
          <m:sub>
            <m:sSup>
              <m:e>
                <m:r>
                  <m:t>i</m:t>
                </m:r>
              </m:e>
              <m:sup>
                <m:r>
                  <m:t>h</m:t>
                </m:r>
              </m:sup>
            </m:sSup>
          </m:sub>
        </m:sSub>
      </m:oMath>
      <w:r>
        <w:t xml:space="preserve"> </w:t>
      </w:r>
      <w:r>
        <w:t xml:space="preserve">is hail (request) time for trip</w:t>
      </w:r>
      <w:r>
        <w:t xml:space="preserve"> </w:t>
      </w:r>
      <m:oMath>
        <m:r>
          <m:t>i</m:t>
        </m:r>
      </m:oMath>
      <w:r>
        <w:t xml:space="preserve">. The reported value is the median wait time for trips occurring in a given hour of the reporting period.</w:t>
      </w:r>
    </w:p>
    <w:bookmarkEnd w:id="121"/>
    <w:bookmarkStart w:id="122" w:name="Xc38ea150b7799f5d914efd5bd25550fac1b679d"/>
    <w:p>
      <w:pPr>
        <w:pStyle w:val="Heading4"/>
      </w:pPr>
      <w:r>
        <w:t xml:space="preserve">Metric 3. Hourly vehicle availability pattern</w:t>
      </w:r>
    </w:p>
    <w:p>
      <w:pPr>
        <w:pStyle w:val="FirstParagraph"/>
      </w:pPr>
      <w:r>
        <w:t xml:space="preserve">Active vehicles by hour of week: The number of vehicles completed at least one trip during a given hour.</w:t>
      </w:r>
    </w:p>
    <w:bookmarkEnd w:id="122"/>
    <w:bookmarkEnd w:id="123"/>
    <w:bookmarkStart w:id="126" w:name="affordability-factorpn"/>
    <w:p>
      <w:pPr>
        <w:pStyle w:val="Heading3"/>
      </w:pPr>
      <w:r>
        <w:t xml:space="preserve">Affordability Factor(PN)</w:t>
      </w:r>
    </w:p>
    <w:p>
      <w:pPr>
        <w:pStyle w:val="FirstParagraph"/>
      </w:pPr>
      <w:r>
        <w:t xml:space="preserve">Fare Cost Indicator Recall that indicator measures the effective cost of passenger services using two complementary metrics: Fare per Kilometre: based on actual trip-level fare and distance data; and Real cost for a 5 Kilometre Trip: this metric captures the fare cost of a five-kilometre trip, measured in labour compensation of a typical B.C. worker.</w:t>
      </w:r>
    </w:p>
    <w:bookmarkStart w:id="124" w:name="metric-1.-fare-for-a-5-km-trip"/>
    <w:p>
      <w:pPr>
        <w:pStyle w:val="Heading4"/>
      </w:pPr>
      <w:r>
        <w:t xml:space="preserve">Metric 1. Fare for a 5 km trip</w:t>
      </w:r>
    </w:p>
    <w:p>
      <w:pPr>
        <w:pStyle w:val="FirstParagraph"/>
      </w:pPr>
      <w:r>
        <w:t xml:space="preserve">This first metric estimates the typical fare a passenger would pay for a 5 km trip, using actual trip records where the total trip distance falls within a ±0.25 km buffer (i.e., trips with distance between 4.75 km and 5.25 km).</w:t>
      </w:r>
    </w:p>
    <w:p>
      <w:pPr>
        <w:pStyle w:val="BodyText"/>
      </w:pPr>
      <w:r>
        <w:t xml:space="preserve">Reported Statistics: - The 10th, 50th (median), and 90th percentiles of the fare distribution for (approximately, with ±0.25 km buffer) 5 km trips. Observation selection note: - Completed trips, non-zero fare, valid data - Distance filter: 4.75≤</w:t>
      </w:r>
      <m:oMath>
        <m:sSub>
          <m:e>
            <m:r>
              <m:t>d</m:t>
            </m:r>
          </m:e>
          <m:sub>
            <m:r>
              <m:t>i</m:t>
            </m:r>
          </m:sub>
        </m:sSub>
      </m:oMath>
      <w:r>
        <w:t xml:space="preserve">≤5.25km This serves as a standardized pricing benchmark, independent of trip distance variability. It is useful for understanding market-level pricing consistency, and differences between operators.</w:t>
      </w:r>
    </w:p>
    <w:bookmarkEnd w:id="124"/>
    <w:bookmarkStart w:id="125" w:name="metric-2-real-cost-for-a-5-km-trip"/>
    <w:p>
      <w:pPr>
        <w:pStyle w:val="Heading4"/>
      </w:pPr>
      <w:r>
        <w:t xml:space="preserve">Metric 2: Real cost for a 5 km trip</w:t>
      </w:r>
    </w:p>
    <w:p>
      <w:pPr>
        <w:pStyle w:val="FirstParagraph"/>
      </w:pPr>
      <w:r>
        <w:t xml:space="preserve">In this metric, The 5 km fare is also converted into real terms, expressed in minutes of labour by a typical B.C. worker. This is computed as:</w:t>
      </w:r>
    </w:p>
    <w:p>
      <w:pPr>
        <w:pStyle w:val="BodyText"/>
      </w:pPr>
      <m:oMathPara>
        <m:oMathParaPr>
          <m:jc m:val="center"/>
        </m:oMathParaPr>
        <m:oMath>
          <m:r>
            <m:t>R</m:t>
          </m:r>
          <m:r>
            <m:t>e</m:t>
          </m:r>
          <m:r>
            <m:t>a</m:t>
          </m:r>
          <m:r>
            <m:t>l</m:t>
          </m:r>
          <m:r>
            <m:t>C</m:t>
          </m:r>
          <m:r>
            <m:t>o</m:t>
          </m:r>
          <m:r>
            <m:t>s</m:t>
          </m:r>
          <m:r>
            <m:t>t</m:t>
          </m:r>
          <m:r>
            <m:rPr>
              <m:sty m:val="p"/>
            </m:rPr>
            <m:t>=</m:t>
          </m:r>
          <m:r>
            <m:t>F</m:t>
          </m:r>
          <m:r>
            <m:t>a</m:t>
          </m:r>
          <m:r>
            <m:t>r</m:t>
          </m:r>
          <m:r>
            <m:t>e</m:t>
          </m:r>
          <m:d>
            <m:dPr>
              <m:begChr m:val="("/>
              <m:sepChr m:val=""/>
              <m:endChr m:val=")"/>
              <m:grow/>
            </m:dPr>
            <m:e>
              <m:r>
                <m:t>5</m:t>
              </m:r>
              <m:r>
                <m:t>k</m:t>
              </m:r>
              <m:r>
                <m:t>m</m:t>
              </m:r>
            </m:e>
          </m:d>
          <m:r>
            <m:rPr>
              <m:sty m:val="p"/>
            </m:rPr>
            <m:t>/</m:t>
          </m:r>
          <m:r>
            <m:t>H</m:t>
          </m:r>
          <m:r>
            <m:t>o</m:t>
          </m:r>
          <m:r>
            <m:t>u</m:t>
          </m:r>
          <m:r>
            <m:t>r</m:t>
          </m:r>
          <m:r>
            <m:t>l</m:t>
          </m:r>
          <m:r>
            <m:t>y</m:t>
          </m:r>
          <m:r>
            <m:t>W</m:t>
          </m:r>
          <m:r>
            <m:t>a</m:t>
          </m:r>
          <m:r>
            <m:t>g</m:t>
          </m:r>
          <m:r>
            <m:t>e</m:t>
          </m:r>
          <m:r>
            <m:rPr>
              <m:sty m:val="p"/>
            </m:rPr>
            <m:t>×</m:t>
          </m:r>
          <m:r>
            <m:t>60</m:t>
          </m:r>
        </m:oMath>
      </m:oMathPara>
    </w:p>
    <w:p>
      <w:pPr>
        <w:pStyle w:val="FirstParagraph"/>
      </w:pPr>
      <w:r>
        <w:t xml:space="preserve">This helps translates nominal pricing into affordability context. Observation selection note: the same selection logics as in Metric 1 were applied.</w:t>
      </w:r>
    </w:p>
    <w:bookmarkEnd w:id="125"/>
    <w:bookmarkEnd w:id="126"/>
    <w:bookmarkStart w:id="127" w:name="safety-factorpn"/>
    <w:p>
      <w:pPr>
        <w:pStyle w:val="Heading3"/>
      </w:pPr>
      <w:r>
        <w:t xml:space="preserve">Safety Factor(PN)</w:t>
      </w:r>
    </w:p>
    <w:p>
      <w:pPr>
        <w:pStyle w:val="FirstParagraph"/>
      </w:pPr>
      <w:r>
        <w:t xml:space="preserve">There is no analysis related to this factor.</w:t>
      </w:r>
    </w:p>
    <w:bookmarkEnd w:id="127"/>
    <w:bookmarkStart w:id="129" w:name="service-quality-factorpn"/>
    <w:p>
      <w:pPr>
        <w:pStyle w:val="Heading3"/>
      </w:pPr>
      <w:r>
        <w:t xml:space="preserve">Service Quality Factor(PN)</w:t>
      </w:r>
    </w:p>
    <w:bookmarkStart w:id="128" w:name="wait-time-1"/>
    <w:p>
      <w:pPr>
        <w:pStyle w:val="Heading4"/>
      </w:pPr>
      <w:r>
        <w:t xml:space="preserve">Wait Time</w:t>
      </w:r>
    </w:p>
    <w:p>
      <w:pPr>
        <w:pStyle w:val="FirstParagraph"/>
      </w:pPr>
      <w:r>
        <w:t xml:space="preserve">Recall that this indicator is defined as the duration (in minutes) between the time a trip was requested and when the passenger was picked up. Let: - i: index for trips -</w:t>
      </w:r>
      <w:r>
        <w:t xml:space="preserve"> </w:t>
      </w:r>
      <m:oMath>
        <m:sSub>
          <m:e>
            <m:r>
              <m:t>w</m:t>
            </m:r>
          </m:e>
          <m:sub>
            <m:r>
              <m:t>i</m:t>
            </m:r>
          </m:sub>
        </m:sSub>
      </m:oMath>
      <w:r>
        <w:t xml:space="preserve">= wait time for trip i -</w:t>
      </w:r>
      <w:r>
        <w:t xml:space="preserve"> </w:t>
      </w:r>
      <m:oMath>
        <m:sSubSup>
          <m:e>
            <m:r>
              <m:t>t</m:t>
            </m:r>
          </m:e>
          <m:sub>
            <m:r>
              <m:t>i</m:t>
            </m:r>
          </m:sub>
          <m:sup>
            <m:r>
              <m:t>p</m:t>
            </m:r>
          </m:sup>
        </m:sSubSup>
      </m:oMath>
      <w:r>
        <w:t xml:space="preserve">= pickup arrival time for trip i -</w:t>
      </w:r>
      <w:r>
        <w:t xml:space="preserve"> </w:t>
      </w:r>
      <m:oMath>
        <m:sSubSup>
          <m:e>
            <m:r>
              <m:t>t</m:t>
            </m:r>
          </m:e>
          <m:sub>
            <m:r>
              <m:t>i</m:t>
            </m:r>
          </m:sub>
          <m:sup>
            <m:r>
              <m:t>h</m:t>
            </m:r>
          </m:sup>
        </m:sSubSup>
      </m:oMath>
      <w:r>
        <w:t xml:space="preserve">= hail (request) time for trip i Then:</w:t>
      </w:r>
    </w:p>
    <w:p>
      <w:pPr>
        <w:pStyle w:val="BodyText"/>
      </w:pPr>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oMath>
      </m:oMathPara>
    </w:p>
    <w:p>
      <w:pPr>
        <w:pStyle w:val="FirstParagraph"/>
      </w:pPr>
      <w:r>
        <w:t xml:space="preserve">Reported Statistics: - The median wait time per month is reported, calculated separately by: -Pickup area, trip service type (e.g., Taxi vs. TNS), and geospatial area type, - The SQL uses the PERCENTILE_CONT(0.5) window function to compute the median of wait times (in minutes) for each grouping by year and month. Observation selection note: - Select only trips with wait time between 10 seconds and 24 hours. - Excluding flagged street-hail trips. - Excluding pre-booked trips. - Keeping only trips with valid data quality and flagged as completed.</w:t>
      </w:r>
    </w:p>
    <w:bookmarkEnd w:id="128"/>
    <w:bookmarkEnd w:id="129"/>
    <w:bookmarkStart w:id="130" w:name="competition-factor-sec"/>
    <w:p>
      <w:pPr>
        <w:pStyle w:val="Heading3"/>
      </w:pPr>
      <w:r>
        <w:t xml:space="preserve">Competition Factor (SEC)</w:t>
      </w:r>
    </w:p>
    <w:p>
      <w:pPr>
        <w:pStyle w:val="FirstParagraph"/>
      </w:pPr>
      <w:r>
        <w:t xml:space="preserve">There is no analysis related to this factor.</w:t>
      </w:r>
    </w:p>
    <w:bookmarkEnd w:id="130"/>
    <w:bookmarkStart w:id="133" w:name="X74eac1175b6a1dd3e3bc5e5464d1f34dd9d091e"/>
    <w:p>
      <w:pPr>
        <w:pStyle w:val="Heading3"/>
      </w:pPr>
      <w:r>
        <w:t xml:space="preserve">Innovation Factor (SEC) There is no analysis related to this factor.</w:t>
      </w:r>
    </w:p>
    <w:bookmarkStart w:id="132" w:name="concentration-indices"/>
    <w:p>
      <w:pPr>
        <w:pStyle w:val="Heading4"/>
      </w:pPr>
      <w:r>
        <w:t xml:space="preserve">Concentration Indices</w:t>
      </w:r>
    </w:p>
    <w:p>
      <w:pPr>
        <w:pStyle w:val="FirstParagraph"/>
      </w:pPr>
      <w:r>
        <w:t xml:space="preserve">Herfindahl-Hirschman Index (HHI) and Theil Index are both measures of market concentration. 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oMath>
      </m:oMathPara>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oMath>
      </m:oMathPara>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oMath>
      </m:oMathPara>
    </w:p>
    <w:p>
      <w:pPr>
        <w:pStyle w:val="FirstParagraph"/>
      </w:pPr>
      <w:r>
        <w:t xml:space="preserve">where</w:t>
      </w:r>
      <w:r>
        <w:t xml:space="preserve"> </w:t>
      </w:r>
      <m:oMath>
        <m:sSub>
          <m:e>
            <m:r>
              <m:t>n</m:t>
            </m:r>
          </m:e>
          <m:sub>
            <m:r>
              <m:t>j</m:t>
            </m:r>
          </m:sub>
        </m:sSub>
      </m:oMath>
      <w:r>
        <w:t xml:space="preserve"> </w:t>
      </w:r>
      <w:r>
        <w:t xml:space="preserve">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31"/>
      </w:r>
      <w:r>
        <w:t xml:space="preserve">.</w:t>
      </w:r>
    </w:p>
    <w:bookmarkEnd w:id="132"/>
    <w:bookmarkEnd w:id="133"/>
    <w:bookmarkStart w:id="134" w:name="innovation-factor"/>
    <w:p>
      <w:pPr>
        <w:pStyle w:val="Heading3"/>
      </w:pPr>
      <w:r>
        <w:t xml:space="preserve">Innovation Factor</w:t>
      </w:r>
    </w:p>
    <w:p>
      <w:pPr>
        <w:pStyle w:val="FirstParagraph"/>
      </w:pPr>
      <w:r>
        <w:t xml:space="preserve">There is no analysis related to this factor.</w:t>
      </w:r>
    </w:p>
    <w:bookmarkEnd w:id="134"/>
    <w:bookmarkStart w:id="137" w:name="sustainability-factor"/>
    <w:p>
      <w:pPr>
        <w:pStyle w:val="Heading3"/>
      </w:pPr>
      <w:r>
        <w:t xml:space="preserve">Sustainability Factor</w:t>
      </w:r>
    </w:p>
    <w:bookmarkStart w:id="135" w:name="taxi-fleet-utilization"/>
    <w:p>
      <w:pPr>
        <w:pStyle w:val="Heading4"/>
      </w:pPr>
      <w:r>
        <w:t xml:space="preserve">Taxi Fleet Utilization</w:t>
      </w:r>
    </w:p>
    <w:p>
      <w:pPr>
        <w:pStyle w:val="FirstParagraph"/>
      </w:pPr>
      <w:r>
        <w:t xml:space="preserve">Taxi fleet utilization Recall that this indicator is calculated as the monthly average ratio of active taxi vehicles to the total approved fleet capacity, expressed as a percentage. Let: -</w:t>
      </w:r>
      <w:r>
        <w:t xml:space="preserve"> </w:t>
      </w:r>
      <m:oMath>
        <m:r>
          <m:t>A</m:t>
        </m:r>
        <m:sSub>
          <m:e>
            <m:r>
              <m:t>V</m:t>
            </m:r>
          </m:e>
          <m:sub>
            <m:r>
              <m:t>i</m:t>
            </m:r>
            <m:r>
              <m:rPr>
                <m:sty m:val="p"/>
              </m:rPr>
              <m:t>,</m:t>
            </m:r>
            <m:r>
              <m:t>t</m:t>
            </m:r>
          </m:sub>
        </m:sSub>
      </m:oMath>
      <w:r>
        <w:t xml:space="preserve"> </w:t>
      </w:r>
      <w:r>
        <w:t xml:space="preserve">be the average (over the observation period, such as a month) number of active taxi vehicles per day in pickup area i during month</w:t>
      </w:r>
      <w:r>
        <w:t xml:space="preserve"> </w:t>
      </w:r>
      <m:oMath>
        <m:r>
          <m:t>t</m:t>
        </m:r>
      </m:oMath>
      <w:r>
        <w:t xml:space="preserve">, as calculated from trip-level activity data. -</w:t>
      </w:r>
      <w:r>
        <w:t xml:space="preserve"> </w:t>
      </w:r>
      <m:oMath>
        <m:r>
          <m:t>C</m:t>
        </m:r>
        <m:r>
          <m:t>a</m:t>
        </m:r>
        <m:r>
          <m:t>p</m:t>
        </m:r>
        <m:r>
          <m:t>a</m:t>
        </m:r>
        <m:r>
          <m:t>c</m:t>
        </m:r>
        <m:r>
          <m:t>i</m:t>
        </m:r>
        <m:r>
          <m:t>t</m:t>
        </m:r>
        <m:sSub>
          <m:e>
            <m:r>
              <m:t>y</m:t>
            </m:r>
          </m:e>
          <m:sub>
            <m:r>
              <m:t>i</m:t>
            </m:r>
            <m:r>
              <m:rPr>
                <m:sty m:val="p"/>
              </m:rPr>
              <m:t>,</m:t>
            </m:r>
            <m:r>
              <m:t>t</m:t>
            </m:r>
          </m:sub>
        </m:sSub>
      </m:oMath>
      <w:r>
        <w:t xml:space="preserve"> </w:t>
      </w:r>
      <w:r>
        <w:t xml:space="preserve">be the total number of taxi vehicles authorized to operate in pickup area</w:t>
      </w:r>
      <w:r>
        <w:t xml:space="preserve"> </w:t>
      </w:r>
      <m:oMath>
        <m:r>
          <m:t>i</m:t>
        </m:r>
      </m:oMath>
      <w:r>
        <w:t xml:space="preserve"> </w:t>
      </w:r>
      <w:r>
        <w:t xml:space="preserve">during the same period. The formula is:</w:t>
      </w:r>
    </w:p>
    <w:p>
      <w:pPr>
        <w:pStyle w:val="BodyText"/>
      </w:pPr>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rPr>
              <m:sty m:val="p"/>
            </m:rPr>
            <m:t>*</m:t>
          </m:r>
          <m:r>
            <m:t>100</m:t>
          </m:r>
        </m:oMath>
      </m:oMathPara>
    </w:p>
    <w:p>
      <w:pPr>
        <w:pStyle w:val="FirstParagraph"/>
      </w:pPr>
      <w:r>
        <w:t xml:space="preserve">Note that vehicles are counted based on distinct vehicle IDs observed per day, then averaged across days in each calendar month. Fleet capacity values are assumed to reflect approved vehicles eligible to operate during the same month (based on the Board’s licensing records).</w:t>
      </w:r>
    </w:p>
    <w:p>
      <w:pPr>
        <w:pStyle w:val="BodyText"/>
      </w:pPr>
      <w:r>
        <w:t xml:space="preserve">Observation selection note: - Only vehicles with at least one completed passenger trip on a given day are counted as</w:t>
      </w:r>
      <w:r>
        <w:t xml:space="preserve"> </w:t>
      </w:r>
      <w:r>
        <w:t xml:space="preserve">“active”</w:t>
      </w:r>
      <w:r>
        <w:t xml:space="preserve"> </w:t>
      </w:r>
      <w:r>
        <w:t xml:space="preserve">and hence selected for a given day. - Trips with missing or invalid pickup area information are excluded from the geospatial aggregation.</w:t>
      </w:r>
    </w:p>
    <w:bookmarkEnd w:id="135"/>
    <w:bookmarkStart w:id="136" w:name="vehicle-occupancy-rate-1"/>
    <w:p>
      <w:pPr>
        <w:pStyle w:val="Heading4"/>
      </w:pPr>
      <w:r>
        <w:t xml:space="preserve">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p>
      <w:pPr>
        <w:numPr>
          <w:ilvl w:val="0"/>
          <w:numId w:val="1035"/>
        </w:numPr>
      </w:pPr>
      <w:r>
        <w:t xml:space="preserve">Shift Start Time: (Denoted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numPr>
          <w:ilvl w:val="0"/>
          <w:numId w:val="1035"/>
        </w:numPr>
      </w:pPr>
      <w:r>
        <w:t xml:space="preserve">Shift End Time: 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 in the shift.</w:t>
      </w:r>
    </w:p>
    <w:p>
      <w:pPr>
        <w:numPr>
          <w:ilvl w:val="0"/>
          <w:numId w:val="1035"/>
        </w:numPr>
      </w:pPr>
      <w:r>
        <w:t xml:space="preserve">Shift Length: Denoted as (</w:t>
      </w:r>
      <w:r>
        <w:t xml:space="preserve"> </w:t>
      </w:r>
      <m:oMath>
        <m:sSup>
          <m:e>
            <m:r>
              <m:t>L</m:t>
            </m:r>
          </m:e>
          <m:sup>
            <m:r>
              <m:rPr>
                <m:nor/>
                <m:sty m:val="p"/>
              </m:rPr>
              <m:t>shift</m:t>
            </m:r>
          </m:sup>
        </m:sSup>
      </m:oMath>
      <w:r>
        <w:t xml:space="preserve"> </w:t>
      </w:r>
      <w:r>
        <w:t xml:space="preserve">): The difference between the shift end time and shift start time:</w:t>
      </w:r>
    </w:p>
    <w:p>
      <w:pPr>
        <w:pStyle w:val="FirstParagraph"/>
      </w:pPr>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oMath>
      </m:oMathPara>
    </w:p>
    <w:p>
      <w:pPr>
        <w:pStyle w:val="Compact"/>
        <w:numPr>
          <w:ilvl w:val="0"/>
          <w:numId w:val="1036"/>
        </w:numPr>
      </w:pPr>
      <w:r>
        <w:t xml:space="preserve">Shift Occupancy: 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FirstParagraph"/>
      </w:pPr>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oMath>
      </m:oMathPara>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oMath>
      </m:oMathPara>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oMath>
      </m:oMathPara>
    </w:p>
    <w:p>
      <w:pPr>
        <w:pStyle w:val="FirstParagraph"/>
      </w:pPr>
      <w:r>
        <w:t xml:space="preserve">The Operating time includes the time between vehicle assignment time and drop-off time.</w:t>
      </w:r>
    </w:p>
    <w:p>
      <w:pPr>
        <w:pStyle w:val="BodyText"/>
      </w:pPr>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oMath>
      </m:oMathPara>
    </w:p>
    <w:bookmarkEnd w:id="136"/>
    <w:bookmarkEnd w:id="137"/>
    <w:bookmarkStart w:id="138" w:name="drivers-gross-hourly-earnings"/>
    <w:p>
      <w:pPr>
        <w:pStyle w:val="Heading3"/>
      </w:pPr>
      <w:r>
        <w:t xml:space="preserve">Drivers’ Gross Hourly Earnings</w:t>
      </w:r>
    </w:p>
    <w:p>
      <w:pPr>
        <w:pStyle w:val="FirstParagraph"/>
      </w:pPr>
      <w:r>
        <w:t xml:space="preserve">Recall that this indicator measures the median gross fare revenue earned per working hour by drivers within a defined geographic area and time period. Let</w:t>
      </w:r>
      <w:r>
        <w:t xml:space="preserve"> </w:t>
      </w:r>
      <m:oMath>
        <m:r>
          <m:t>G</m:t>
        </m:r>
        <m:r>
          <m:t>H</m:t>
        </m:r>
        <m:sSub>
          <m:e>
            <m:r>
              <m:t>E</m:t>
            </m:r>
          </m:e>
          <m:sub>
            <m:r>
              <m:t>j</m:t>
            </m:r>
            <m:r>
              <m:rPr>
                <m:sty m:val="p"/>
              </m:rPr>
              <m:t>,</m:t>
            </m:r>
            <m:r>
              <m:t>t</m:t>
            </m:r>
          </m:sub>
        </m:sSub>
      </m:oMath>
      <w:r>
        <w:t xml:space="preserve"> </w:t>
      </w:r>
      <w:r>
        <w:t xml:space="preserve">denote the gross hourly earning in area j during time</w:t>
      </w:r>
      <w:r>
        <w:t xml:space="preserve"> </w:t>
      </w:r>
      <m:oMath>
        <m:r>
          <m:t>t</m:t>
        </m:r>
      </m:oMath>
      <w:r>
        <w:t xml:space="preserve">:</w:t>
      </w:r>
    </w:p>
    <w:p>
      <w:pPr>
        <w:pStyle w:val="BodyText"/>
      </w:pPr>
      <m:oMathPara>
        <m:oMathParaPr>
          <m:jc m:val="center"/>
        </m:oMathParaP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m:oMathPara>
    </w:p>
    <w:p>
      <w:pPr>
        <w:pStyle w:val="FirstParagraph"/>
      </w:pPr>
      <w:r>
        <w:t xml:space="preserve">where: d indexes drivers,</w:t>
      </w:r>
      <w:r>
        <w:t xml:space="preserve"> </w:t>
      </w:r>
      <m:oMath>
        <m:sSub>
          <m:e>
            <m:r>
              <m:t>D</m:t>
            </m:r>
          </m:e>
          <m:sub>
            <m:r>
              <m:t>j</m:t>
            </m:r>
            <m:r>
              <m:rPr>
                <m:sty m:val="p"/>
              </m:rPr>
              <m:t>,</m:t>
            </m:r>
            <m:r>
              <m:t>t</m:t>
            </m:r>
          </m:sub>
        </m:sSub>
      </m:oMath>
      <w:r>
        <w:t xml:space="preserve"> </w:t>
      </w:r>
      <w:r>
        <w:t xml:space="preserve">is the set of drivers active in area</w:t>
      </w:r>
      <w:r>
        <w:t xml:space="preserve"> </w:t>
      </w:r>
      <m:oMath>
        <m:r>
          <m:t>j</m:t>
        </m:r>
      </m:oMath>
      <w:r>
        <w:t xml:space="preserve"> </w:t>
      </w:r>
      <w:r>
        <w:t xml:space="preserve">during period</w:t>
      </w:r>
      <w:r>
        <w:t xml:space="preserve"> </w:t>
      </w:r>
      <m:oMath>
        <m:r>
          <m:t>t</m:t>
        </m:r>
      </m:oMath>
      <w:r>
        <w:t xml:space="preserve">,</w:t>
      </w:r>
      <w:r>
        <w:t xml:space="preserve"> </w:t>
      </w:r>
      <m:oMath>
        <m:r>
          <m:t>s</m:t>
        </m:r>
      </m:oMath>
      <w:r>
        <w:t xml:space="preserve"> </w:t>
      </w:r>
      <w:r>
        <w:t xml:space="preserve">indexes inferred shifts,</w:t>
      </w:r>
      <w:r>
        <w:t xml:space="preserve"> </w:t>
      </w:r>
      <m:oMath>
        <m:sSub>
          <m:e>
            <m:r>
              <m:t>S</m:t>
            </m:r>
          </m:e>
          <m:sub>
            <m:r>
              <m:t>d</m:t>
            </m:r>
            <m:r>
              <m:rPr>
                <m:sty m:val="p"/>
              </m:rPr>
              <m:t>,</m:t>
            </m:r>
            <m:r>
              <m:t>j</m:t>
            </m:r>
            <m:r>
              <m:rPr>
                <m:sty m:val="p"/>
              </m:rPr>
              <m:t>,</m:t>
            </m:r>
            <m:r>
              <m:t>t</m:t>
            </m:r>
          </m:sub>
        </m:sSub>
      </m:oMath>
      <w:r>
        <w:t xml:space="preserve">is the set of shifts worked by driver d in area</w:t>
      </w:r>
      <w:r>
        <w:t xml:space="preserve"> </w:t>
      </w:r>
      <m:oMath>
        <m:r>
          <m:t>j</m:t>
        </m:r>
      </m:oMath>
      <w:r>
        <w:t xml:space="preserve">, period</w:t>
      </w:r>
      <w:r>
        <w:t xml:space="preserve"> </w:t>
      </w:r>
      <m:oMath>
        <m:r>
          <m:t>t</m:t>
        </m:r>
      </m:oMath>
      <w:r>
        <w:t xml:space="preserve">,</w:t>
      </w:r>
      <w:r>
        <w:t xml:space="preserve"> </w:t>
      </w:r>
      <m:oMath>
        <m:sSub>
          <m:e>
            <m:r>
              <m:t>r</m:t>
            </m:r>
          </m:e>
          <m:sub>
            <m:r>
              <m:t>s</m:t>
            </m:r>
          </m:sub>
        </m:sSub>
      </m:oMath>
      <w:r>
        <w:t xml:space="preserve"> </w:t>
      </w:r>
      <w:r>
        <w:t xml:space="preserve">is total fare revenue earned during shift</w:t>
      </w:r>
      <w:r>
        <w:t xml:space="preserve"> </w:t>
      </w:r>
      <m:oMath>
        <m:r>
          <m:t>s</m:t>
        </m:r>
      </m:oMath>
      <w:r>
        <w:t xml:space="preserve">,</w:t>
      </w:r>
      <w:r>
        <w:t xml:space="preserve"> </w:t>
      </w:r>
      <m:oMath>
        <m:sSub>
          <m:e>
            <m:r>
              <m:t>l</m:t>
            </m:r>
          </m:e>
          <m:sub>
            <m:r>
              <m:t>s</m:t>
            </m:r>
          </m:sub>
        </m:sSub>
      </m:oMath>
      <w:r>
        <w:t xml:space="preserve"> </w:t>
      </w:r>
      <w:r>
        <w:t xml:space="preserve">the length of shift s in minutes.</w:t>
      </w:r>
    </w:p>
    <w:p>
      <w:pPr>
        <w:pStyle w:val="BodyText"/>
      </w:pPr>
      <w:r>
        <w:t xml:space="preserve">The calculation of this indicator involves nested aggregations and multiple sub metrics, we hence provided a note on the computation here. Driver shifts are not explicitly reported in the Trip Database. Instead, shifts are inferred using observed trip activity.</w:t>
      </w:r>
    </w:p>
    <w:p>
      <w:pPr>
        <w:numPr>
          <w:ilvl w:val="0"/>
          <w:numId w:val="1037"/>
        </w:numPr>
      </w:pPr>
      <w:r>
        <w:t xml:space="preserve">First, trips are ordered chronologically for each driver.</w:t>
      </w:r>
    </w:p>
    <w:p>
      <w:pPr>
        <w:numPr>
          <w:ilvl w:val="0"/>
          <w:numId w:val="1037"/>
        </w:numPr>
      </w:pPr>
      <w:r>
        <w:t xml:space="preserve">A new shift is assumed to begin when the time gap between the end of one trip and the assignment time of the next trip exceeds 60 minutes.</w:t>
      </w:r>
    </w:p>
    <w:p>
      <w:pPr>
        <w:numPr>
          <w:ilvl w:val="0"/>
          <w:numId w:val="1037"/>
        </w:numPr>
      </w:pPr>
      <w:r>
        <w:t xml:space="preserve">Trips separated by 60 minutes or less are treated as belonging to the same continuous working shift.</w:t>
      </w:r>
    </w:p>
    <w:p>
      <w:pPr>
        <w:pStyle w:val="FirstParagraph"/>
      </w:pPr>
      <w:r>
        <w:t xml:space="preserve">This approach approximates continuous working periods (clusters) while avoiding over-fragmentation of shifts due to short breaks between trips. We performed sensitivity analysis changing the gap time from 60 minutes to 45, 75, 90, and 120 minutes, and the resulting total working time is not sensitive to this parameter from 45 to 90 minutes. Reported statistics: For each inferred shift, we report the following statistics:</w:t>
      </w:r>
    </w:p>
    <w:p>
      <w:pPr>
        <w:numPr>
          <w:ilvl w:val="0"/>
          <w:numId w:val="1038"/>
        </w:numPr>
      </w:pPr>
      <w:r>
        <w:t xml:space="preserve">Shift fare revenue, which is measured by the sum of total passenger fares collected across all trips within the shift.</w:t>
      </w:r>
    </w:p>
    <w:p>
      <w:pPr>
        <w:numPr>
          <w:ilvl w:val="0"/>
          <w:numId w:val="1038"/>
        </w:numPr>
      </w:pPr>
      <w:r>
        <w:t xml:space="preserve">Shift length, which is then calculated by the elapsed time (in minutes) between the first vehicle assignment and the final drop-off in the shift.</w:t>
      </w:r>
    </w:p>
    <w:p>
      <w:pPr>
        <w:numPr>
          <w:ilvl w:val="0"/>
          <w:numId w:val="1038"/>
        </w:numPr>
      </w:pPr>
      <w:r>
        <w:t xml:space="preserve">Shift occupancy, which is calculated as the sum of trip durations within the shift. Within each calendar month, shift-level measures are aggregated at the driver level:</w:t>
      </w:r>
    </w:p>
    <w:p>
      <w:pPr>
        <w:numPr>
          <w:ilvl w:val="0"/>
          <w:numId w:val="1038"/>
        </w:numPr>
      </w:pPr>
      <w:r>
        <w:t xml:space="preserve">Total monthly shift fare revenue is calculated by summing shift fare revenue.</w:t>
      </w:r>
    </w:p>
    <w:p>
      <w:pPr>
        <w:numPr>
          <w:ilvl w:val="0"/>
          <w:numId w:val="1038"/>
        </w:numPr>
      </w:pPr>
      <w:r>
        <w:t xml:space="preserve">Total monthly working time is calculated by summing shift lengths. - Average driver hourly revenue is computed as:</w:t>
      </w:r>
    </w:p>
    <w:p>
      <w:pPr>
        <w:pStyle w:val="FirstParagraph"/>
      </w:pPr>
      <w:r>
        <w:t xml:space="preserve">Average hourly revenue is then defined as</w:t>
      </w:r>
      <w:r>
        <w:t xml:space="preserve"> </w:t>
      </w:r>
      <m:oMath>
        <m:r>
          <m:t>G</m:t>
        </m:r>
        <m:r>
          <m:t>H</m:t>
        </m:r>
        <m:sSub>
          <m:e>
            <m:r>
              <m:t>E</m:t>
            </m:r>
          </m:e>
          <m:sub>
            <m:r>
              <m:t>j</m:t>
            </m:r>
            <m:r>
              <m:rPr>
                <m:sty m:val="p"/>
              </m:rPr>
              <m:t>,</m:t>
            </m:r>
            <m:r>
              <m:t>t</m:t>
            </m:r>
          </m:sub>
        </m:sSub>
        <m:r>
          <m:rPr>
            <m:sty m:val="p"/>
          </m:rPr>
          <m:t>=</m:t>
        </m:r>
        <m:sSub>
          <m:e>
            <m:r>
              <m:rPr>
                <m:sty m:val="p"/>
              </m:rPr>
              <m:t>Median</m:t>
            </m:r>
          </m:e>
          <m:sub>
            <m:r>
              <m:t>u</m:t>
            </m:r>
            <m:r>
              <m:rPr>
                <m:sty m:val="p"/>
              </m:rPr>
              <m:t>∈</m:t>
            </m:r>
            <m:sSub>
              <m:e>
                <m:r>
                  <m:t>D</m:t>
                </m:r>
              </m:e>
              <m:sub>
                <m:r>
                  <m:t>j</m:t>
                </m:r>
                <m:r>
                  <m:rPr>
                    <m:sty m:val="p"/>
                  </m:rPr>
                  <m:t>,</m:t>
                </m:r>
                <m:r>
                  <m:t>t</m:t>
                </m:r>
              </m:sub>
            </m:sSub>
          </m:sub>
        </m:sSub>
        <m:d>
          <m:dPr>
            <m:begChr m:val="("/>
            <m:sepChr m:val=""/>
            <m:endChr m:val=")"/>
            <m:grow/>
          </m:dPr>
          <m:e>
            <m:f>
              <m:fPr>
                <m:type m:val="bar"/>
              </m:fPr>
              <m:num>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r</m:t>
                        </m:r>
                      </m:e>
                      <m:sub>
                        <m:r>
                          <m:t>s</m:t>
                        </m:r>
                      </m:sub>
                      <m:sup>
                        <m:r>
                          <m:t> </m:t>
                        </m:r>
                        <m:r>
                          <m:t>t</m:t>
                        </m:r>
                      </m:sup>
                    </m:sSubSup>
                  </m:e>
                </m:nary>
              </m:num>
              <m:den>
                <m:nary>
                  <m:naryPr>
                    <m:chr m:val="∑"/>
                    <m:limLoc m:val="undOvr"/>
                    <m:subHide m:val="off"/>
                    <m:supHide m:val="on"/>
                  </m:naryPr>
                  <m:sub>
                    <m:r>
                      <m:t>s</m:t>
                    </m:r>
                    <m:r>
                      <m:rPr>
                        <m:sty m:val="p"/>
                      </m:rPr>
                      <m:t>∈</m:t>
                    </m:r>
                    <m:sSub>
                      <m:e>
                        <m:r>
                          <m:t>S</m:t>
                        </m:r>
                      </m:e>
                      <m:sub>
                        <m:sSub>
                          <m:e>
                            <m:r>
                              <m:t>d</m:t>
                            </m:r>
                          </m:e>
                          <m:sub>
                            <m:r>
                              <m:t>j</m:t>
                            </m:r>
                            <m:r>
                              <m:rPr>
                                <m:sty m:val="p"/>
                              </m:rPr>
                              <m:t>,</m:t>
                            </m:r>
                            <m:r>
                              <m:t>t</m:t>
                            </m:r>
                          </m:sub>
                        </m:sSub>
                      </m:sub>
                    </m:sSub>
                  </m:sub>
                  <m:sup>
                    <m:r>
                      <m:t>​</m:t>
                    </m:r>
                  </m:sup>
                  <m:e>
                    <m:sSubSup>
                      <m:e>
                        <m:r>
                          <m:t>l</m:t>
                        </m:r>
                      </m:e>
                      <m:sub>
                        <m:r>
                          <m:t>s</m:t>
                        </m:r>
                      </m:sub>
                      <m:sup>
                        <m:r>
                          <m:t> </m:t>
                        </m:r>
                        <m:r>
                          <m:t>t</m:t>
                        </m:r>
                      </m:sup>
                    </m:sSubSup>
                  </m:e>
                </m:nary>
              </m:den>
            </m:f>
          </m:e>
        </m:d>
        <m:r>
          <m:rPr>
            <m:sty m:val="p"/>
          </m:rPr>
          <m:t>×</m:t>
        </m:r>
        <m:r>
          <m:t>60</m:t>
        </m:r>
      </m:oMath>
      <w:r>
        <w:t xml:space="preserve"> </w:t>
      </w:r>
      <w:r>
        <w:t xml:space="preserve">(refer to the main equation in this indicator section). This produces a per-driver monthly estimate of gross fare revenue per working hour. The median is used and reported instead of the mean to reduce sensitivity to extreme values and to better reflect typical driver experience within the sector.</w:t>
      </w:r>
    </w:p>
    <w:bookmarkEnd w:id="138"/>
    <w:bookmarkStart w:id="139" w:name="variety-factor"/>
    <w:p>
      <w:pPr>
        <w:pStyle w:val="Heading3"/>
      </w:pPr>
      <w:r>
        <w:t xml:space="preserve">Variety Factor</w:t>
      </w:r>
    </w:p>
    <w:p>
      <w:pPr>
        <w:pStyle w:val="FirstParagraph"/>
      </w:pPr>
      <w:r>
        <w:t xml:space="preserve">There is no analysis related to this factor.</w:t>
      </w:r>
    </w:p>
    <w:bookmarkEnd w:id="139"/>
    <w:bookmarkEnd w:id="140"/>
    <w:bookmarkStart w:id="145" w:name="appendix-2-technical-methodology"/>
    <w:p>
      <w:pPr>
        <w:pStyle w:val="Heading2"/>
      </w:pPr>
      <w:r>
        <w:t xml:space="preserve">Appendix 2: Technical Methodology</w:t>
      </w:r>
    </w:p>
    <w:bookmarkStart w:id="144" w:name="new-vehicle-occupancy-rate"/>
    <w:p>
      <w:pPr>
        <w:pStyle w:val="Heading3"/>
      </w:pPr>
      <w:r>
        <w:t xml:space="preserve">New Vehicle Occupancy Rate</w:t>
      </w:r>
    </w:p>
    <w:p>
      <w:pPr>
        <w:pStyle w:val="FirstParagraph"/>
      </w:pPr>
      <w:r>
        <w:t xml:space="preserve">Table 12: U.S. Cities VOR (2016)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City</w:t>
            </w:r>
          </w:p>
        </w:tc>
        <w:tc>
          <w:tcPr/>
          <w:p>
            <w:pPr>
              <w:pStyle w:val="Compact"/>
            </w:pPr>
            <w:r>
              <w:t xml:space="preserve">Taxi VOR (%)</w:t>
            </w:r>
          </w:p>
        </w:tc>
        <w:tc>
          <w:tcPr/>
          <w:p>
            <w:pPr>
              <w:pStyle w:val="Compact"/>
            </w:pPr>
            <w:r>
              <w:t xml:space="preserve">Uber VOR (%)</w:t>
            </w:r>
          </w:p>
        </w:tc>
      </w:tr>
      <w:tr>
        <w:tc>
          <w:tcPr/>
          <w:p>
            <w:pPr>
              <w:pStyle w:val="Compact"/>
            </w:pPr>
            <w:r>
              <w:t xml:space="preserve">Boston</w:t>
            </w:r>
          </w:p>
        </w:tc>
        <w:tc>
          <w:tcPr/>
          <w:p>
            <w:pPr>
              <w:pStyle w:val="Compact"/>
            </w:pPr>
            <w:r>
              <w:t xml:space="preserve">47</w:t>
            </w:r>
          </w:p>
        </w:tc>
        <w:tc>
          <w:tcPr/>
          <w:p>
            <w:pPr>
              <w:pStyle w:val="Compact"/>
            </w:pPr>
            <w:r>
              <w:t xml:space="preserve">55</w:t>
            </w:r>
          </w:p>
        </w:tc>
      </w:tr>
      <w:tr>
        <w:tc>
          <w:tcPr/>
          <w:p>
            <w:pPr>
              <w:pStyle w:val="Compact"/>
            </w:pPr>
            <w:r>
              <w:t xml:space="preserve">Los Angeles</w:t>
            </w:r>
          </w:p>
        </w:tc>
        <w:tc>
          <w:tcPr/>
          <w:p>
            <w:pPr>
              <w:pStyle w:val="Compact"/>
            </w:pPr>
            <w:r>
              <w:t xml:space="preserve">53</w:t>
            </w:r>
          </w:p>
        </w:tc>
        <w:tc>
          <w:tcPr/>
          <w:p>
            <w:pPr>
              <w:pStyle w:val="Compact"/>
            </w:pPr>
            <w:r>
              <w:t xml:space="preserve">63</w:t>
            </w:r>
          </w:p>
        </w:tc>
      </w:tr>
      <w:tr>
        <w:tc>
          <w:tcPr/>
          <w:p>
            <w:pPr>
              <w:pStyle w:val="Compact"/>
            </w:pPr>
            <w:r>
              <w:t xml:space="preserve">New York City</w:t>
            </w:r>
          </w:p>
        </w:tc>
        <w:tc>
          <w:tcPr/>
          <w:p>
            <w:pPr>
              <w:pStyle w:val="Compact"/>
            </w:pPr>
            <w:r>
              <w:t xml:space="preserve">53</w:t>
            </w:r>
          </w:p>
        </w:tc>
        <w:tc>
          <w:tcPr/>
          <w:p>
            <w:pPr>
              <w:pStyle w:val="Compact"/>
            </w:pPr>
            <w:r>
              <w:t xml:space="preserve">68</w:t>
            </w:r>
          </w:p>
        </w:tc>
      </w:tr>
      <w:tr>
        <w:tc>
          <w:tcPr/>
          <w:p>
            <w:pPr>
              <w:pStyle w:val="Compact"/>
            </w:pPr>
            <w:r>
              <w:t xml:space="preserve">San Francisco</w:t>
            </w:r>
          </w:p>
        </w:tc>
        <w:tc>
          <w:tcPr/>
          <w:p>
            <w:pPr>
              <w:pStyle w:val="Compact"/>
            </w:pPr>
            <w:r>
              <w:t xml:space="preserve">52</w:t>
            </w:r>
          </w:p>
        </w:tc>
        <w:tc>
          <w:tcPr/>
          <w:p>
            <w:pPr>
              <w:pStyle w:val="Compact"/>
            </w:pPr>
            <w:r>
              <w:t xml:space="preserve">65</w:t>
            </w:r>
          </w:p>
        </w:tc>
      </w:tr>
      <w:tr>
        <w:tc>
          <w:tcPr/>
          <w:p>
            <w:pPr>
              <w:pStyle w:val="Compact"/>
            </w:pPr>
            <w:r>
              <w:t xml:space="preserve">Washington, D.C.</w:t>
            </w:r>
          </w:p>
        </w:tc>
        <w:tc>
          <w:tcPr/>
          <w:p>
            <w:pPr>
              <w:pStyle w:val="Compact"/>
            </w:pPr>
            <w:r>
              <w:t xml:space="preserve">50</w:t>
            </w:r>
          </w:p>
        </w:tc>
        <w:tc>
          <w:tcPr/>
          <w:p>
            <w:pPr>
              <w:pStyle w:val="Compact"/>
            </w:pPr>
            <w:r>
              <w:t xml:space="preserve">58</w:t>
            </w:r>
          </w:p>
        </w:tc>
      </w:tr>
    </w:tbl>
    <w:p>
      <w:pPr>
        <w:pStyle w:val="BodyText"/>
      </w:pPr>
      <w:r>
        <w:rPr>
          <w:i/>
          <w:iCs/>
        </w:rPr>
        <w:t xml:space="preserve">Figure 11: New York City VOR (2023 and 2024)</w:t>
      </w:r>
    </w:p>
    <w:p>
      <w:pPr>
        <w:pStyle w:val="BodyText"/>
      </w:pPr>
      <w:r>
        <w:drawing>
          <wp:inline>
            <wp:extent cx="5334000" cy="2667000"/>
            <wp:effectExtent b="0" l="0" r="0" t="0"/>
            <wp:docPr descr="" title="" id="142" name="Picture"/>
            <a:graphic>
              <a:graphicData uri="http://schemas.openxmlformats.org/drawingml/2006/picture">
                <pic:pic>
                  <pic:nvPicPr>
                    <pic:cNvPr descr="img-cache/VOR.png" id="143" name="Picture"/>
                    <pic:cNvPicPr>
                      <a:picLocks noChangeArrowheads="1" noChangeAspect="1"/>
                    </pic:cNvPicPr>
                  </pic:nvPicPr>
                  <pic:blipFill>
                    <a:blip r:embed="rId141"/>
                    <a:stretch>
                      <a:fillRect/>
                    </a:stretch>
                  </pic:blipFill>
                  <pic:spPr bwMode="auto">
                    <a:xfrm>
                      <a:off x="0" y="0"/>
                      <a:ext cx="5334000" cy="2667000"/>
                    </a:xfrm>
                    <a:prstGeom prst="rect">
                      <a:avLst/>
                    </a:prstGeom>
                    <a:noFill/>
                    <a:ln w="9525">
                      <a:noFill/>
                      <a:headEnd/>
                      <a:tailEnd/>
                    </a:ln>
                  </pic:spPr>
                </pic:pic>
              </a:graphicData>
            </a:graphic>
          </wp:inline>
        </w:drawing>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3">
    <w:p>
      <w:pPr>
        <w:pStyle w:val="FootnoteText"/>
      </w:pPr>
      <w:r>
        <w:rPr>
          <w:rStyle w:val="FootnoteReference"/>
        </w:rPr>
        <w:footnoteRef/>
      </w:r>
      <w:r>
        <w:t xml:space="preserve"> </w:t>
      </w:r>
      <w:r>
        <w:t xml:space="preserve">Statistics Canada. (2024). Table 17-10-0152-01 Population estimates, July 1, by census division, 2021 boundaries.https://www150.statcan.gc.ca/t1/tbl1/en/tv.action?pid=1710015201</w:t>
      </w:r>
    </w:p>
  </w:footnote>
  <w:footnote w:id="61">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 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9">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97">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98">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9">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31">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5" Target="media/rId85.png" /><Relationship Type="http://schemas.openxmlformats.org/officeDocument/2006/relationships/image" Id="rId91" Target="media/rId91.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141" Target="media/rId141.png" /><Relationship Type="http://schemas.openxmlformats.org/officeDocument/2006/relationships/image" Id="rId27" Target="media/rId27.png" /><Relationship Type="http://schemas.openxmlformats.org/officeDocument/2006/relationships/hyperlink" Id="rId20" Target="https://www.ptboard.bc.ca/policy-manual" TargetMode="External" /></Relationships>
</file>

<file path=word/_rels/footnotes.xml.rels><?xml version="1.0" encoding="UTF-8"?><Relationships xmlns="http://schemas.openxmlformats.org/package/2006/relationships"><Relationship Type="http://schemas.openxmlformats.org/officeDocument/2006/relationships/hyperlink" Id="rId20" Target="https://www.ptboard.bc.ca/policy-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2026-02-16T23:31:48Z</dcterms:created>
  <dcterms:modified xsi:type="dcterms:W3CDTF">2026-02-16T23:31:48Z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