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2024-06-10</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3"/>
    <w:bookmarkStart w:id="34"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Five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Indeterminate,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12 non-Indigenous options made available on the survey, Undefined, the two unknown options (I don’t know/I am unsure and Prefer not to Answer),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Disabilities</w:t>
      </w:r>
    </w:p>
    <w:p>
      <w:pPr>
        <w:numPr>
          <w:ilvl w:val="1"/>
          <w:numId w:val="1006"/>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7"/>
        </w:numPr>
        <w:pStyle w:val="Compact"/>
      </w:pPr>
      <w:r>
        <w:t xml:space="preserve">This was cleaned both in the demographic survey and in DIP datasets to identify solely if there was a non-blank record or not, due to the inherent number of options that would be available otherwise. No further checks were done to ensure that the data in the column was a valid date of birth record.</w:t>
      </w:r>
    </w:p>
    <w:p>
      <w:pPr>
        <w:numPr>
          <w:ilvl w:val="1"/>
          <w:numId w:val="1007"/>
        </w:numPr>
        <w:pStyle w:val="Compact"/>
      </w:pPr>
      <w:r>
        <w:t xml:space="preserve">Detailed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5"/>
    <w:bookmarkStart w:id="26"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8"/>
        </w:numPr>
        <w:pStyle w:val="Compact"/>
      </w:pPr>
      <w:r>
        <w:t xml:space="preserve">Data from DIP datasets were manipulated to reduce every StudyID to a single demographic variable per demographic category.</w:t>
      </w:r>
    </w:p>
    <w:p>
      <w:pPr>
        <w:numPr>
          <w:ilvl w:val="1"/>
          <w:numId w:val="1009"/>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8"/>
        </w:numPr>
        <w:pStyle w:val="Compact"/>
      </w:pPr>
      <w:r>
        <w:t xml:space="preserve">Every StudyID in the DIP dataset was then compared to those in the BC Demographic Survey, and sorted into one of four possible summary categories:</w:t>
      </w:r>
    </w:p>
    <w:p>
      <w:pPr>
        <w:numPr>
          <w:ilvl w:val="1"/>
          <w:numId w:val="1010"/>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0"/>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0"/>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Variables Detail tab contains more information on the alignment of variables.</w:t>
      </w:r>
    </w:p>
    <w:p>
      <w:pPr>
        <w:numPr>
          <w:ilvl w:val="1"/>
          <w:numId w:val="1010"/>
        </w:numPr>
        <w:pStyle w:val="Compact"/>
      </w:pPr>
      <w:r>
        <w:rPr>
          <w:bCs/>
          <w:b/>
        </w:rPr>
        <w:t xml:space="preserve">Neither Source</w:t>
      </w:r>
      <w:r>
        <w:t xml:space="preserve">: this person has a DIP dataset record, but it does not contain any viable demographic information, nor does the survey.</w:t>
      </w:r>
    </w:p>
    <w:bookmarkEnd w:id="26"/>
    <w:bookmarkStart w:id="27" w:name="linked-variables-detail"/>
    <w:p>
      <w:pPr>
        <w:pStyle w:val="Heading2"/>
      </w:pPr>
      <w:r>
        <w:t xml:space="preserve">Linked Variables Detail</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1"/>
        </w:numPr>
        <w:pStyle w:val="Compact"/>
      </w:pPr>
      <w:r>
        <w:t xml:space="preserve">Additional information: the DIP dataset provided no information, but the survey does.</w:t>
      </w:r>
    </w:p>
    <w:p>
      <w:pPr>
        <w:numPr>
          <w:ilvl w:val="1"/>
          <w:numId w:val="1012"/>
        </w:numPr>
        <w:pStyle w:val="Compact"/>
      </w:pPr>
      <w:r>
        <w:t xml:space="preserve">Example: a health dataset contains no racial identity information, but the survey supplies this for all linked records.</w:t>
      </w:r>
    </w:p>
    <w:p>
      <w:pPr>
        <w:numPr>
          <w:ilvl w:val="0"/>
          <w:numId w:val="1011"/>
        </w:numPr>
        <w:pStyle w:val="Compact"/>
      </w:pPr>
      <w:r>
        <w:t xml:space="preserve">Contradicting information: the DIP dataset indicates a different value than what is provided by the survey.</w:t>
      </w:r>
    </w:p>
    <w:p>
      <w:pPr>
        <w:numPr>
          <w:ilvl w:val="1"/>
          <w:numId w:val="1013"/>
        </w:numPr>
        <w:pStyle w:val="Compact"/>
      </w:pPr>
      <w:r>
        <w:t xml:space="preserve">Example: an education dataset indicates the gender of a student as female, while the survey indicates the gender of the student is non-binary.</w:t>
      </w:r>
    </w:p>
    <w:p>
      <w:pPr>
        <w:numPr>
          <w:ilvl w:val="0"/>
          <w:numId w:val="1011"/>
        </w:numPr>
        <w:pStyle w:val="Compact"/>
      </w:pPr>
      <w:r>
        <w:t xml:space="preserve">Aligned information: the DIP dataset and the survey provide generally agreeable demographics.</w:t>
      </w:r>
    </w:p>
    <w:p>
      <w:pPr>
        <w:numPr>
          <w:ilvl w:val="1"/>
          <w:numId w:val="1014"/>
        </w:numPr>
        <w:pStyle w:val="Compact"/>
      </w:pPr>
      <w:r>
        <w:t xml:space="preserve">Example: a child in care is recorded in the MCFD dataset as non-Indigenous, which agrees with the value provided by the survey.</w:t>
      </w:r>
    </w:p>
    <w:bookmarkEnd w:id="27"/>
    <w:bookmarkStart w:id="28" w:name="caveats-disclaimers"/>
    <w:p>
      <w:pPr>
        <w:pStyle w:val="Heading2"/>
      </w:pPr>
      <w:r>
        <w:t xml:space="preserve">Caveats &amp; Disclaimers</w:t>
      </w:r>
    </w:p>
    <w:p>
      <w:pPr>
        <w:pStyle w:val="FirstParagraph"/>
      </w:pPr>
      <w:r>
        <w:t xml:space="preserve">All inferences, opinions, and conclusions drawn in this datdaset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5"/>
        </w:numPr>
        <w:pStyle w:val="Compact"/>
      </w:pPr>
      <w:r>
        <w:t xml:space="preserve">This dashboard and dataset was produced in 2024. Linkage rates will change overtime.</w:t>
      </w:r>
    </w:p>
    <w:p>
      <w:pPr>
        <w:numPr>
          <w:ilvl w:val="0"/>
          <w:numId w:val="1015"/>
        </w:numPr>
        <w:pStyle w:val="Compact"/>
      </w:pPr>
      <w:r>
        <w:t xml:space="preserve">Not every DIP dataset has a StudyID.</w:t>
      </w:r>
    </w:p>
    <w:p>
      <w:pPr>
        <w:numPr>
          <w:ilvl w:val="0"/>
          <w:numId w:val="1015"/>
        </w:numPr>
        <w:pStyle w:val="Compact"/>
      </w:pPr>
      <w:r>
        <w:t xml:space="preserve">Some DIP datasets contain multiple StudyIDs.</w:t>
      </w:r>
    </w:p>
    <w:p>
      <w:pPr>
        <w:numPr>
          <w:ilvl w:val="0"/>
          <w:numId w:val="1015"/>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1"/>
          <w:numId w:val="1016"/>
        </w:numPr>
        <w:pStyle w:val="Compact"/>
      </w:pPr>
      <w:r>
        <w:t xml:space="preserve">One exception was made in the manipulation of DIP datasets. In cases where individual First Nations would be identified by the contents of a DIP variable, the nation name was replaced with</w:t>
      </w:r>
      <w:r>
        <w:t xml:space="preserve"> </w:t>
      </w:r>
      <w:r>
        <w:t xml:space="preserve">‘</w:t>
      </w:r>
      <w:r>
        <w:t xml:space="preserve">First Nations</w:t>
      </w:r>
      <w:r>
        <w:t xml:space="preserve">’</w:t>
      </w:r>
      <w:r>
        <w:t xml:space="preserve"> </w:t>
      </w:r>
      <w:r>
        <w:t xml:space="preserve">(or equivalent) to keep all outputs at a distinctions based level of analysis.</w:t>
      </w:r>
    </w:p>
    <w:p>
      <w:pPr>
        <w:numPr>
          <w:ilvl w:val="0"/>
          <w:numId w:val="1015"/>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5"/>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p>
      <w:pPr>
        <w:numPr>
          <w:ilvl w:val="0"/>
          <w:numId w:val="1015"/>
        </w:numPr>
        <w:pStyle w:val="Compact"/>
      </w:pPr>
      <w:r>
        <w:t xml:space="preserve">Some DIP datasets have multiple variables that could be considered as related to a single survey variable. In these cases, all variables are considered separately.</w:t>
      </w:r>
    </w:p>
    <w:p>
      <w:pPr>
        <w:numPr>
          <w:ilvl w:val="0"/>
          <w:numId w:val="1015"/>
        </w:numPr>
        <w:pStyle w:val="Compact"/>
      </w:pPr>
      <w:r>
        <w:t xml:space="preserve">All counts provided here are unweighted. DIP researchers are responsible for providing their own weights where necessary.</w:t>
      </w:r>
    </w:p>
    <w:p>
      <w:pPr>
        <w:numPr>
          <w:ilvl w:val="0"/>
          <w:numId w:val="1015"/>
        </w:numPr>
        <w:pStyle w:val="Compact"/>
      </w:pPr>
      <w:r>
        <w:t xml:space="preserve">To mitigate the privacy risks of re-identification and residual disclosure, some small counts (and associated percentages) have been masked.</w:t>
      </w:r>
    </w:p>
    <w:p>
      <w:pPr>
        <w:numPr>
          <w:ilvl w:val="0"/>
          <w:numId w:val="1015"/>
        </w:numPr>
        <w:pStyle w:val="Compact"/>
      </w:pPr>
      <w:r>
        <w:t xml:space="preserve">Rounding has been performed on all percentages, leading to some inaccurate displays of 0 or 100%.</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17"/>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17"/>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35"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5"/>
    <w:bookmarkStart w:id="45" w:name="references"/>
    <w:p>
      <w:pPr>
        <w:pStyle w:val="Heading1"/>
      </w:pPr>
      <w:r>
        <w:t xml:space="preserve">References</w:t>
      </w:r>
    </w:p>
    <w:bookmarkStart w:id="44" w:name="refs"/>
    <w:bookmarkStart w:id="36" w:name="ref-dippy"/>
    <w:p>
      <w:pPr>
        <w:pStyle w:val="Bibliography"/>
      </w:pPr>
      <w:r>
        <w:t xml:space="preserve">Fredrick, Lindsay. 2023.</w:t>
      </w:r>
      <w:r>
        <w:t xml:space="preserve"> </w:t>
      </w:r>
      <w:r>
        <w:rPr>
          <w:iCs/>
          <w:i/>
        </w:rPr>
        <w:t xml:space="preserve">Dippy: Provide Functions to Efficiently Import SRE Data</w:t>
      </w:r>
      <w:r>
        <w:t xml:space="preserve">.</w:t>
      </w:r>
    </w:p>
    <w:bookmarkEnd w:id="36"/>
    <w:bookmarkStart w:id="38"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7">
        <w:r>
          <w:rPr>
            <w:rStyle w:val="Hyperlink"/>
          </w:rPr>
          <w:t xml:space="preserve">https://www.R-project.org/</w:t>
        </w:r>
      </w:hyperlink>
      <w:r>
        <w:t xml:space="preserve">.</w:t>
      </w:r>
    </w:p>
    <w:bookmarkEnd w:id="38"/>
    <w:bookmarkStart w:id="40"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9">
        <w:r>
          <w:rPr>
            <w:rStyle w:val="Hyperlink"/>
          </w:rPr>
          <w:t xml:space="preserve">https://CRAN.R-project.org/package=arrow</w:t>
        </w:r>
      </w:hyperlink>
      <w:r>
        <w:t xml:space="preserve">.</w:t>
      </w:r>
    </w:p>
    <w:bookmarkEnd w:id="40"/>
    <w:bookmarkStart w:id="41"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1"/>
    <w:bookmarkStart w:id="43"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2">
        <w:r>
          <w:rPr>
            <w:rStyle w:val="Hyperlink"/>
          </w:rPr>
          <w:t xml:space="preserve">https://doi.org/10.21105/joss.01686</w:t>
        </w:r>
      </w:hyperlink>
      <w:r>
        <w:t xml:space="preserve">.</w:t>
      </w:r>
    </w:p>
    <w:bookmarkEnd w:id="43"/>
    <w:bookmarkEnd w:id="44"/>
    <w:bookmarkEnd w:id="45"/>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39"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2"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9"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2"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7"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2024-06-10T21:37:36Z</dcterms:created>
  <dcterms:modified xsi:type="dcterms:W3CDTF">2024-06-10T21:37:36Z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