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2024-05-13</w:t>
      </w:r>
    </w:p>
    <w:p>
      <w:r>
        <w:br w:type="page"/>
      </w:r>
    </w:p>
    <w:bookmarkStart w:id="22" w:name="purpose"/>
    <w:p>
      <w:pPr>
        <w:pStyle w:val="Heading1"/>
      </w:pPr>
      <w:r>
        <w:t xml:space="preserve">Purpose</w:t>
      </w:r>
    </w:p>
    <w:p>
      <w:pPr>
        <w:pStyle w:val="FirstParagraph"/>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dashboard used the secure platform to access available datasets from the DIP, and linked these datasets, where possible, to the data from the BC Demographic Survey. Overall linkage rates were investigated. The methods, tools, and caveats associated with the dashboard are explored more fully below.</w:t>
      </w:r>
    </w:p>
    <w:bookmarkEnd w:id="23"/>
    <w:bookmarkStart w:id="31"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caveats"/>
    <w:p>
      <w:pPr>
        <w:pStyle w:val="Heading2"/>
      </w:pPr>
      <w:r>
        <w:t xml:space="preserve">Caveats</w:t>
      </w:r>
    </w:p>
    <w:p>
      <w:pPr>
        <w:pStyle w:val="FirstParagraph"/>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02"/>
        </w:numPr>
        <w:pStyle w:val="Compact"/>
      </w:pPr>
      <w:r>
        <w:t xml:space="preserve">This dashboard was produced in 2024. Linkage rates will change overtime.</w:t>
      </w:r>
    </w:p>
    <w:p>
      <w:pPr>
        <w:numPr>
          <w:ilvl w:val="0"/>
          <w:numId w:val="1002"/>
        </w:numPr>
        <w:pStyle w:val="Compact"/>
      </w:pPr>
      <w:r>
        <w:t xml:space="preserve">Not every DIP dataset has a StudyID.</w:t>
      </w:r>
    </w:p>
    <w:p>
      <w:pPr>
        <w:numPr>
          <w:ilvl w:val="0"/>
          <w:numId w:val="1002"/>
        </w:numPr>
        <w:pStyle w:val="Compact"/>
      </w:pPr>
      <w:r>
        <w:t xml:space="preserve">Some DIP datasets contain multiple StudyIDs.</w:t>
      </w:r>
    </w:p>
    <w:p>
      <w:pPr>
        <w:numPr>
          <w:ilvl w:val="0"/>
          <w:numId w:val="1002"/>
        </w:numPr>
        <w:pStyle w:val="Compact"/>
      </w:pPr>
      <w:r>
        <w:t xml:space="preserve">All counts provided here are unweighted. DIP researchers are responsible for providing their own weights where necessary.</w:t>
      </w:r>
    </w:p>
    <w:p>
      <w:pPr>
        <w:numPr>
          <w:ilvl w:val="0"/>
          <w:numId w:val="1002"/>
        </w:numPr>
        <w:pStyle w:val="Compact"/>
      </w:pPr>
      <w:r>
        <w:t xml:space="preserve">To mitigate the privacy risks of re-identification and residual disclosure, some small counts (and associated percentages) have been masked.</w:t>
      </w:r>
    </w:p>
    <w:p>
      <w:pPr>
        <w:numPr>
          <w:ilvl w:val="0"/>
          <w:numId w:val="1002"/>
        </w:numPr>
        <w:pStyle w:val="Compact"/>
      </w:pPr>
      <w:r>
        <w:t xml:space="preserve">Rounding has been performed on all percentages.</w:t>
      </w:r>
    </w:p>
    <w:bookmarkEnd w:id="25"/>
    <w:bookmarkStart w:id="30"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29" w:name="gitlab"/>
    <w:p>
      <w:pPr>
        <w:pStyle w:val="Heading3"/>
      </w:pPr>
      <w:r>
        <w:t xml:space="preserve">GitLab</w:t>
      </w:r>
    </w:p>
    <w:p>
      <w:pPr>
        <w:pStyle w:val="FirstParagraph"/>
      </w:pPr>
      <w:r>
        <w:t xml:space="preserve">All code is stored under the</w:t>
      </w:r>
      <w:r>
        <w:t xml:space="preserve"> </w:t>
      </w:r>
      <w:hyperlink r:id="rId26">
        <w:r>
          <w:rPr>
            <w:rStyle w:val="Hyperlink"/>
          </w:rPr>
          <w:t xml:space="preserve">git version control</w:t>
        </w:r>
      </w:hyperlink>
      <w:r>
        <w:t xml:space="preserve"> </w:t>
      </w:r>
      <w:r>
        <w:t xml:space="preserve">system and shared inside the secure environment in these GitLab repos:</w:t>
      </w:r>
    </w:p>
    <w:p>
      <w:pPr>
        <w:numPr>
          <w:ilvl w:val="0"/>
          <w:numId w:val="1003"/>
        </w:numPr>
        <w:pStyle w:val="Compact"/>
      </w:pPr>
      <w:r>
        <w:t xml:space="preserve">Creation of Demographic Survey Variables:</w:t>
      </w:r>
      <w:r>
        <w:t xml:space="preserve"> </w:t>
      </w:r>
      <w:hyperlink r:id="rId27">
        <w:r>
          <w:rPr>
            <w:rStyle w:val="Hyperlink"/>
          </w:rPr>
          <w:t xml:space="preserve">https://projectsc.popdata.bc.ca/shares/arda-demographic-survey</w:t>
        </w:r>
      </w:hyperlink>
    </w:p>
    <w:p>
      <w:pPr>
        <w:numPr>
          <w:ilvl w:val="0"/>
          <w:numId w:val="1003"/>
        </w:numPr>
        <w:pStyle w:val="Compact"/>
      </w:pPr>
      <w:r>
        <w:t xml:space="preserve">Creation of Linkage Statistics:</w:t>
      </w:r>
      <w:r>
        <w:t xml:space="preserve"> </w:t>
      </w:r>
      <w:hyperlink r:id="rId28">
        <w:r>
          <w:rPr>
            <w:rStyle w:val="Hyperlink"/>
          </w:rPr>
          <w:t xml:space="preserve">https://projectsc.popdata.bc.ca/shares/linkage-litmus-test</w:t>
        </w:r>
      </w:hyperlink>
    </w:p>
    <w:bookmarkEnd w:id="29"/>
    <w:bookmarkEnd w:id="30"/>
    <w:bookmarkEnd w:id="31"/>
    <w:bookmarkStart w:id="41" w:name="references"/>
    <w:p>
      <w:pPr>
        <w:pStyle w:val="Heading1"/>
      </w:pPr>
      <w:r>
        <w:t xml:space="preserve">References</w:t>
      </w:r>
    </w:p>
    <w:bookmarkStart w:id="40" w:name="refs"/>
    <w:bookmarkStart w:id="32" w:name="ref-dippy"/>
    <w:p>
      <w:pPr>
        <w:pStyle w:val="Bibliography"/>
      </w:pPr>
      <w:r>
        <w:t xml:space="preserve">Fredrick, Lindsay. 2023.</w:t>
      </w:r>
      <w:r>
        <w:t xml:space="preserve"> </w:t>
      </w:r>
      <w:r>
        <w:rPr>
          <w:iCs/>
          <w:i/>
        </w:rPr>
        <w:t xml:space="preserve">Dippy: Provide Functions to Efficiently Import SRE Data</w:t>
      </w:r>
      <w:r>
        <w:t xml:space="preserve">.</w:t>
      </w:r>
    </w:p>
    <w:bookmarkEnd w:id="32"/>
    <w:bookmarkStart w:id="34"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3">
        <w:r>
          <w:rPr>
            <w:rStyle w:val="Hyperlink"/>
          </w:rPr>
          <w:t xml:space="preserve">https://www.R-project.org/</w:t>
        </w:r>
      </w:hyperlink>
      <w:r>
        <w:t xml:space="preserve">.</w:t>
      </w:r>
    </w:p>
    <w:bookmarkEnd w:id="34"/>
    <w:bookmarkStart w:id="36"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5">
        <w:r>
          <w:rPr>
            <w:rStyle w:val="Hyperlink"/>
          </w:rPr>
          <w:t xml:space="preserve">https://CRAN.R-project.org/package=arrow</w:t>
        </w:r>
      </w:hyperlink>
      <w:r>
        <w:t xml:space="preserve">.</w:t>
      </w:r>
    </w:p>
    <w:bookmarkEnd w:id="36"/>
    <w:bookmarkStart w:id="37"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37"/>
    <w:bookmarkStart w:id="39"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38">
        <w:r>
          <w:rPr>
            <w:rStyle w:val="Hyperlink"/>
          </w:rPr>
          <w:t xml:space="preserve">https://doi.org/10.21105/joss.01686</w:t>
        </w:r>
      </w:hyperlink>
      <w:r>
        <w:t xml:space="preserve">.</w:t>
      </w:r>
    </w:p>
    <w:bookmarkEnd w:id="39"/>
    <w:bookmarkEnd w:id="40"/>
    <w:bookmarkEnd w:id="41"/>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35"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38" Target="https://doi.org/10.21105/joss.01686" TargetMode="External" /><Relationship Type="http://schemas.openxmlformats.org/officeDocument/2006/relationships/hyperlink" Id="rId26" Target="https://git-scm.com/" TargetMode="External" /><Relationship Type="http://schemas.openxmlformats.org/officeDocument/2006/relationships/hyperlink" Id="rId27" Target="https://projectsc.popdata.bc.ca/shares/arda-demographic-survey" TargetMode="External" /><Relationship Type="http://schemas.openxmlformats.org/officeDocument/2006/relationships/hyperlink" Id="rId28" Target="https://projectsc.popdata.bc.ca/shares/linkage-litmus-test" TargetMode="External" /><Relationship Type="http://schemas.openxmlformats.org/officeDocument/2006/relationships/hyperlink" Id="rId3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5"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21" Target="https://catalogue.data.gov.bc.ca/" TargetMode="External" /><Relationship Type="http://schemas.openxmlformats.org/officeDocument/2006/relationships/hyperlink" Id="rId38" Target="https://doi.org/10.21105/joss.01686" TargetMode="External" /><Relationship Type="http://schemas.openxmlformats.org/officeDocument/2006/relationships/hyperlink" Id="rId26" Target="https://git-scm.com/" TargetMode="External" /><Relationship Type="http://schemas.openxmlformats.org/officeDocument/2006/relationships/hyperlink" Id="rId27" Target="https://projectsc.popdata.bc.ca/shares/arda-demographic-survey" TargetMode="External" /><Relationship Type="http://schemas.openxmlformats.org/officeDocument/2006/relationships/hyperlink" Id="rId28" Target="https://projectsc.popdata.bc.ca/shares/linkage-litmus-test" TargetMode="External" /><Relationship Type="http://schemas.openxmlformats.org/officeDocument/2006/relationships/hyperlink" Id="rId33"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2024-05-13T17:34:49Z</dcterms:created>
  <dcterms:modified xsi:type="dcterms:W3CDTF">2024-05-13T17:34:49Z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