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40"/>
          <w:szCs w:val="40"/>
        </w:rPr>
      </w:pPr>
      <w:r>
        <w:rPr>
          <w:rFonts w:ascii="ArialMT" w:cs="ArialMT"/>
          <w:color w:val="000000"/>
          <w:sz w:val="40"/>
          <w:szCs w:val="40"/>
        </w:rPr>
        <w:t xml:space="preserve">Digital Marketplace </w:t>
      </w:r>
    </w:p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40"/>
          <w:szCs w:val="40"/>
        </w:rPr>
      </w:pPr>
    </w:p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32"/>
          <w:szCs w:val="32"/>
        </w:rPr>
      </w:pPr>
      <w:r>
        <w:rPr>
          <w:rFonts w:ascii="ArialMT" w:cs="ArialMT"/>
          <w:color w:val="000000"/>
          <w:sz w:val="32"/>
          <w:szCs w:val="32"/>
        </w:rPr>
        <w:t>Description</w:t>
      </w:r>
    </w:p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This document compiles the features/functionality that were identified by stakeholders during</w:t>
      </w:r>
    </w:p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the pilot as important but were determined to be outside the scope of the pilot for Sprint </w:t>
      </w:r>
      <w:proofErr w:type="gramStart"/>
      <w:r>
        <w:rPr>
          <w:rFonts w:ascii="ArialMT" w:cs="ArialMT"/>
          <w:color w:val="000000"/>
        </w:rPr>
        <w:t>With</w:t>
      </w:r>
      <w:proofErr w:type="gramEnd"/>
      <w:r>
        <w:rPr>
          <w:rFonts w:ascii="ArialMT" w:cs="ArialMT"/>
          <w:color w:val="000000"/>
        </w:rPr>
        <w:t xml:space="preserve"> Us, Code With Us, </w:t>
      </w:r>
      <w:r w:rsidR="004B0785">
        <w:rPr>
          <w:rFonts w:ascii="ArialMT" w:cs="ArialMT"/>
          <w:color w:val="000000"/>
        </w:rPr>
        <w:t xml:space="preserve">and </w:t>
      </w:r>
      <w:r>
        <w:rPr>
          <w:rFonts w:ascii="ArialMT" w:cs="ArialMT"/>
          <w:color w:val="000000"/>
        </w:rPr>
        <w:t xml:space="preserve">the Procurement Concierge. This document outlines the recommended work required to complete the Digital Marketplace. </w:t>
      </w:r>
      <w:bookmarkStart w:id="0" w:name="_GoBack"/>
      <w:bookmarkEnd w:id="0"/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Prioritized Features 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Implementation of IDIR Login 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UAT and Production Setup and Deployment on Ministry Environment 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Enhance Usability - User Testing, Research, Design Alternatives 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Integration of the variant apps into the Digital Marketplace </w:t>
      </w:r>
      <w:r w:rsidRPr="002E1880">
        <w:rPr>
          <w:rFonts w:ascii="ArialMT" w:cs="ArialMT"/>
          <w:color w:val="000000"/>
        </w:rPr>
        <w:t>‘</w:t>
      </w:r>
      <w:r w:rsidRPr="002E1880">
        <w:rPr>
          <w:rFonts w:ascii="ArialMT" w:cs="ArialMT"/>
          <w:color w:val="000000"/>
        </w:rPr>
        <w:t>one-stop-shop</w:t>
      </w:r>
      <w:r w:rsidRPr="002E1880">
        <w:rPr>
          <w:rFonts w:ascii="ArialMT" w:cs="ArialMT"/>
          <w:color w:val="000000"/>
        </w:rPr>
        <w:t>’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Billing Feature (for Finance Users) 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Dashboard Development 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User Profile Management 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Intake Form Workflow 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New User Types, Roles and Privileges 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Procurement Log 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To-Do Style Checklist for PSB/Client Responsibilities 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Allow Users to Sort Projects/Intake Requests Based on Priority 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Relate Multiple Ministries and Sets of Finance Codes to an Intake Form or Project 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Reporting Feature 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Project Classification 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>CAS Oracle Integration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Analysis for CAS Oracle Integration </w:t>
      </w:r>
    </w:p>
    <w:p w:rsidR="002E1880" w:rsidRP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2E1880">
        <w:rPr>
          <w:rFonts w:ascii="ArialMT" w:cs="ArialMT"/>
          <w:color w:val="000000"/>
        </w:rPr>
        <w:t xml:space="preserve">CAS Oracle Integration </w:t>
      </w:r>
    </w:p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Enhancement of MongoDB reliability</w:t>
      </w:r>
    </w:p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Procurement and Legal Services Audit Functionality</w:t>
      </w:r>
    </w:p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Sprint </w:t>
      </w:r>
      <w:proofErr w:type="gramStart"/>
      <w:r>
        <w:rPr>
          <w:rFonts w:ascii="ArialMT" w:cs="ArialMT"/>
          <w:color w:val="000000"/>
        </w:rPr>
        <w:t>With</w:t>
      </w:r>
      <w:proofErr w:type="gramEnd"/>
      <w:r>
        <w:rPr>
          <w:rFonts w:ascii="ArialMT" w:cs="ArialMT"/>
          <w:color w:val="000000"/>
        </w:rPr>
        <w:t xml:space="preserve"> Us Evaluation Module</w:t>
      </w:r>
    </w:p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Sprint </w:t>
      </w:r>
      <w:proofErr w:type="gramStart"/>
      <w:r>
        <w:rPr>
          <w:rFonts w:ascii="ArialMT" w:cs="ArialMT"/>
          <w:color w:val="000000"/>
        </w:rPr>
        <w:t>With</w:t>
      </w:r>
      <w:proofErr w:type="gramEnd"/>
      <w:r>
        <w:rPr>
          <w:rFonts w:ascii="ArialMT" w:cs="ArialMT"/>
          <w:color w:val="000000"/>
        </w:rPr>
        <w:t xml:space="preserve"> Us Consensus Module</w:t>
      </w:r>
    </w:p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Expansion of Evaluation Options for process streamlining</w:t>
      </w:r>
    </w:p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BC Developers</w:t>
      </w:r>
      <w:r>
        <w:rPr>
          <w:rFonts w:ascii="ArialMT" w:cs="ArialMT"/>
          <w:color w:val="000000"/>
        </w:rPr>
        <w:t>’</w:t>
      </w:r>
      <w:r>
        <w:rPr>
          <w:rFonts w:ascii="ArialMT" w:cs="ArialMT"/>
          <w:color w:val="000000"/>
        </w:rPr>
        <w:t xml:space="preserve"> Exchange Lab Onboarding (Discover </w:t>
      </w:r>
      <w:proofErr w:type="gramStart"/>
      <w:r>
        <w:rPr>
          <w:rFonts w:ascii="ArialMT" w:cs="ArialMT"/>
          <w:color w:val="000000"/>
        </w:rPr>
        <w:t>With</w:t>
      </w:r>
      <w:proofErr w:type="gramEnd"/>
      <w:r>
        <w:rPr>
          <w:rFonts w:ascii="ArialMT" w:cs="ArialMT"/>
          <w:color w:val="000000"/>
        </w:rPr>
        <w:t xml:space="preserve"> Us)</w:t>
      </w:r>
    </w:p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Upgrading of Framework from MEAN stack</w:t>
      </w:r>
    </w:p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Resolution to technical debt</w:t>
      </w:r>
    </w:p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Tech Stack Modernization</w:t>
      </w:r>
    </w:p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Enhanced security functionality via migrating </w:t>
      </w:r>
      <w:proofErr w:type="gramStart"/>
      <w:r>
        <w:rPr>
          <w:rFonts w:ascii="ArialMT" w:cs="ArialMT"/>
          <w:color w:val="000000"/>
        </w:rPr>
        <w:t>off of</w:t>
      </w:r>
      <w:proofErr w:type="gramEnd"/>
      <w:r>
        <w:rPr>
          <w:rFonts w:ascii="ArialMT" w:cs="ArialMT"/>
          <w:color w:val="000000"/>
        </w:rPr>
        <w:t xml:space="preserve"> Angular 1.5</w:t>
      </w:r>
    </w:p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Unit Testing</w:t>
      </w:r>
    </w:p>
    <w:p w:rsidR="002E1880" w:rsidRDefault="002E1880" w:rsidP="002E188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sectPr w:rsidR="002E1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80"/>
    <w:rsid w:val="002E1880"/>
    <w:rsid w:val="004B0785"/>
    <w:rsid w:val="0074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8E3B"/>
  <w15:chartTrackingRefBased/>
  <w15:docId w15:val="{56D11B0D-5E7C-4E01-B1DE-D48FDC24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Woodward, Zachary CITZ:EX</dc:creator>
  <cp:keywords/>
  <dc:description/>
  <cp:lastModifiedBy>Woodward, Zachary CITZ:EX</cp:lastModifiedBy>
  <cp:revision>2</cp:revision>
  <dcterms:created xsi:type="dcterms:W3CDTF">2019-09-10T21:42:00Z</dcterms:created>
  <dcterms:modified xsi:type="dcterms:W3CDTF">2019-09-10T21:42:00Z</dcterms:modified>
</cp:coreProperties>
</file>