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1BCBA" w14:textId="276AD2DD" w:rsidR="0048682A" w:rsidRPr="00B25194" w:rsidRDefault="00DA7569">
      <w:pPr>
        <w:rPr>
          <w:b/>
          <w:bCs/>
          <w:lang w:val="en-CA"/>
        </w:rPr>
      </w:pPr>
      <w:r w:rsidRPr="00B25194">
        <w:rPr>
          <w:b/>
          <w:bCs/>
          <w:lang w:val="en-CA"/>
        </w:rPr>
        <w:t>Background on Fisher Equivalent Territory Area (</w:t>
      </w:r>
      <w:r w:rsidR="0048682A" w:rsidRPr="00B25194">
        <w:rPr>
          <w:b/>
          <w:bCs/>
          <w:lang w:val="en-CA"/>
        </w:rPr>
        <w:t>FETA</w:t>
      </w:r>
      <w:r w:rsidRPr="00B25194">
        <w:rPr>
          <w:b/>
          <w:bCs/>
          <w:lang w:val="en-CA"/>
        </w:rPr>
        <w:t>)</w:t>
      </w:r>
    </w:p>
    <w:p w14:paraId="0B83A7A2" w14:textId="4752E308" w:rsidR="009C7960" w:rsidRDefault="0048682A" w:rsidP="009C7960">
      <w:pPr>
        <w:rPr>
          <w:lang w:val="en-CA"/>
        </w:rPr>
      </w:pPr>
      <w:r>
        <w:rPr>
          <w:lang w:val="en-CA"/>
        </w:rPr>
        <w:t>Fishers</w:t>
      </w:r>
      <w:r w:rsidR="00A4405C">
        <w:rPr>
          <w:lang w:val="en-CA"/>
        </w:rPr>
        <w:t xml:space="preserve"> are territorial animals that </w:t>
      </w:r>
      <w:r w:rsidR="009C7960">
        <w:rPr>
          <w:lang w:val="en-CA"/>
        </w:rPr>
        <w:t>require</w:t>
      </w:r>
      <w:r w:rsidR="00A4405C">
        <w:rPr>
          <w:lang w:val="en-CA"/>
        </w:rPr>
        <w:t xml:space="preserve"> specific forest structures </w:t>
      </w:r>
      <w:r w:rsidR="009C7960">
        <w:rPr>
          <w:lang w:val="en-CA"/>
        </w:rPr>
        <w:t xml:space="preserve">within those territories </w:t>
      </w:r>
      <w:r w:rsidR="00A4405C">
        <w:rPr>
          <w:lang w:val="en-CA"/>
        </w:rPr>
        <w:t xml:space="preserve">to </w:t>
      </w:r>
      <w:r w:rsidR="009C7960">
        <w:rPr>
          <w:lang w:val="en-CA"/>
        </w:rPr>
        <w:t xml:space="preserve">meet </w:t>
      </w:r>
      <w:r>
        <w:rPr>
          <w:lang w:val="en-CA"/>
        </w:rPr>
        <w:t>their</w:t>
      </w:r>
      <w:r w:rsidR="00A4405C">
        <w:rPr>
          <w:lang w:val="en-CA"/>
        </w:rPr>
        <w:t xml:space="preserve"> life history </w:t>
      </w:r>
      <w:r w:rsidR="009C7960">
        <w:rPr>
          <w:lang w:val="en-CA"/>
        </w:rPr>
        <w:t>needs</w:t>
      </w:r>
      <w:r w:rsidR="00A4405C">
        <w:rPr>
          <w:lang w:val="en-CA"/>
        </w:rPr>
        <w:t>. While each individual fisher will have a unique territory shape and location</w:t>
      </w:r>
      <w:r w:rsidR="00B25194">
        <w:rPr>
          <w:lang w:val="en-CA"/>
        </w:rPr>
        <w:t xml:space="preserve"> (i.e., home range)</w:t>
      </w:r>
      <w:r w:rsidR="00A4405C">
        <w:rPr>
          <w:lang w:val="en-CA"/>
        </w:rPr>
        <w:t xml:space="preserve">, </w:t>
      </w:r>
      <w:r w:rsidR="009C7960">
        <w:rPr>
          <w:lang w:val="en-CA"/>
        </w:rPr>
        <w:t>we cannot identify the location of each fisher territory across BC</w:t>
      </w:r>
      <w:r w:rsidR="00A4405C">
        <w:rPr>
          <w:lang w:val="en-CA"/>
        </w:rPr>
        <w:t xml:space="preserve">. </w:t>
      </w:r>
      <w:r w:rsidR="009C7960">
        <w:rPr>
          <w:lang w:val="en-CA"/>
        </w:rPr>
        <w:t xml:space="preserve">Therefore, </w:t>
      </w:r>
      <w:r w:rsidR="00A4405C">
        <w:rPr>
          <w:lang w:val="en-CA"/>
        </w:rPr>
        <w:t>we used a spatial grid of hexagons with an area of 30 km</w:t>
      </w:r>
      <w:r w:rsidR="00A4405C" w:rsidRPr="00CD2839">
        <w:rPr>
          <w:vertAlign w:val="superscript"/>
          <w:lang w:val="en-CA"/>
        </w:rPr>
        <w:t>2</w:t>
      </w:r>
      <w:r w:rsidR="009C7960">
        <w:rPr>
          <w:lang w:val="en-CA"/>
        </w:rPr>
        <w:t xml:space="preserve"> to </w:t>
      </w:r>
      <w:r w:rsidR="00A4405C">
        <w:rPr>
          <w:lang w:val="en-CA"/>
        </w:rPr>
        <w:t>represent a fisher equivalent territory area (FETA)</w:t>
      </w:r>
      <w:r w:rsidR="009C7960">
        <w:rPr>
          <w:lang w:val="en-CA"/>
        </w:rPr>
        <w:t>. We used a 30 km</w:t>
      </w:r>
      <w:r w:rsidR="009C7960" w:rsidRPr="00C24505">
        <w:rPr>
          <w:vertAlign w:val="superscript"/>
          <w:lang w:val="en-CA"/>
        </w:rPr>
        <w:t>2</w:t>
      </w:r>
      <w:r w:rsidR="009C7960">
        <w:rPr>
          <w:lang w:val="en-CA"/>
        </w:rPr>
        <w:t xml:space="preserve"> size because that is the measured average home range size of fisher in BC (Rich Weir, pers. comm.).</w:t>
      </w:r>
      <w:r w:rsidR="008F1B02">
        <w:rPr>
          <w:lang w:val="en-CA"/>
        </w:rPr>
        <w:t xml:space="preserve"> </w:t>
      </w:r>
      <w:r w:rsidR="009C7960">
        <w:rPr>
          <w:lang w:val="en-CA"/>
        </w:rPr>
        <w:t xml:space="preserve">These hexagons represent a territory area required by fisher, within which we can estimate habitat characteristics and assess </w:t>
      </w:r>
      <w:r w:rsidR="00D02769">
        <w:rPr>
          <w:lang w:val="en-CA"/>
        </w:rPr>
        <w:t xml:space="preserve">whether they meet </w:t>
      </w:r>
      <w:r w:rsidR="009C7960">
        <w:rPr>
          <w:lang w:val="en-CA"/>
        </w:rPr>
        <w:t>fisher needs.</w:t>
      </w:r>
    </w:p>
    <w:p w14:paraId="3989B3A9" w14:textId="56042F52" w:rsidR="0048682A" w:rsidRPr="00B25194" w:rsidRDefault="0048682A">
      <w:pPr>
        <w:rPr>
          <w:b/>
          <w:bCs/>
          <w:lang w:val="en-CA"/>
        </w:rPr>
      </w:pPr>
      <w:r w:rsidRPr="00B25194">
        <w:rPr>
          <w:b/>
          <w:bCs/>
          <w:lang w:val="en-CA"/>
        </w:rPr>
        <w:t>Abundance</w:t>
      </w:r>
    </w:p>
    <w:p w14:paraId="799832E1" w14:textId="02DEC390" w:rsidR="0048682A" w:rsidRDefault="0048682A">
      <w:pPr>
        <w:rPr>
          <w:lang w:val="en-CA"/>
        </w:rPr>
      </w:pPr>
      <w:r>
        <w:rPr>
          <w:lang w:val="en-CA"/>
        </w:rPr>
        <w:t xml:space="preserve">To </w:t>
      </w:r>
      <w:r w:rsidR="008F1B02">
        <w:rPr>
          <w:lang w:val="en-CA"/>
        </w:rPr>
        <w:t xml:space="preserve">estimate </w:t>
      </w:r>
      <w:r>
        <w:rPr>
          <w:lang w:val="en-CA"/>
        </w:rPr>
        <w:t>fisher abundance at</w:t>
      </w:r>
      <w:r w:rsidR="00B659CE">
        <w:rPr>
          <w:lang w:val="en-CA"/>
        </w:rPr>
        <w:t xml:space="preserve"> a</w:t>
      </w:r>
      <w:r>
        <w:rPr>
          <w:lang w:val="en-CA"/>
        </w:rPr>
        <w:t xml:space="preserve"> landscape scale, we </w:t>
      </w:r>
      <w:r w:rsidR="008F1B02">
        <w:rPr>
          <w:lang w:val="en-CA"/>
        </w:rPr>
        <w:t>did</w:t>
      </w:r>
      <w:r>
        <w:rPr>
          <w:lang w:val="en-CA"/>
        </w:rPr>
        <w:t xml:space="preserve"> a simple summation of FETA level abundance</w:t>
      </w:r>
      <w:r w:rsidR="008F1B02">
        <w:rPr>
          <w:lang w:val="en-CA"/>
        </w:rPr>
        <w:t xml:space="preserve"> estimates within the landscape</w:t>
      </w:r>
      <w:r>
        <w:rPr>
          <w:lang w:val="en-CA"/>
        </w:rPr>
        <w:t xml:space="preserve">. Two sources of information were </w:t>
      </w:r>
      <w:r w:rsidR="008F1B02">
        <w:rPr>
          <w:lang w:val="en-CA"/>
        </w:rPr>
        <w:t xml:space="preserve">used </w:t>
      </w:r>
      <w:r>
        <w:rPr>
          <w:lang w:val="en-CA"/>
        </w:rPr>
        <w:t>to estimate fisher abundance</w:t>
      </w:r>
      <w:r w:rsidR="004C4913">
        <w:rPr>
          <w:lang w:val="en-CA"/>
        </w:rPr>
        <w:t xml:space="preserve"> within a FETA</w:t>
      </w:r>
      <w:r>
        <w:rPr>
          <w:lang w:val="en-CA"/>
        </w:rPr>
        <w:t xml:space="preserve">: </w:t>
      </w:r>
      <w:r w:rsidR="001A3D09">
        <w:rPr>
          <w:lang w:val="en-CA"/>
        </w:rPr>
        <w:t xml:space="preserve">the relative probability of territory occupancy using the model developed by Weir and </w:t>
      </w:r>
      <w:proofErr w:type="spellStart"/>
      <w:r w:rsidR="001A3D09">
        <w:rPr>
          <w:lang w:val="en-CA"/>
        </w:rPr>
        <w:t>Corbould</w:t>
      </w:r>
      <w:proofErr w:type="spellEnd"/>
      <w:r w:rsidR="001A3D09">
        <w:rPr>
          <w:lang w:val="en-CA"/>
        </w:rPr>
        <w:t xml:space="preserve"> (2010) </w:t>
      </w:r>
      <w:r>
        <w:rPr>
          <w:lang w:val="en-CA"/>
        </w:rPr>
        <w:t xml:space="preserve">and </w:t>
      </w:r>
      <w:r w:rsidR="001A3D09">
        <w:rPr>
          <w:lang w:val="en-CA"/>
        </w:rPr>
        <w:t>the fisher habitat capability rating (a 2004 spatial file provided by Rich Weir).</w:t>
      </w:r>
    </w:p>
    <w:p w14:paraId="58A54777" w14:textId="2B488E40" w:rsidR="001A3D09" w:rsidRDefault="001A3D09" w:rsidP="001A3D09">
      <w:pPr>
        <w:rPr>
          <w:lang w:val="en-CA"/>
        </w:rPr>
      </w:pPr>
      <w:r>
        <w:rPr>
          <w:lang w:val="en-CA"/>
        </w:rPr>
        <w:t xml:space="preserve">The relative probability of occupancy model (Weir and </w:t>
      </w:r>
      <w:proofErr w:type="spellStart"/>
      <w:r>
        <w:rPr>
          <w:lang w:val="en-CA"/>
        </w:rPr>
        <w:t>Corbould</w:t>
      </w:r>
      <w:proofErr w:type="spellEnd"/>
      <w:r>
        <w:rPr>
          <w:lang w:val="en-CA"/>
        </w:rPr>
        <w:t xml:space="preserve"> 2010) was estimated using:</w:t>
      </w:r>
    </w:p>
    <w:p w14:paraId="57B381B6" w14:textId="77777777" w:rsidR="001A3D09" w:rsidRPr="00DA7569" w:rsidRDefault="001A3D09" w:rsidP="001A3D09">
      <w:pPr>
        <w:rPr>
          <w:rFonts w:eastAsiaTheme="minorEastAsia"/>
          <w:lang w:val="en-CA"/>
        </w:rPr>
      </w:pPr>
      <w:r>
        <w:rPr>
          <w:rFonts w:eastAsiaTheme="minorEastAsia"/>
          <w:lang w:val="en-CA"/>
        </w:rPr>
        <w:t>[1]</w:t>
      </w:r>
      <w:r>
        <w:rPr>
          <w:rFonts w:eastAsiaTheme="minorEastAsia"/>
          <w:lang w:val="en-CA"/>
        </w:rPr>
        <w:tab/>
      </w:r>
      <m:oMath>
        <m:r>
          <w:rPr>
            <w:rFonts w:ascii="Cambria Math" w:hAnsi="Cambria Math"/>
            <w:lang w:val="en-CA"/>
          </w:rPr>
          <m:t>rel. prob.occupancy= (exp(-0.219*openess)/(1+exp</m:t>
        </m:r>
        <m:d>
          <m:dPr>
            <m:ctrlPr>
              <w:rPr>
                <w:rFonts w:ascii="Cambria Math" w:hAnsi="Cambria Math"/>
                <w:i/>
                <w:lang w:val="en-CA"/>
              </w:rPr>
            </m:ctrlPr>
          </m:dPr>
          <m:e>
            <m:r>
              <w:rPr>
                <w:rFonts w:ascii="Cambria Math" w:hAnsi="Cambria Math"/>
                <w:lang w:val="en-CA"/>
              </w:rPr>
              <m:t>-0.219*openess</m:t>
            </m:r>
          </m:e>
        </m:d>
        <m:r>
          <w:rPr>
            <w:rFonts w:ascii="Cambria Math" w:hAnsi="Cambria Math"/>
            <w:lang w:val="en-CA"/>
          </w:rPr>
          <m:t>))/0.5</m:t>
        </m:r>
      </m:oMath>
    </w:p>
    <w:p w14:paraId="1C840906" w14:textId="51DC82B2" w:rsidR="001A3D09" w:rsidRDefault="001A3D09" w:rsidP="001A3D09">
      <w:pPr>
        <w:rPr>
          <w:rFonts w:eastAsiaTheme="minorEastAsia"/>
          <w:lang w:val="en-CA"/>
        </w:rPr>
      </w:pPr>
      <w:r>
        <w:rPr>
          <w:rFonts w:eastAsiaTheme="minorEastAsia"/>
          <w:lang w:val="en-CA"/>
        </w:rPr>
        <w:t xml:space="preserve">Where, openness is the percentage of a FETA that is open, which includes permanently open areas (i.e., wetlands, lakes, non-vegetated, </w:t>
      </w:r>
      <w:proofErr w:type="spellStart"/>
      <w:r>
        <w:rPr>
          <w:rFonts w:eastAsiaTheme="minorEastAsia"/>
          <w:lang w:val="en-CA"/>
        </w:rPr>
        <w:t>etc</w:t>
      </w:r>
      <w:proofErr w:type="spellEnd"/>
      <w:r>
        <w:rPr>
          <w:rFonts w:eastAsiaTheme="minorEastAsia"/>
          <w:lang w:val="en-CA"/>
        </w:rPr>
        <w:t xml:space="preserve">) and forest less than or equal to 12 years old (cutblocks and fire origin stands). Permanently open areas and forest age were queried from the Vegetation Resource Inventory projected to the year 2020. </w:t>
      </w:r>
    </w:p>
    <w:p w14:paraId="37BD03A8" w14:textId="407F93BC" w:rsidR="0048682A" w:rsidRDefault="008642EB">
      <w:pPr>
        <w:rPr>
          <w:lang w:val="en-CA"/>
        </w:rPr>
      </w:pPr>
      <w:r>
        <w:rPr>
          <w:lang w:val="en-CA"/>
        </w:rPr>
        <w:t>The fisher capability rating was used to adjust a</w:t>
      </w:r>
      <w:r w:rsidR="008F1B02">
        <w:rPr>
          <w:lang w:val="en-CA"/>
        </w:rPr>
        <w:t xml:space="preserve"> maximum</w:t>
      </w:r>
      <w:r>
        <w:rPr>
          <w:lang w:val="en-CA"/>
        </w:rPr>
        <w:t xml:space="preserve"> fisher density estimate of 16.3 fisher per 1000 km</w:t>
      </w:r>
      <w:r w:rsidRPr="003C7A6A">
        <w:rPr>
          <w:vertAlign w:val="superscript"/>
          <w:lang w:val="en-CA"/>
        </w:rPr>
        <w:t>2</w:t>
      </w:r>
      <w:r>
        <w:rPr>
          <w:lang w:val="en-CA"/>
        </w:rPr>
        <w:t xml:space="preserve"> (taken from the Williston area of the B.C).</w:t>
      </w:r>
      <w:r w:rsidR="00CD2839">
        <w:rPr>
          <w:lang w:val="en-CA"/>
        </w:rPr>
        <w:t xml:space="preserve"> </w:t>
      </w:r>
      <w:r w:rsidR="00EB7AF3">
        <w:rPr>
          <w:lang w:val="en-CA"/>
        </w:rPr>
        <w:t xml:space="preserve">We calculated fisher density </w:t>
      </w:r>
      <w:r w:rsidR="00C661D4">
        <w:rPr>
          <w:lang w:val="en-CA"/>
        </w:rPr>
        <w:t xml:space="preserve">by habitat capability rating </w:t>
      </w:r>
      <w:r w:rsidR="00EB7AF3">
        <w:rPr>
          <w:lang w:val="en-CA"/>
        </w:rPr>
        <w:t xml:space="preserve">based on the capability rating adjustment provided in Table </w:t>
      </w:r>
      <w:r w:rsidR="001A3D09">
        <w:rPr>
          <w:lang w:val="en-CA"/>
        </w:rPr>
        <w:t xml:space="preserve">1. The </w:t>
      </w:r>
      <w:r w:rsidR="00736103">
        <w:rPr>
          <w:lang w:val="en-CA"/>
        </w:rPr>
        <w:t xml:space="preserve">proportion </w:t>
      </w:r>
      <w:r w:rsidR="001A3D09">
        <w:rPr>
          <w:lang w:val="en-CA"/>
        </w:rPr>
        <w:t xml:space="preserve">of area </w:t>
      </w:r>
      <w:r w:rsidR="00736103">
        <w:rPr>
          <w:lang w:val="en-CA"/>
        </w:rPr>
        <w:t>of a FETA</w:t>
      </w:r>
      <w:r w:rsidR="001A3D09">
        <w:rPr>
          <w:lang w:val="en-CA"/>
        </w:rPr>
        <w:t xml:space="preserve"> </w:t>
      </w:r>
      <w:r w:rsidR="007B5C90">
        <w:rPr>
          <w:lang w:val="en-CA"/>
        </w:rPr>
        <w:t>within</w:t>
      </w:r>
      <w:r w:rsidR="001A3D09">
        <w:rPr>
          <w:lang w:val="en-CA"/>
        </w:rPr>
        <w:t xml:space="preserve"> </w:t>
      </w:r>
      <w:r w:rsidR="00736103">
        <w:rPr>
          <w:lang w:val="en-CA"/>
        </w:rPr>
        <w:t xml:space="preserve">each </w:t>
      </w:r>
      <w:r w:rsidR="001A3D09">
        <w:rPr>
          <w:lang w:val="en-CA"/>
        </w:rPr>
        <w:t xml:space="preserve">fisher capability rating was then multiplied by the </w:t>
      </w:r>
      <w:r w:rsidR="00E77CE4">
        <w:rPr>
          <w:lang w:val="en-CA"/>
        </w:rPr>
        <w:t>respective</w:t>
      </w:r>
      <w:r w:rsidR="001A3D09">
        <w:rPr>
          <w:lang w:val="en-CA"/>
        </w:rPr>
        <w:t xml:space="preserve"> fisher density estimate found in </w:t>
      </w:r>
      <w:r w:rsidR="00E77CE4">
        <w:rPr>
          <w:lang w:val="en-CA"/>
        </w:rPr>
        <w:t>T</w:t>
      </w:r>
      <w:r w:rsidR="001A3D09">
        <w:rPr>
          <w:lang w:val="en-CA"/>
        </w:rPr>
        <w:t>able 1</w:t>
      </w:r>
      <w:r w:rsidR="007B5C90">
        <w:rPr>
          <w:lang w:val="en-CA"/>
        </w:rPr>
        <w:t xml:space="preserve"> and then summed across the number of fisher capability ratings </w:t>
      </w:r>
      <w:r w:rsidR="00736103">
        <w:rPr>
          <w:lang w:val="en-CA"/>
        </w:rPr>
        <w:t xml:space="preserve">to estimate fisher density </w:t>
      </w:r>
      <w:r w:rsidR="007B5C90">
        <w:rPr>
          <w:lang w:val="en-CA"/>
        </w:rPr>
        <w:t>within a FETA</w:t>
      </w:r>
      <w:r w:rsidR="001A3D09">
        <w:rPr>
          <w:lang w:val="en-CA"/>
        </w:rPr>
        <w:t>.</w:t>
      </w:r>
      <w:r w:rsidR="00EB7AF3">
        <w:rPr>
          <w:lang w:val="en-CA"/>
        </w:rPr>
        <w:t xml:space="preserve"> </w:t>
      </w:r>
    </w:p>
    <w:p w14:paraId="083E2A66" w14:textId="78320AD1" w:rsidR="00B659CE" w:rsidRPr="003C7A6A" w:rsidRDefault="00B659CE" w:rsidP="00B659CE">
      <w:pPr>
        <w:pStyle w:val="Caption"/>
        <w:keepNext/>
        <w:rPr>
          <w:i w:val="0"/>
          <w:iCs w:val="0"/>
          <w:color w:val="auto"/>
          <w:sz w:val="22"/>
          <w:szCs w:val="22"/>
          <w:lang w:val="en-CA"/>
        </w:rPr>
      </w:pPr>
      <w:r w:rsidRPr="003C7A6A">
        <w:rPr>
          <w:i w:val="0"/>
          <w:iCs w:val="0"/>
          <w:color w:val="auto"/>
          <w:sz w:val="22"/>
          <w:szCs w:val="22"/>
          <w:lang w:val="en-CA"/>
        </w:rPr>
        <w:t xml:space="preserve">Table </w:t>
      </w:r>
      <w:r w:rsidRPr="003C7A6A">
        <w:rPr>
          <w:i w:val="0"/>
          <w:iCs w:val="0"/>
          <w:color w:val="auto"/>
          <w:sz w:val="22"/>
          <w:szCs w:val="22"/>
          <w:lang w:val="en-CA"/>
        </w:rPr>
        <w:fldChar w:fldCharType="begin"/>
      </w:r>
      <w:r w:rsidRPr="003C7A6A">
        <w:rPr>
          <w:i w:val="0"/>
          <w:iCs w:val="0"/>
          <w:color w:val="auto"/>
          <w:sz w:val="22"/>
          <w:szCs w:val="22"/>
          <w:lang w:val="en-CA"/>
        </w:rPr>
        <w:instrText xml:space="preserve"> SEQ Table \* ARABIC </w:instrText>
      </w:r>
      <w:r w:rsidRPr="003C7A6A">
        <w:rPr>
          <w:i w:val="0"/>
          <w:iCs w:val="0"/>
          <w:color w:val="auto"/>
          <w:sz w:val="22"/>
          <w:szCs w:val="22"/>
          <w:lang w:val="en-CA"/>
        </w:rPr>
        <w:fldChar w:fldCharType="separate"/>
      </w:r>
      <w:r w:rsidRPr="003C7A6A">
        <w:rPr>
          <w:i w:val="0"/>
          <w:iCs w:val="0"/>
          <w:color w:val="auto"/>
          <w:sz w:val="22"/>
          <w:szCs w:val="22"/>
          <w:lang w:val="en-CA"/>
        </w:rPr>
        <w:t>1</w:t>
      </w:r>
      <w:r w:rsidRPr="003C7A6A">
        <w:rPr>
          <w:i w:val="0"/>
          <w:iCs w:val="0"/>
          <w:color w:val="auto"/>
          <w:sz w:val="22"/>
          <w:szCs w:val="22"/>
          <w:lang w:val="en-CA"/>
        </w:rPr>
        <w:fldChar w:fldCharType="end"/>
      </w:r>
      <w:r w:rsidRPr="003C7A6A">
        <w:rPr>
          <w:i w:val="0"/>
          <w:iCs w:val="0"/>
          <w:color w:val="auto"/>
          <w:sz w:val="22"/>
          <w:szCs w:val="22"/>
          <w:lang w:val="en-CA"/>
        </w:rPr>
        <w:t xml:space="preserve"> Fisher capability ratings and their respective density estimates. </w:t>
      </w:r>
    </w:p>
    <w:tbl>
      <w:tblPr>
        <w:tblStyle w:val="TableGrid"/>
        <w:tblW w:w="8926" w:type="dxa"/>
        <w:tblLook w:val="04A0" w:firstRow="1" w:lastRow="0" w:firstColumn="1" w:lastColumn="0" w:noHBand="0" w:noVBand="1"/>
      </w:tblPr>
      <w:tblGrid>
        <w:gridCol w:w="2405"/>
        <w:gridCol w:w="4253"/>
        <w:gridCol w:w="2268"/>
      </w:tblGrid>
      <w:tr w:rsidR="00CD2839" w14:paraId="149C77A1" w14:textId="15EF3C5A" w:rsidTr="007B5C90">
        <w:tc>
          <w:tcPr>
            <w:tcW w:w="2405" w:type="dxa"/>
          </w:tcPr>
          <w:p w14:paraId="72694685" w14:textId="79D63172" w:rsidR="00CD2839" w:rsidRDefault="00CD2839">
            <w:pPr>
              <w:rPr>
                <w:lang w:val="en-CA"/>
              </w:rPr>
            </w:pPr>
            <w:r>
              <w:rPr>
                <w:lang w:val="en-CA"/>
              </w:rPr>
              <w:t>Fisher capability rating*</w:t>
            </w:r>
          </w:p>
        </w:tc>
        <w:tc>
          <w:tcPr>
            <w:tcW w:w="4253" w:type="dxa"/>
          </w:tcPr>
          <w:p w14:paraId="4BC35ADF" w14:textId="42368DB1" w:rsidR="00CD2839" w:rsidRDefault="00CD2839">
            <w:pPr>
              <w:rPr>
                <w:lang w:val="en-CA"/>
              </w:rPr>
            </w:pPr>
            <w:r>
              <w:rPr>
                <w:lang w:val="en-CA"/>
              </w:rPr>
              <w:t>Percentage (mid point) applied to 16.3 fisher per 1000 km</w:t>
            </w:r>
            <w:r w:rsidRPr="003C7A6A">
              <w:rPr>
                <w:vertAlign w:val="superscript"/>
                <w:lang w:val="en-CA"/>
              </w:rPr>
              <w:t>2</w:t>
            </w:r>
          </w:p>
        </w:tc>
        <w:tc>
          <w:tcPr>
            <w:tcW w:w="2268" w:type="dxa"/>
          </w:tcPr>
          <w:p w14:paraId="2081EEE9" w14:textId="124CE90C" w:rsidR="00CD2839" w:rsidRDefault="00CD2839">
            <w:pPr>
              <w:rPr>
                <w:lang w:val="en-CA"/>
              </w:rPr>
            </w:pPr>
            <w:r>
              <w:rPr>
                <w:lang w:val="en-CA"/>
              </w:rPr>
              <w:t>Fisher density per 1000 km</w:t>
            </w:r>
            <w:r w:rsidRPr="003C7A6A">
              <w:rPr>
                <w:vertAlign w:val="superscript"/>
                <w:lang w:val="en-CA"/>
              </w:rPr>
              <w:t>2</w:t>
            </w:r>
          </w:p>
        </w:tc>
      </w:tr>
      <w:tr w:rsidR="00CD2839" w14:paraId="62491970" w14:textId="76906AD9" w:rsidTr="007B5C90">
        <w:tc>
          <w:tcPr>
            <w:tcW w:w="2405" w:type="dxa"/>
          </w:tcPr>
          <w:p w14:paraId="51A6285D" w14:textId="13F723CB" w:rsidR="00CD2839" w:rsidRDefault="00CD2839" w:rsidP="008642EB">
            <w:pPr>
              <w:rPr>
                <w:lang w:val="en-CA"/>
              </w:rPr>
            </w:pPr>
            <w:r>
              <w:rPr>
                <w:lang w:val="en-CA"/>
              </w:rPr>
              <w:t>Very High</w:t>
            </w:r>
          </w:p>
        </w:tc>
        <w:tc>
          <w:tcPr>
            <w:tcW w:w="4253" w:type="dxa"/>
          </w:tcPr>
          <w:p w14:paraId="6E675F8F" w14:textId="73F8140B" w:rsidR="00CD2839" w:rsidRDefault="00CD2839" w:rsidP="008642EB">
            <w:pPr>
              <w:rPr>
                <w:lang w:val="en-CA"/>
              </w:rPr>
            </w:pPr>
            <w:r>
              <w:rPr>
                <w:lang w:val="en-CA"/>
              </w:rPr>
              <w:t>88.0</w:t>
            </w:r>
          </w:p>
        </w:tc>
        <w:tc>
          <w:tcPr>
            <w:tcW w:w="2268" w:type="dxa"/>
          </w:tcPr>
          <w:p w14:paraId="0EC9E0BF" w14:textId="040194EB" w:rsidR="00CD2839" w:rsidRDefault="00CD2839" w:rsidP="008642EB">
            <w:pPr>
              <w:rPr>
                <w:lang w:val="en-CA"/>
              </w:rPr>
            </w:pPr>
            <w:r w:rsidRPr="004C4913">
              <w:rPr>
                <w:lang w:val="en-CA"/>
              </w:rPr>
              <w:t>14.344</w:t>
            </w:r>
          </w:p>
        </w:tc>
      </w:tr>
      <w:tr w:rsidR="00CD2839" w14:paraId="0B44BF30" w14:textId="04B63B94" w:rsidTr="007B5C90">
        <w:tc>
          <w:tcPr>
            <w:tcW w:w="2405" w:type="dxa"/>
          </w:tcPr>
          <w:p w14:paraId="2961CD1C" w14:textId="34ED83CD" w:rsidR="00CD2839" w:rsidRDefault="00CD2839" w:rsidP="008642EB">
            <w:pPr>
              <w:rPr>
                <w:lang w:val="en-CA"/>
              </w:rPr>
            </w:pPr>
            <w:r>
              <w:rPr>
                <w:lang w:val="en-CA"/>
              </w:rPr>
              <w:t>High</w:t>
            </w:r>
          </w:p>
        </w:tc>
        <w:tc>
          <w:tcPr>
            <w:tcW w:w="4253" w:type="dxa"/>
          </w:tcPr>
          <w:p w14:paraId="28066279" w14:textId="53D1DB58" w:rsidR="00CD2839" w:rsidRDefault="00CD2839" w:rsidP="008642EB">
            <w:pPr>
              <w:rPr>
                <w:lang w:val="en-CA"/>
              </w:rPr>
            </w:pPr>
            <w:r>
              <w:rPr>
                <w:lang w:val="en-CA"/>
              </w:rPr>
              <w:t>63.0</w:t>
            </w:r>
          </w:p>
        </w:tc>
        <w:tc>
          <w:tcPr>
            <w:tcW w:w="2268" w:type="dxa"/>
          </w:tcPr>
          <w:p w14:paraId="17FC7162" w14:textId="03083FD7" w:rsidR="00CD2839" w:rsidRDefault="00CD2839" w:rsidP="008642EB">
            <w:pPr>
              <w:rPr>
                <w:lang w:val="en-CA"/>
              </w:rPr>
            </w:pPr>
            <w:r w:rsidRPr="004C4913">
              <w:rPr>
                <w:lang w:val="en-CA"/>
              </w:rPr>
              <w:t>10.2690</w:t>
            </w:r>
          </w:p>
        </w:tc>
      </w:tr>
      <w:tr w:rsidR="00CD2839" w14:paraId="56202283" w14:textId="67383BC5" w:rsidTr="007B5C90">
        <w:tc>
          <w:tcPr>
            <w:tcW w:w="2405" w:type="dxa"/>
          </w:tcPr>
          <w:p w14:paraId="6767460A" w14:textId="4D816E06" w:rsidR="00CD2839" w:rsidRDefault="00CD2839" w:rsidP="008642EB">
            <w:pPr>
              <w:rPr>
                <w:lang w:val="en-CA"/>
              </w:rPr>
            </w:pPr>
            <w:r>
              <w:rPr>
                <w:lang w:val="en-CA"/>
              </w:rPr>
              <w:t>Medium</w:t>
            </w:r>
          </w:p>
        </w:tc>
        <w:tc>
          <w:tcPr>
            <w:tcW w:w="4253" w:type="dxa"/>
          </w:tcPr>
          <w:p w14:paraId="7FF6D0E9" w14:textId="45F942D5" w:rsidR="00CD2839" w:rsidRDefault="00CD2839" w:rsidP="008642EB">
            <w:pPr>
              <w:rPr>
                <w:lang w:val="en-CA"/>
              </w:rPr>
            </w:pPr>
            <w:r>
              <w:rPr>
                <w:lang w:val="en-CA"/>
              </w:rPr>
              <w:t>38.0</w:t>
            </w:r>
          </w:p>
        </w:tc>
        <w:tc>
          <w:tcPr>
            <w:tcW w:w="2268" w:type="dxa"/>
          </w:tcPr>
          <w:p w14:paraId="3AB96E56" w14:textId="5242EFDA" w:rsidR="00CD2839" w:rsidRDefault="00CD2839" w:rsidP="008642EB">
            <w:pPr>
              <w:rPr>
                <w:lang w:val="en-CA"/>
              </w:rPr>
            </w:pPr>
            <w:r w:rsidRPr="004C4913">
              <w:rPr>
                <w:lang w:val="en-CA"/>
              </w:rPr>
              <w:t>6.1640</w:t>
            </w:r>
          </w:p>
        </w:tc>
      </w:tr>
      <w:tr w:rsidR="00CD2839" w14:paraId="2B9AF8A9" w14:textId="594D0690" w:rsidTr="007B5C90">
        <w:tc>
          <w:tcPr>
            <w:tcW w:w="2405" w:type="dxa"/>
          </w:tcPr>
          <w:p w14:paraId="29D8D821" w14:textId="1A072584" w:rsidR="00CD2839" w:rsidRDefault="00CD2839" w:rsidP="008642EB">
            <w:pPr>
              <w:rPr>
                <w:lang w:val="en-CA"/>
              </w:rPr>
            </w:pPr>
            <w:r>
              <w:rPr>
                <w:lang w:val="en-CA"/>
              </w:rPr>
              <w:t>Low</w:t>
            </w:r>
          </w:p>
        </w:tc>
        <w:tc>
          <w:tcPr>
            <w:tcW w:w="4253" w:type="dxa"/>
          </w:tcPr>
          <w:p w14:paraId="7EE829F9" w14:textId="54409113" w:rsidR="00CD2839" w:rsidRDefault="00CD2839" w:rsidP="008642EB">
            <w:pPr>
              <w:rPr>
                <w:lang w:val="en-CA"/>
              </w:rPr>
            </w:pPr>
            <w:r>
              <w:rPr>
                <w:lang w:val="en-CA"/>
              </w:rPr>
              <w:t>15.5</w:t>
            </w:r>
          </w:p>
        </w:tc>
        <w:tc>
          <w:tcPr>
            <w:tcW w:w="2268" w:type="dxa"/>
          </w:tcPr>
          <w:p w14:paraId="2B9F3A4E" w14:textId="641C5479" w:rsidR="00CD2839" w:rsidRDefault="00CD2839" w:rsidP="008642EB">
            <w:pPr>
              <w:rPr>
                <w:lang w:val="en-CA"/>
              </w:rPr>
            </w:pPr>
            <w:r w:rsidRPr="004C4913">
              <w:rPr>
                <w:lang w:val="en-CA"/>
              </w:rPr>
              <w:t>2.5265</w:t>
            </w:r>
          </w:p>
        </w:tc>
      </w:tr>
    </w:tbl>
    <w:p w14:paraId="266CFD9C" w14:textId="069CB087" w:rsidR="0048682A" w:rsidRDefault="008642EB">
      <w:pPr>
        <w:rPr>
          <w:lang w:val="en-CA"/>
        </w:rPr>
      </w:pPr>
      <w:r>
        <w:rPr>
          <w:lang w:val="en-CA"/>
        </w:rPr>
        <w:t>*rare was not included</w:t>
      </w:r>
    </w:p>
    <w:p w14:paraId="7F82B1D8" w14:textId="77777777" w:rsidR="00DA7569" w:rsidRDefault="00DA7569">
      <w:pPr>
        <w:rPr>
          <w:rFonts w:eastAsiaTheme="minorEastAsia"/>
          <w:lang w:val="en-CA"/>
        </w:rPr>
      </w:pPr>
      <w:r>
        <w:rPr>
          <w:rFonts w:eastAsiaTheme="minorEastAsia"/>
          <w:lang w:val="en-CA"/>
        </w:rPr>
        <w:t>The estimate of fisher abundance in a FETA then follows as:</w:t>
      </w:r>
    </w:p>
    <w:p w14:paraId="39444FC1" w14:textId="16376F16" w:rsidR="00A1156E" w:rsidRDefault="00DA7569">
      <w:pPr>
        <w:rPr>
          <w:rFonts w:eastAsiaTheme="minorEastAsia"/>
          <w:lang w:val="en-CA"/>
        </w:rPr>
      </w:pPr>
      <w:r>
        <w:rPr>
          <w:rFonts w:eastAsiaTheme="minorEastAsia"/>
          <w:lang w:val="en-CA"/>
        </w:rPr>
        <w:t xml:space="preserve">[2] </w:t>
      </w:r>
      <w:r>
        <w:rPr>
          <w:rFonts w:eastAsiaTheme="minorEastAsia"/>
          <w:lang w:val="en-CA"/>
        </w:rPr>
        <w:tab/>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FETA</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rel.prob.occupany</m:t>
            </m:r>
          </m:e>
          <m:sub>
            <m:r>
              <w:rPr>
                <w:rFonts w:ascii="Cambria Math" w:hAnsi="Cambria Math"/>
                <w:lang w:val="en-CA"/>
              </w:rPr>
              <m:t>FETA</m:t>
            </m:r>
          </m:sub>
        </m:sSub>
        <m:r>
          <w:rPr>
            <w:rFonts w:ascii="Cambria Math" w:hAnsi="Cambria Math"/>
            <w:lang w:val="en-CA"/>
          </w:rPr>
          <m:t>*</m:t>
        </m:r>
        <m:sSub>
          <m:sSubPr>
            <m:ctrlPr>
              <w:rPr>
                <w:rFonts w:ascii="Cambria Math" w:hAnsi="Cambria Math"/>
                <w:i/>
                <w:lang w:val="en-CA"/>
              </w:rPr>
            </m:ctrlPr>
          </m:sSubPr>
          <m:e>
            <m:nary>
              <m:naryPr>
                <m:chr m:val="∑"/>
                <m:limLoc m:val="undOvr"/>
                <m:ctrlPr>
                  <w:rPr>
                    <w:rFonts w:ascii="Cambria Math" w:hAnsi="Cambria Math"/>
                    <w:i/>
                    <w:lang w:val="en-CA"/>
                  </w:rPr>
                </m:ctrlPr>
              </m:naryPr>
              <m:sub>
                <m:r>
                  <w:rPr>
                    <w:rFonts w:ascii="Cambria Math" w:hAnsi="Cambria Math"/>
                    <w:lang w:val="en-CA"/>
                  </w:rPr>
                  <m:t>r</m:t>
                </m:r>
              </m:sub>
              <m:sup>
                <m:r>
                  <w:rPr>
                    <w:rFonts w:ascii="Cambria Math" w:hAnsi="Cambria Math"/>
                    <w:lang w:val="en-CA"/>
                  </w:rPr>
                  <m:t>R</m:t>
                </m:r>
              </m:sup>
              <m:e>
                <m:r>
                  <w:rPr>
                    <w:rFonts w:ascii="Cambria Math" w:hAnsi="Cambria Math"/>
                    <w:lang w:val="en-CA"/>
                  </w:rPr>
                  <m:t>(</m:t>
                </m:r>
                <m:sSub>
                  <m:sSubPr>
                    <m:ctrlPr>
                      <w:rPr>
                        <w:rFonts w:ascii="Cambria Math" w:hAnsi="Cambria Math"/>
                        <w:i/>
                        <w:lang w:val="en-CA"/>
                      </w:rPr>
                    </m:ctrlPr>
                  </m:sSubPr>
                  <m:e>
                    <m:r>
                      <w:rPr>
                        <w:rFonts w:ascii="Cambria Math" w:hAnsi="Cambria Math"/>
                        <w:lang w:val="en-CA"/>
                      </w:rPr>
                      <m:t>AreaFisherCapability</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Density</m:t>
                    </m:r>
                  </m:e>
                  <m:sub>
                    <m:r>
                      <w:rPr>
                        <w:rFonts w:ascii="Cambria Math" w:hAnsi="Cambria Math"/>
                        <w:lang w:val="en-CA"/>
                      </w:rPr>
                      <m:t>r</m:t>
                    </m:r>
                  </m:sub>
                </m:sSub>
                <m:r>
                  <w:rPr>
                    <w:rFonts w:ascii="Cambria Math" w:hAnsi="Cambria Math"/>
                    <w:lang w:val="en-CA"/>
                  </w:rPr>
                  <m:t>)</m:t>
                </m:r>
              </m:e>
            </m:nary>
          </m:e>
          <m:sub>
            <m:r>
              <w:rPr>
                <w:rFonts w:ascii="Cambria Math" w:hAnsi="Cambria Math"/>
                <w:lang w:val="en-CA"/>
              </w:rPr>
              <m:t>FETA</m:t>
            </m:r>
          </m:sub>
        </m:sSub>
      </m:oMath>
    </w:p>
    <w:p w14:paraId="5AF6AEF2" w14:textId="78DB9267" w:rsidR="00DA7569" w:rsidRPr="00A4405C" w:rsidRDefault="00DA7569">
      <w:pPr>
        <w:rPr>
          <w:lang w:val="en-CA"/>
        </w:rPr>
      </w:pPr>
      <w:r>
        <w:rPr>
          <w:rFonts w:eastAsiaTheme="minorEastAsia"/>
          <w:lang w:val="en-CA"/>
        </w:rPr>
        <w:t xml:space="preserve">Where, N is the abundance of fisher in a FETA, </w:t>
      </w:r>
      <w:proofErr w:type="spellStart"/>
      <w:proofErr w:type="gramStart"/>
      <w:r w:rsidRPr="00A40784">
        <w:rPr>
          <w:rFonts w:eastAsiaTheme="minorEastAsia"/>
          <w:i/>
          <w:iCs/>
          <w:lang w:val="en-CA"/>
        </w:rPr>
        <w:t>rel.prob</w:t>
      </w:r>
      <w:proofErr w:type="gramEnd"/>
      <w:r w:rsidRPr="00A40784">
        <w:rPr>
          <w:rFonts w:eastAsiaTheme="minorEastAsia"/>
          <w:i/>
          <w:iCs/>
          <w:lang w:val="en-CA"/>
        </w:rPr>
        <w:t>.occupancy</w:t>
      </w:r>
      <w:proofErr w:type="spellEnd"/>
      <w:r>
        <w:rPr>
          <w:rFonts w:eastAsiaTheme="minorEastAsia"/>
          <w:lang w:val="en-CA"/>
        </w:rPr>
        <w:t xml:space="preserve"> is the relative probability of occupancy (Weir and </w:t>
      </w:r>
      <w:proofErr w:type="spellStart"/>
      <w:r>
        <w:rPr>
          <w:rFonts w:eastAsiaTheme="minorEastAsia"/>
          <w:lang w:val="en-CA"/>
        </w:rPr>
        <w:t>Corbould</w:t>
      </w:r>
      <w:proofErr w:type="spellEnd"/>
      <w:r>
        <w:rPr>
          <w:rFonts w:eastAsiaTheme="minorEastAsia"/>
          <w:lang w:val="en-CA"/>
        </w:rPr>
        <w:t xml:space="preserve"> 2010) </w:t>
      </w:r>
      <w:r w:rsidR="00A1156E">
        <w:rPr>
          <w:rFonts w:eastAsiaTheme="minorEastAsia"/>
          <w:lang w:val="en-CA"/>
        </w:rPr>
        <w:t xml:space="preserve">, </w:t>
      </w:r>
      <w:proofErr w:type="spellStart"/>
      <w:r w:rsidR="00A1156E" w:rsidRPr="00A40784">
        <w:rPr>
          <w:rFonts w:eastAsiaTheme="minorEastAsia"/>
          <w:i/>
          <w:iCs/>
          <w:lang w:val="en-CA"/>
        </w:rPr>
        <w:t>AreaFisherCapability</w:t>
      </w:r>
      <w:proofErr w:type="spellEnd"/>
      <w:r w:rsidR="00A1156E">
        <w:rPr>
          <w:rFonts w:eastAsiaTheme="minorEastAsia"/>
          <w:lang w:val="en-CA"/>
        </w:rPr>
        <w:t xml:space="preserve"> is the area </w:t>
      </w:r>
      <w:r w:rsidR="001A3D09">
        <w:rPr>
          <w:rFonts w:eastAsiaTheme="minorEastAsia"/>
          <w:lang w:val="en-CA"/>
        </w:rPr>
        <w:t>(</w:t>
      </w:r>
      <w:r w:rsidR="00A40784">
        <w:rPr>
          <w:rFonts w:eastAsiaTheme="minorEastAsia"/>
          <w:lang w:val="en-CA"/>
        </w:rPr>
        <w:t xml:space="preserve">in </w:t>
      </w:r>
      <w:r w:rsidR="00A1156E">
        <w:rPr>
          <w:rFonts w:eastAsiaTheme="minorEastAsia"/>
          <w:lang w:val="en-CA"/>
        </w:rPr>
        <w:t>1000 km</w:t>
      </w:r>
      <w:r w:rsidR="00A1156E" w:rsidRPr="00AE3A8A">
        <w:rPr>
          <w:rFonts w:eastAsiaTheme="minorEastAsia"/>
          <w:vertAlign w:val="superscript"/>
          <w:lang w:val="en-CA"/>
        </w:rPr>
        <w:t>2</w:t>
      </w:r>
      <w:r w:rsidR="001A3D09">
        <w:rPr>
          <w:rFonts w:eastAsiaTheme="minorEastAsia"/>
          <w:lang w:val="en-CA"/>
        </w:rPr>
        <w:t>)</w:t>
      </w:r>
      <w:r w:rsidR="008C78B5">
        <w:rPr>
          <w:rFonts w:eastAsiaTheme="minorEastAsia"/>
          <w:lang w:val="en-CA"/>
        </w:rPr>
        <w:t xml:space="preserve"> of the</w:t>
      </w:r>
      <w:r w:rsidR="00A1156E">
        <w:rPr>
          <w:rFonts w:eastAsiaTheme="minorEastAsia"/>
          <w:lang w:val="en-CA"/>
        </w:rPr>
        <w:t xml:space="preserve"> </w:t>
      </w:r>
      <w:proofErr w:type="spellStart"/>
      <w:r w:rsidR="007B5C90">
        <w:rPr>
          <w:rFonts w:eastAsiaTheme="minorEastAsia"/>
          <w:lang w:val="en-CA"/>
        </w:rPr>
        <w:t>r</w:t>
      </w:r>
      <w:r w:rsidR="007B5C90" w:rsidRPr="007B5C90">
        <w:rPr>
          <w:rFonts w:eastAsiaTheme="minorEastAsia"/>
          <w:vertAlign w:val="superscript"/>
          <w:lang w:val="en-CA"/>
        </w:rPr>
        <w:t>th</w:t>
      </w:r>
      <w:proofErr w:type="spellEnd"/>
      <w:r w:rsidR="00A1156E">
        <w:rPr>
          <w:rFonts w:eastAsiaTheme="minorEastAsia"/>
          <w:lang w:val="en-CA"/>
        </w:rPr>
        <w:t xml:space="preserve"> fisher </w:t>
      </w:r>
      <w:r w:rsidR="00A1156E">
        <w:rPr>
          <w:rFonts w:eastAsiaTheme="minorEastAsia"/>
          <w:lang w:val="en-CA"/>
        </w:rPr>
        <w:lastRenderedPageBreak/>
        <w:t xml:space="preserve">capability rating and </w:t>
      </w:r>
      <w:r w:rsidR="001A3D09">
        <w:rPr>
          <w:rFonts w:eastAsiaTheme="minorEastAsia"/>
          <w:lang w:val="en-CA"/>
        </w:rPr>
        <w:t>D</w:t>
      </w:r>
      <w:r>
        <w:rPr>
          <w:rFonts w:eastAsiaTheme="minorEastAsia"/>
          <w:lang w:val="en-CA"/>
        </w:rPr>
        <w:t>ensity</w:t>
      </w:r>
      <w:r w:rsidR="001A3D09">
        <w:rPr>
          <w:rFonts w:eastAsiaTheme="minorEastAsia"/>
          <w:lang w:val="en-CA"/>
        </w:rPr>
        <w:t xml:space="preserve"> is the density estimat</w:t>
      </w:r>
      <w:r>
        <w:rPr>
          <w:rFonts w:eastAsiaTheme="minorEastAsia"/>
          <w:lang w:val="en-CA"/>
        </w:rPr>
        <w:t>e</w:t>
      </w:r>
      <w:r w:rsidR="007B5C90">
        <w:rPr>
          <w:rFonts w:eastAsiaTheme="minorEastAsia"/>
          <w:lang w:val="en-CA"/>
        </w:rPr>
        <w:t xml:space="preserve"> for the </w:t>
      </w:r>
      <w:proofErr w:type="spellStart"/>
      <w:r w:rsidR="007B5C90">
        <w:rPr>
          <w:rFonts w:eastAsiaTheme="minorEastAsia"/>
          <w:lang w:val="en-CA"/>
        </w:rPr>
        <w:t>r</w:t>
      </w:r>
      <w:r w:rsidR="007B5C90" w:rsidRPr="007B5C90">
        <w:rPr>
          <w:rFonts w:eastAsiaTheme="minorEastAsia"/>
          <w:vertAlign w:val="superscript"/>
          <w:lang w:val="en-CA"/>
        </w:rPr>
        <w:t>th</w:t>
      </w:r>
      <w:proofErr w:type="spellEnd"/>
      <w:r w:rsidR="007B5C90">
        <w:rPr>
          <w:rFonts w:eastAsiaTheme="minorEastAsia"/>
          <w:lang w:val="en-CA"/>
        </w:rPr>
        <w:t xml:space="preserve"> fisher capability rating (R is the number of fisher capability ratings in a FETA)</w:t>
      </w:r>
      <w:r>
        <w:rPr>
          <w:rFonts w:eastAsiaTheme="minorEastAsia"/>
          <w:lang w:val="en-CA"/>
        </w:rPr>
        <w:t>.</w:t>
      </w:r>
    </w:p>
    <w:sectPr w:rsidR="00DA7569" w:rsidRPr="00A44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5C"/>
    <w:rsid w:val="001A3D09"/>
    <w:rsid w:val="001B7A96"/>
    <w:rsid w:val="003254DF"/>
    <w:rsid w:val="003C7A6A"/>
    <w:rsid w:val="003F4599"/>
    <w:rsid w:val="0048682A"/>
    <w:rsid w:val="004C4913"/>
    <w:rsid w:val="004D041A"/>
    <w:rsid w:val="00582704"/>
    <w:rsid w:val="005D5FED"/>
    <w:rsid w:val="00736103"/>
    <w:rsid w:val="007B5C90"/>
    <w:rsid w:val="008642EB"/>
    <w:rsid w:val="008C78B5"/>
    <w:rsid w:val="008F1B02"/>
    <w:rsid w:val="009329BC"/>
    <w:rsid w:val="009C7960"/>
    <w:rsid w:val="00A1156E"/>
    <w:rsid w:val="00A40784"/>
    <w:rsid w:val="00A4405C"/>
    <w:rsid w:val="00AE3A8A"/>
    <w:rsid w:val="00B14EAC"/>
    <w:rsid w:val="00B25194"/>
    <w:rsid w:val="00B659CE"/>
    <w:rsid w:val="00C661D4"/>
    <w:rsid w:val="00CD2839"/>
    <w:rsid w:val="00D02769"/>
    <w:rsid w:val="00DA7569"/>
    <w:rsid w:val="00E77CE4"/>
    <w:rsid w:val="00EB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D2CA"/>
  <w15:chartTrackingRefBased/>
  <w15:docId w15:val="{D67BE182-1350-47A5-AB31-45B914B2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59C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659CE"/>
    <w:rPr>
      <w:color w:val="808080"/>
    </w:rPr>
  </w:style>
  <w:style w:type="paragraph" w:styleId="BalloonText">
    <w:name w:val="Balloon Text"/>
    <w:basedOn w:val="Normal"/>
    <w:link w:val="BalloonTextChar"/>
    <w:uiPriority w:val="99"/>
    <w:semiHidden/>
    <w:unhideWhenUsed/>
    <w:rsid w:val="009C7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960"/>
    <w:rPr>
      <w:rFonts w:ascii="Segoe UI" w:hAnsi="Segoe UI" w:cs="Segoe UI"/>
      <w:sz w:val="18"/>
      <w:szCs w:val="18"/>
    </w:rPr>
  </w:style>
  <w:style w:type="character" w:styleId="CommentReference">
    <w:name w:val="annotation reference"/>
    <w:basedOn w:val="DefaultParagraphFont"/>
    <w:uiPriority w:val="99"/>
    <w:semiHidden/>
    <w:unhideWhenUsed/>
    <w:rsid w:val="009329BC"/>
    <w:rPr>
      <w:sz w:val="16"/>
      <w:szCs w:val="16"/>
    </w:rPr>
  </w:style>
  <w:style w:type="paragraph" w:styleId="CommentText">
    <w:name w:val="annotation text"/>
    <w:basedOn w:val="Normal"/>
    <w:link w:val="CommentTextChar"/>
    <w:uiPriority w:val="99"/>
    <w:semiHidden/>
    <w:unhideWhenUsed/>
    <w:rsid w:val="009329BC"/>
    <w:pPr>
      <w:spacing w:line="240" w:lineRule="auto"/>
    </w:pPr>
    <w:rPr>
      <w:sz w:val="20"/>
      <w:szCs w:val="20"/>
    </w:rPr>
  </w:style>
  <w:style w:type="character" w:customStyle="1" w:styleId="CommentTextChar">
    <w:name w:val="Comment Text Char"/>
    <w:basedOn w:val="DefaultParagraphFont"/>
    <w:link w:val="CommentText"/>
    <w:uiPriority w:val="99"/>
    <w:semiHidden/>
    <w:rsid w:val="009329BC"/>
    <w:rPr>
      <w:sz w:val="20"/>
      <w:szCs w:val="20"/>
    </w:rPr>
  </w:style>
  <w:style w:type="paragraph" w:styleId="CommentSubject">
    <w:name w:val="annotation subject"/>
    <w:basedOn w:val="CommentText"/>
    <w:next w:val="CommentText"/>
    <w:link w:val="CommentSubjectChar"/>
    <w:uiPriority w:val="99"/>
    <w:semiHidden/>
    <w:unhideWhenUsed/>
    <w:rsid w:val="009329BC"/>
    <w:rPr>
      <w:b/>
      <w:bCs/>
    </w:rPr>
  </w:style>
  <w:style w:type="character" w:customStyle="1" w:styleId="CommentSubjectChar">
    <w:name w:val="Comment Subject Char"/>
    <w:basedOn w:val="CommentTextChar"/>
    <w:link w:val="CommentSubject"/>
    <w:uiPriority w:val="99"/>
    <w:semiHidden/>
    <w:rsid w:val="009329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145DF7-6E75-4C9C-A6DB-BC7097FE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Lochhead, Kyle FLNR:EX</dc:creator>
  <cp:keywords/>
  <dc:description/>
  <cp:lastModifiedBy>Lochhead, Kyle FLNR:EX</cp:lastModifiedBy>
  <cp:revision>2</cp:revision>
  <dcterms:created xsi:type="dcterms:W3CDTF">2021-07-22T21:17:00Z</dcterms:created>
  <dcterms:modified xsi:type="dcterms:W3CDTF">2021-07-22T21:17:00Z</dcterms:modified>
</cp:coreProperties>
</file>