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AET/PET</w:t>
      </w:r>
      <w:r>
        <w:t xml:space="preserve"> </w:t>
      </w:r>
      <w:r>
        <w:t xml:space="preserve">ratios</w:t>
      </w:r>
      <w:r>
        <w:t xml:space="preserve"> </w:t>
      </w:r>
      <w:r>
        <w:t xml:space="preserve">for</w:t>
      </w:r>
      <w:r>
        <w:t xml:space="preserve"> </w:t>
      </w:r>
      <w:r>
        <w:t xml:space="preserve">BGC</w:t>
      </w:r>
      <w:r>
        <w:t xml:space="preserve"> </w:t>
      </w:r>
      <w:r>
        <w:t xml:space="preserve">units</w:t>
      </w:r>
    </w:p>
    <w:p>
      <w:pPr>
        <w:pStyle w:val="Author"/>
      </w:pPr>
      <w:r>
        <w:t xml:space="preserve">Hardy</w:t>
      </w:r>
    </w:p>
    <w:p>
      <w:pPr>
        <w:pStyle w:val="Date"/>
      </w:pPr>
      <w:r>
        <w:t xml:space="preserve">11/20/2020</w:t>
      </w:r>
    </w:p>
    <w:bookmarkStart w:id="20" w:name="clean-idfxx-data"/>
    <w:p>
      <w:pPr>
        <w:pStyle w:val="Heading2"/>
      </w:pPr>
      <w:r>
        <w:t xml:space="preserve">Clean IDFxx data</w:t>
      </w:r>
    </w:p>
    <w:p>
      <w:pPr>
        <w:pStyle w:val="FirstParagraph"/>
      </w:pPr>
      <w:r>
        <w:t xml:space="preserve">Here is table summarizing the number of years for each station that have sufficient climate data for AET/PET calculation, as per DeLong et al. (2019):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NumYrs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1969</w:t>
            </w:r>
          </w:p>
        </w:tc>
        <w:tc>
          <w:p>
            <w:pPr>
              <w:pStyle w:val="Compact"/>
              <w:jc w:val="right"/>
            </w:pPr>
            <w:r>
              <w:t xml:space="preserve">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1972</w:t>
            </w:r>
          </w:p>
        </w:tc>
        <w:tc>
          <w:p>
            <w:pPr>
              <w:pStyle w:val="Compact"/>
              <w:jc w:val="right"/>
            </w:pPr>
            <w:r>
              <w:t xml:space="preserve">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</w:tr>
    </w:tbl>
    <w:bookmarkEnd w:id="20"/>
    <w:bookmarkStart w:id="21" w:name="bgc-unit-asmr"/>
    <w:p>
      <w:pPr>
        <w:pStyle w:val="Heading2"/>
      </w:pPr>
      <w:r>
        <w:t xml:space="preserve">BGC unit ASMR</w:t>
      </w:r>
    </w:p>
    <w:p>
      <w:r>
        <w:pict>
          <v:rect style="width:0;height:1.5pt" o:hralign="center" o:hrstd="t" o:hr="t"/>
        </w:pict>
      </w:r>
    </w:p>
    <w:bookmarkEnd w:id="21"/>
    <w:bookmarkStart w:id="24" w:name="idfxx2-using-cranbrook-data"/>
    <w:p>
      <w:pPr>
        <w:pStyle w:val="Heading2"/>
      </w:pPr>
      <w:r>
        <w:t xml:space="preserve">IDFxx2 using Cranbrook data</w:t>
      </w:r>
    </w:p>
    <w:bookmarkStart w:id="22" w:name="period"/>
    <w:p>
      <w:pPr>
        <w:pStyle w:val="Heading3"/>
      </w:pPr>
      <w:r>
        <w:t xml:space="preserve">1961-1990 period</w:t>
      </w:r>
    </w:p>
    <w:p>
      <w:pPr>
        <w:pStyle w:val="FirstParagraph"/>
      </w:pPr>
      <w:r>
        <w:t xml:space="preserve">The following years were randomly selected: 1971, 1972, 1974, 1976, 1978, 1981, 1983, 1985, 1986, 1989. Here is the monthly and annual AET/PET ratio for those 10 years: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0.666</w:t>
            </w:r>
          </w:p>
        </w:tc>
        <w:tc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  <w:tc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0.487</w:t>
            </w:r>
          </w:p>
        </w:tc>
        <w:tc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0.403</w:t>
            </w:r>
          </w:p>
        </w:tc>
        <w:tc>
          <w:p>
            <w:pPr>
              <w:pStyle w:val="Compact"/>
              <w:jc w:val="right"/>
            </w:pPr>
            <w:r>
              <w:t xml:space="preserve">0.526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p>
            <w:pPr>
              <w:pStyle w:val="Compact"/>
              <w:jc w:val="right"/>
            </w:pPr>
            <w:r>
              <w:t xml:space="preserve">0.393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0.406</w:t>
            </w:r>
          </w:p>
        </w:tc>
        <w:tc>
          <w:p>
            <w:pPr>
              <w:pStyle w:val="Compact"/>
              <w:jc w:val="right"/>
            </w:pPr>
            <w:r>
              <w:t xml:space="preserve">0.406</w:t>
            </w:r>
          </w:p>
        </w:tc>
        <w:tc>
          <w:p>
            <w:pPr>
              <w:pStyle w:val="Compact"/>
              <w:jc w:val="right"/>
            </w:pPr>
            <w:r>
              <w:t xml:space="preserve">0.406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BodyText"/>
      </w:pPr>
      <w:r>
        <w:t xml:space="preserve">Future data are summarized in the table below: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0.549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0.529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0.711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0.487</w:t>
            </w:r>
          </w:p>
        </w:tc>
        <w:tc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p>
            <w:pPr>
              <w:pStyle w:val="Compact"/>
              <w:jc w:val="right"/>
            </w:pPr>
            <w:r>
              <w:t xml:space="preserve">0.721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0.544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0.976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0.927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0.765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p>
            <w:pPr>
              <w:pStyle w:val="Compact"/>
              <w:jc w:val="right"/>
            </w:pPr>
            <w:r>
              <w:t xml:space="preserve">0.768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p>
            <w:pPr>
              <w:pStyle w:val="Compact"/>
              <w:jc w:val="right"/>
            </w:pPr>
            <w:r>
              <w:t xml:space="preserve">0.380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right"/>
            </w:pPr>
            <w:r>
              <w:t xml:space="preserve">0.668</w:t>
            </w:r>
          </w:p>
        </w:tc>
        <w:tc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0.666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0.463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right"/>
            </w:pPr>
            <w:r>
              <w:t xml:space="preserve">0.619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period-1"/>
    <w:p>
      <w:pPr>
        <w:pStyle w:val="Heading3"/>
      </w:pPr>
      <w:r>
        <w:t xml:space="preserve">1991-2020 period</w:t>
      </w:r>
    </w:p>
    <w:p>
      <w:pPr>
        <w:pStyle w:val="FirstParagraph"/>
      </w:pPr>
      <w:r>
        <w:t xml:space="preserve">The following years were randomly selected: 1992, 1993, 1997, 1999, 2001, 2005, 2009, 2011, 2015, 2018. Here is the monthly and annual AET/PET ratio for those 10 years: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0.951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0.555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0.718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0.845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0.386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p>
            <w:pPr>
              <w:pStyle w:val="Compact"/>
              <w:jc w:val="right"/>
            </w:pPr>
            <w:r>
              <w:t xml:space="preserve">0.779</w:t>
            </w:r>
          </w:p>
        </w:tc>
        <w:tc>
          <w:p>
            <w:pPr>
              <w:pStyle w:val="Compact"/>
              <w:jc w:val="right"/>
            </w:pPr>
            <w:r>
              <w:t xml:space="preserve">0.779</w:t>
            </w:r>
          </w:p>
        </w:tc>
        <w:tc>
          <w:p>
            <w:pPr>
              <w:pStyle w:val="Compact"/>
              <w:jc w:val="right"/>
            </w:pPr>
            <w:r>
              <w:t xml:space="preserve">0.779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Cranbrook2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</w:tbl>
    <w:p>
      <w:pPr>
        <w:pStyle w:val="BodyText"/>
      </w:pPr>
      <w:r>
        <w:t xml:space="preserve">Future data are summarized in the table below: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0.529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  <w:tc>
          <w:p>
            <w:pPr>
              <w:pStyle w:val="Compact"/>
              <w:jc w:val="right"/>
            </w:pPr>
            <w:r>
              <w:t xml:space="preserve">0.488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0.936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0.456</w:t>
            </w:r>
          </w:p>
        </w:tc>
        <w:tc>
          <w:p>
            <w:pPr>
              <w:pStyle w:val="Compact"/>
              <w:jc w:val="right"/>
            </w:pPr>
            <w:r>
              <w:t xml:space="preserve">0.456</w:t>
            </w:r>
          </w:p>
        </w:tc>
        <w:tc>
          <w:p>
            <w:pPr>
              <w:pStyle w:val="Compact"/>
              <w:jc w:val="right"/>
            </w:pPr>
            <w:r>
              <w:t xml:space="preserve">0.456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  <w:tc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0.732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0.858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0.700</w:t>
            </w:r>
          </w:p>
        </w:tc>
        <w:tc>
          <w:p>
            <w:pPr>
              <w:pStyle w:val="Compact"/>
              <w:jc w:val="right"/>
            </w:pPr>
            <w:r>
              <w:t xml:space="preserve">0.849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0.775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0.959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  <w:tc>
          <w:p>
            <w:pPr>
              <w:pStyle w:val="Compact"/>
              <w:jc w:val="right"/>
            </w:pPr>
            <w:r>
              <w:t xml:space="preserve">0.935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p>
            <w:pPr>
              <w:pStyle w:val="Compact"/>
              <w:jc w:val="right"/>
            </w:pPr>
            <w:r>
              <w:t xml:space="preserve">0.723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0.571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0.915</w:t>
            </w:r>
          </w:p>
        </w:tc>
        <w:tc>
          <w:p>
            <w:pPr>
              <w:pStyle w:val="Compact"/>
              <w:jc w:val="right"/>
            </w:pPr>
            <w:r>
              <w:t xml:space="preserve">0.915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0.483</w:t>
            </w:r>
          </w:p>
        </w:tc>
        <w:tc>
          <w:p>
            <w:pPr>
              <w:pStyle w:val="Compact"/>
              <w:jc w:val="right"/>
            </w:pPr>
            <w:r>
              <w:t xml:space="preserve">0.565</w:t>
            </w:r>
          </w:p>
        </w:tc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0.936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0.532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End w:id="24"/>
    <w:bookmarkStart w:id="27" w:name="idfxx2-using-wardner-data"/>
    <w:p>
      <w:pPr>
        <w:pStyle w:val="Heading2"/>
      </w:pPr>
      <w:r>
        <w:t xml:space="preserve">IDFxx2 using Wardner data</w:t>
      </w:r>
    </w:p>
    <w:bookmarkStart w:id="25" w:name="period-2"/>
    <w:p>
      <w:pPr>
        <w:pStyle w:val="Heading3"/>
      </w:pPr>
      <w:r>
        <w:t xml:space="preserve">1961-1990 period</w:t>
      </w:r>
    </w:p>
    <w:p>
      <w:pPr>
        <w:pStyle w:val="FirstParagraph"/>
      </w:pPr>
      <w:r>
        <w:t xml:space="preserve">The following years were randomly selected: 1972, 1973, 1975, 1976, 1978, 1979, 1982, 1987, 1988, 1990. Here is the monthly and annual AET/PET ratio for those 10 years: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p>
            <w:pPr>
              <w:pStyle w:val="Compact"/>
              <w:jc w:val="right"/>
            </w:pPr>
            <w:r>
              <w:t xml:space="preserve">0.515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0.723</w:t>
            </w:r>
          </w:p>
        </w:tc>
        <w:tc>
          <w:p>
            <w:pPr>
              <w:pStyle w:val="Compact"/>
              <w:jc w:val="right"/>
            </w:pPr>
            <w:r>
              <w:t xml:space="preserve">0.723</w:t>
            </w:r>
          </w:p>
        </w:tc>
        <w:tc>
          <w:p>
            <w:pPr>
              <w:pStyle w:val="Compact"/>
              <w:jc w:val="right"/>
            </w:pPr>
            <w:r>
              <w:t xml:space="preserve">0.723</w:t>
            </w:r>
          </w:p>
        </w:tc>
        <w:tc>
          <w:p>
            <w:pPr>
              <w:pStyle w:val="Compact"/>
              <w:jc w:val="right"/>
            </w:pPr>
            <w:r>
              <w:t xml:space="preserve">0.723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p>
            <w:pPr>
              <w:pStyle w:val="Compact"/>
              <w:jc w:val="right"/>
            </w:pPr>
            <w:r>
              <w:t xml:space="preserve">0.718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Future data are summarized in the table below: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p>
            <w:pPr>
              <w:pStyle w:val="Compact"/>
              <w:jc w:val="right"/>
            </w:pPr>
            <w:r>
              <w:t xml:space="preserve">0.532</w:t>
            </w:r>
          </w:p>
        </w:tc>
        <w:tc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0.380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0.371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0.718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0.462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  <w:tc>
          <w:p>
            <w:pPr>
              <w:pStyle w:val="Compact"/>
              <w:jc w:val="right"/>
            </w:pPr>
            <w:r>
              <w:t xml:space="preserve">0.628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0.549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  <w:tc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0.868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p>
            <w:pPr>
              <w:pStyle w:val="Compact"/>
              <w:jc w:val="right"/>
            </w:pPr>
            <w:r>
              <w:t xml:space="preserve">0.532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0.371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0.461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0.976</w:t>
            </w:r>
          </w:p>
        </w:tc>
        <w:tc>
          <w:p>
            <w:pPr>
              <w:pStyle w:val="Compact"/>
              <w:jc w:val="right"/>
            </w:pPr>
            <w:r>
              <w:t xml:space="preserve">0.976</w:t>
            </w:r>
          </w:p>
        </w:tc>
        <w:tc>
          <w:p>
            <w:pPr>
              <w:pStyle w:val="Compact"/>
              <w:jc w:val="right"/>
            </w:pPr>
            <w:r>
              <w:t xml:space="preserve">0.976</w:t>
            </w:r>
          </w:p>
        </w:tc>
        <w:tc>
          <w:p>
            <w:pPr>
              <w:pStyle w:val="Compact"/>
              <w:jc w:val="right"/>
            </w:pPr>
            <w:r>
              <w:t xml:space="preserve">0.976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  <w:tc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p>
            <w:pPr>
              <w:pStyle w:val="Compact"/>
              <w:jc w:val="right"/>
            </w:pPr>
            <w:r>
              <w:t xml:space="preserve">0.607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0.573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p>
            <w:pPr>
              <w:pStyle w:val="Compact"/>
              <w:jc w:val="right"/>
            </w:pPr>
            <w:r>
              <w:t xml:space="preserve">0.622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period-3"/>
    <w:p>
      <w:pPr>
        <w:pStyle w:val="Heading3"/>
      </w:pPr>
      <w:r>
        <w:t xml:space="preserve">1991-2020 period</w:t>
      </w:r>
    </w:p>
    <w:p>
      <w:pPr>
        <w:pStyle w:val="FirstParagraph"/>
      </w:pPr>
      <w:r>
        <w:t xml:space="preserve">The following years were randomly selected: 1993, 1994, 1997, 1999, 2001, 2002, 2003, 2007, 2015, 2019. Here is the monthly and annual AET/PET ratio for those 10 years: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0.449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Wardner2</w:t>
            </w:r>
          </w:p>
        </w:tc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right"/>
            </w:pPr>
            <w:r>
              <w:t xml:space="preserve">0.734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</w:tr>
    </w:tbl>
    <w:p>
      <w:pPr>
        <w:pStyle w:val="BodyText"/>
      </w:pPr>
      <w:r>
        <w:t xml:space="preserve">Future data are summarized in the table below: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p>
            <w:pPr>
              <w:pStyle w:val="Compact"/>
              <w:jc w:val="right"/>
            </w:pPr>
            <w:r>
              <w:t xml:space="preserve">0.882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0.711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p>
            <w:pPr>
              <w:pStyle w:val="Compact"/>
              <w:jc w:val="right"/>
            </w:pPr>
            <w:r>
              <w:t xml:space="preserve">0.607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0.668</w:t>
            </w:r>
          </w:p>
        </w:tc>
        <w:tc>
          <w:p>
            <w:pPr>
              <w:pStyle w:val="Compact"/>
              <w:jc w:val="right"/>
            </w:pPr>
            <w:r>
              <w:t xml:space="preserve">0.933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0.509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0.462</w:t>
            </w:r>
          </w:p>
        </w:tc>
        <w:tc>
          <w:p>
            <w:pPr>
              <w:pStyle w:val="Compact"/>
              <w:jc w:val="right"/>
            </w:pPr>
            <w:r>
              <w:t xml:space="preserve">0.564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p>
            <w:pPr>
              <w:pStyle w:val="Compact"/>
              <w:jc w:val="right"/>
            </w:pPr>
            <w:r>
              <w:t xml:space="preserve">0.585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p>
            <w:pPr>
              <w:pStyle w:val="Compact"/>
              <w:jc w:val="right"/>
            </w:pPr>
            <w:r>
              <w:t xml:space="preserve">0.461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0.470</w:t>
            </w:r>
          </w:p>
        </w:tc>
        <w:tc>
          <w:p>
            <w:pPr>
              <w:pStyle w:val="Compact"/>
              <w:jc w:val="right"/>
            </w:pPr>
            <w:r>
              <w:t xml:space="preserve">0.573</w:t>
            </w:r>
          </w:p>
        </w:tc>
        <w:tc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0.637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0.393</w:t>
            </w:r>
          </w:p>
        </w:tc>
        <w:tc>
          <w:p>
            <w:pPr>
              <w:pStyle w:val="Compact"/>
              <w:jc w:val="right"/>
            </w:pPr>
            <w:r>
              <w:t xml:space="preserve">0.522</w:t>
            </w:r>
          </w:p>
        </w:tc>
        <w:tc>
          <w:p>
            <w:pPr>
              <w:pStyle w:val="Compact"/>
              <w:jc w:val="right"/>
            </w:pPr>
            <w:r>
              <w:t xml:space="preserve">0.787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IDFxx2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0.976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AET/PET ratios for BGC units</dc:title>
  <dc:creator>Hardy</dc:creator>
  <cp:keywords/>
  <dcterms:created xsi:type="dcterms:W3CDTF">2021-03-15T18:02:00Z</dcterms:created>
  <dcterms:modified xsi:type="dcterms:W3CDTF">2021-03-15T18:02:00Z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11/20/2020</vt:lpwstr>
  </property>
  <property fmtid="{D5CDD505-2E9C-101B-9397-08002B2CF9AE}" pid="3" name="output">
    <vt:lpwstr>word_document</vt:lpwstr>
  </property>
</Properties>
</file>