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>DISCLAIMER: Provincial Immunization Registry record only. Immunization history displayed</w:t>
      </w:r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692D2090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{d</w:t>
            </w:r>
            <w:r w:rsidRPr="009F5058">
              <w:rPr>
                <w:rFonts w:ascii="Myriad-Pro, Calibri, Arial" w:hAnsi="Myriad-Pro, Calibri, Arial"/>
              </w:rPr>
              <w:t xml:space="preserve"> recommendations</w:t>
            </w:r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proofErr w:type="gramStart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</w:t>
            </w:r>
            <w:proofErr w:type="gramEnd"/>
            <w:r w:rsidRPr="009F5058">
              <w:rPr>
                <w:rFonts w:ascii="Myriad-Pro, Calibri, Arial" w:hAnsi="Myriad-Pro, Calibri, Arial"/>
              </w:rPr>
              <w:t>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AC83F61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AE98" w14:textId="77777777" w:rsidR="007465BE" w:rsidRDefault="007465BE" w:rsidP="00D7009B">
      <w:r>
        <w:separator/>
      </w:r>
    </w:p>
  </w:endnote>
  <w:endnote w:type="continuationSeparator" w:id="0">
    <w:p w14:paraId="242BBF43" w14:textId="77777777" w:rsidR="007465BE" w:rsidRDefault="007465BE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A0ECD" w14:textId="77777777" w:rsidR="007465BE" w:rsidRDefault="007465BE" w:rsidP="00D7009B">
      <w:r>
        <w:separator/>
      </w:r>
    </w:p>
  </w:footnote>
  <w:footnote w:type="continuationSeparator" w:id="0">
    <w:p w14:paraId="1C4A6E34" w14:textId="77777777" w:rsidR="007465BE" w:rsidRDefault="007465BE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416"/>
    <w:rsid w:val="00435EF8"/>
    <w:rsid w:val="004762E9"/>
    <w:rsid w:val="004A11C0"/>
    <w:rsid w:val="004D50B3"/>
    <w:rsid w:val="004D5BB0"/>
    <w:rsid w:val="00516A6F"/>
    <w:rsid w:val="00572740"/>
    <w:rsid w:val="005A099D"/>
    <w:rsid w:val="005A6507"/>
    <w:rsid w:val="005B01BC"/>
    <w:rsid w:val="00614482"/>
    <w:rsid w:val="00615E67"/>
    <w:rsid w:val="00654714"/>
    <w:rsid w:val="00661533"/>
    <w:rsid w:val="006733EC"/>
    <w:rsid w:val="006745D0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807F0F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Tiago Gräf</cp:lastModifiedBy>
  <cp:revision>16</cp:revision>
  <dcterms:created xsi:type="dcterms:W3CDTF">2021-06-29T21:55:00Z</dcterms:created>
  <dcterms:modified xsi:type="dcterms:W3CDTF">2021-07-13T12:59:00Z</dcterms:modified>
</cp:coreProperties>
</file>